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b/>
          <w:color w:val="333333"/>
          <w:sz w:val="24"/>
          <w:szCs w:val="24"/>
        </w:rPr>
      </w:pPr>
      <w:bookmarkStart w:id="0" w:name="_Toc101777609"/>
      <w:bookmarkStart w:id="1" w:name="_Toc262229159"/>
    </w:p>
    <w:p>
      <w:pPr>
        <w:spacing w:line="480" w:lineRule="auto"/>
        <w:rPr>
          <w:rFonts w:ascii="宋体"/>
          <w:sz w:val="24"/>
          <w:szCs w:val="24"/>
        </w:rPr>
      </w:pPr>
      <w:r>
        <w:rPr>
          <w:rFonts w:hint="eastAsia"/>
          <w:b/>
          <w:color w:val="333333"/>
          <w:sz w:val="24"/>
          <w:szCs w:val="24"/>
        </w:rPr>
        <w:t>附件一：</w:t>
      </w:r>
      <w:r>
        <w:rPr>
          <w:rFonts w:hint="eastAsia" w:ascii="宋体" w:hAnsi="宋体"/>
          <w:sz w:val="24"/>
          <w:szCs w:val="24"/>
        </w:rPr>
        <w:t>　</w:t>
      </w:r>
    </w:p>
    <w:p>
      <w:pPr>
        <w:jc w:val="center"/>
        <w:rPr>
          <w:rFonts w:ascii="宋体"/>
          <w:b/>
          <w:sz w:val="36"/>
          <w:szCs w:val="36"/>
        </w:rPr>
      </w:pPr>
      <w:r>
        <w:rPr>
          <w:rFonts w:hint="eastAsia" w:ascii="宋体" w:hAnsi="宋体"/>
          <w:b/>
          <w:sz w:val="36"/>
          <w:szCs w:val="36"/>
        </w:rPr>
        <w:t>承包意向承诺函</w:t>
      </w:r>
    </w:p>
    <w:p>
      <w:pPr>
        <w:pStyle w:val="4"/>
        <w:adjustRightInd w:val="0"/>
        <w:ind w:right="-1" w:firstLine="480" w:firstLineChars="200"/>
        <w:jc w:val="left"/>
        <w:rPr>
          <w:rFonts w:ascii="宋体" w:hAnsi="宋体" w:eastAsia="宋体"/>
          <w:color w:val="auto"/>
          <w:sz w:val="24"/>
          <w:szCs w:val="24"/>
        </w:rPr>
      </w:pPr>
    </w:p>
    <w:p>
      <w:pPr>
        <w:pStyle w:val="4"/>
        <w:adjustRightInd w:val="0"/>
        <w:ind w:right="-1" w:firstLine="480" w:firstLineChars="200"/>
        <w:jc w:val="left"/>
        <w:rPr>
          <w:rFonts w:ascii="宋体" w:hAnsi="宋体" w:eastAsia="宋体"/>
          <w:color w:val="auto"/>
          <w:sz w:val="24"/>
          <w:szCs w:val="24"/>
          <w:u w:val="single"/>
        </w:rPr>
      </w:pPr>
      <w:r>
        <w:rPr>
          <w:rFonts w:hint="eastAsia" w:ascii="宋体" w:hAnsi="宋体" w:eastAsia="宋体"/>
          <w:color w:val="auto"/>
          <w:sz w:val="24"/>
          <w:szCs w:val="24"/>
          <w:u w:val="single"/>
        </w:rPr>
        <w:t>广州市番禺区南村镇市政房屋管理服务所、广州市番禺区南村镇人民政府规划国土建设办公室：</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一、本公司已详细了解了建设单位发布的</w:t>
      </w:r>
      <w:r>
        <w:rPr>
          <w:rFonts w:hint="eastAsia" w:ascii="宋体" w:hAnsi="宋体" w:eastAsia="宋体"/>
          <w:color w:val="auto"/>
          <w:sz w:val="24"/>
          <w:szCs w:val="24"/>
          <w:u w:val="single"/>
        </w:rPr>
        <w:t>南村镇房管所排水单元达标</w:t>
      </w:r>
      <w:r>
        <w:rPr>
          <w:rFonts w:hint="eastAsia" w:ascii="宋体" w:hAnsi="宋体" w:eastAsia="宋体"/>
          <w:color w:val="auto"/>
          <w:sz w:val="24"/>
          <w:szCs w:val="24"/>
          <w:u w:val="single"/>
          <w:lang w:eastAsia="zh-CN"/>
        </w:rPr>
        <w:t>创建</w:t>
      </w:r>
      <w:r>
        <w:rPr>
          <w:rFonts w:hint="eastAsia" w:ascii="宋体" w:hAnsi="宋体" w:eastAsia="宋体"/>
          <w:color w:val="auto"/>
          <w:sz w:val="24"/>
          <w:szCs w:val="24"/>
          <w:u w:val="single"/>
        </w:rPr>
        <w:t>工程</w:t>
      </w:r>
      <w:r>
        <w:rPr>
          <w:rFonts w:hint="eastAsia" w:ascii="宋体" w:hAnsi="宋体" w:eastAsia="宋体"/>
          <w:color w:val="auto"/>
          <w:sz w:val="24"/>
          <w:szCs w:val="24"/>
        </w:rPr>
        <w:t>交易公告及有关附件，并无异议。</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w:t>
      </w:r>
      <w:bookmarkStart w:id="2" w:name="_GoBack"/>
      <w:bookmarkEnd w:id="2"/>
      <w:r>
        <w:rPr>
          <w:rFonts w:hint="eastAsia" w:ascii="宋体" w:hAnsi="宋体" w:eastAsia="宋体"/>
          <w:color w:val="auto"/>
          <w:sz w:val="24"/>
          <w:szCs w:val="24"/>
        </w:rPr>
        <w:t>行赔偿。</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三、如获得承包资格，本公司将承诺按交易公告中规定的时间及质量要求完成并移交本项目。</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四、本公司就参加本项目交易工作，作出以下郑重承诺：</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1.本公司报名信息及提供的材料都是真实有效的。</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2.本公司在本项目交易中不给其他单位挂靠，不转让交易资格，不向建设单位、监督部门、交易中心有关人员行贿。</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3.本公司没有处于被责令停业或财产被接管、冻结、破产的状态；没有处于被行政主管部门取消交易资格的处罚期内；没有行政主管部门已书面认定的重大项目质量问题；在报名截止时间前两年, 本公司在广州市人民检察院行贿犯罪档案中没有犯罪记录。</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4.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5.本公司及其有隶属关系的机构没有参加本项目的设计、前期工作、交易文件编写、监理工作，与承担本交易项目监理业务的单位没有隶属关系或其他利害关系。（施工类）</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6.本公司获得承包资格后，我司与员工、雇佣人员之间的关系，所有劳务、劳动关系，债券、债务由我司承担。</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7.本公司拟派的项目负责人及安全员没有在其它在建项目中任职。（房建市政施工类）</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8.本公司获得承包资格后不无故放弃承包资格。</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9.本公司在建设工程发包通知书发出之日起5个工作日内将与建设单位签订书面合同。</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10.本公司认真研究了交易公告的有关规则，充分考虑了因其他承包意向人资格变动对随机抽取结果产生的影响，并接受此次随机抽取结果。</w:t>
      </w:r>
    </w:p>
    <w:p>
      <w:pPr>
        <w:pStyle w:val="4"/>
        <w:adjustRightInd w:val="0"/>
        <w:ind w:right="-1" w:firstLine="480" w:firstLineChars="200"/>
        <w:jc w:val="left"/>
        <w:rPr>
          <w:rFonts w:ascii="宋体" w:hAnsi="宋体" w:eastAsia="宋体"/>
          <w:color w:val="auto"/>
          <w:sz w:val="24"/>
          <w:szCs w:val="24"/>
        </w:rPr>
      </w:pPr>
      <w:r>
        <w:rPr>
          <w:rFonts w:hint="eastAsia" w:ascii="宋体" w:hAnsi="宋体" w:eastAsia="宋体"/>
          <w:color w:val="auto"/>
          <w:sz w:val="24"/>
          <w:szCs w:val="24"/>
        </w:rPr>
        <w:t>如经查实本公司违反上述承诺的情况，本公司愿意接受公开通报，承担由此带来的法律后果，并同意监督部门做退出小额企业库处理。</w:t>
      </w:r>
    </w:p>
    <w:p>
      <w:pPr>
        <w:pStyle w:val="6"/>
        <w:ind w:firstLine="4440" w:firstLineChars="1850"/>
        <w:rPr>
          <w:rFonts w:ascii="宋体" w:eastAsia="宋体"/>
          <w:spacing w:val="0"/>
          <w:szCs w:val="20"/>
        </w:rPr>
      </w:pPr>
    </w:p>
    <w:p>
      <w:pPr>
        <w:pStyle w:val="6"/>
        <w:ind w:firstLine="4440" w:firstLineChars="1850"/>
        <w:rPr>
          <w:rFonts w:ascii="宋体"/>
          <w:spacing w:val="0"/>
        </w:rPr>
      </w:pPr>
    </w:p>
    <w:p>
      <w:pPr>
        <w:pStyle w:val="6"/>
        <w:ind w:firstLine="0" w:firstLineChars="0"/>
        <w:rPr>
          <w:rFonts w:ascii="宋体"/>
          <w:spacing w:val="0"/>
        </w:rPr>
      </w:pPr>
    </w:p>
    <w:p>
      <w:pPr>
        <w:pStyle w:val="6"/>
        <w:ind w:firstLine="4440" w:firstLineChars="1850"/>
        <w:rPr>
          <w:rFonts w:ascii="宋体"/>
          <w:spacing w:val="0"/>
        </w:rPr>
      </w:pPr>
    </w:p>
    <w:p>
      <w:pPr>
        <w:pStyle w:val="6"/>
        <w:ind w:firstLine="4440" w:firstLineChars="1850"/>
        <w:rPr>
          <w:rFonts w:ascii="宋体"/>
          <w:spacing w:val="0"/>
        </w:rPr>
      </w:pPr>
      <w:r>
        <w:rPr>
          <w:rFonts w:hint="eastAsia" w:ascii="宋体" w:hAnsi="宋体"/>
          <w:spacing w:val="0"/>
        </w:rPr>
        <w:t>承包意向人：</w:t>
      </w:r>
    </w:p>
    <w:p>
      <w:pPr>
        <w:ind w:firstLine="5760" w:firstLineChars="2400"/>
        <w:jc w:val="left"/>
        <w:rPr>
          <w:rFonts w:ascii="宋体" w:hAnsi="宋体"/>
          <w:kern w:val="0"/>
          <w:sz w:val="24"/>
          <w:szCs w:val="24"/>
        </w:rPr>
      </w:pPr>
      <w:r>
        <w:rPr>
          <w:rFonts w:hint="eastAsia" w:ascii="宋体" w:hAnsi="宋体"/>
          <w:kern w:val="0"/>
          <w:sz w:val="24"/>
          <w:szCs w:val="24"/>
        </w:rPr>
        <w:t>2020年  月  日</w:t>
      </w:r>
      <w:bookmarkEnd w:id="0"/>
      <w:bookmarkEnd w:id="1"/>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p>
      <w:pPr>
        <w:ind w:firstLine="5880" w:firstLineChars="2450"/>
        <w:jc w:val="left"/>
        <w:rPr>
          <w:rFonts w:ascii="宋体" w:hAnsi="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CA"/>
    <w:rsid w:val="002B2245"/>
    <w:rsid w:val="00513ECA"/>
    <w:rsid w:val="008167BD"/>
    <w:rsid w:val="00C64687"/>
    <w:rsid w:val="00D72B60"/>
    <w:rsid w:val="19E3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公文正文"/>
    <w:uiPriority w:val="99"/>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5">
    <w:name w:val="文一 Char"/>
    <w:link w:val="6"/>
    <w:locked/>
    <w:uiPriority w:val="99"/>
    <w:rPr>
      <w:rFonts w:ascii="Times New Roman" w:hAnsi="Times New Roman" w:cs="Times New Roman"/>
      <w:spacing w:val="4"/>
      <w:sz w:val="24"/>
    </w:rPr>
  </w:style>
  <w:style w:type="paragraph" w:customStyle="1" w:styleId="6">
    <w:name w:val="文一"/>
    <w:basedOn w:val="1"/>
    <w:link w:val="5"/>
    <w:qFormat/>
    <w:uiPriority w:val="99"/>
    <w:pPr>
      <w:topLinePunct/>
      <w:adjustRightInd w:val="0"/>
      <w:snapToGrid w:val="0"/>
      <w:spacing w:line="360" w:lineRule="auto"/>
      <w:ind w:firstLine="200" w:firstLineChars="200"/>
    </w:pPr>
    <w:rPr>
      <w:rFonts w:eastAsiaTheme="minorEastAsia"/>
      <w:spacing w:val="4"/>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148</Words>
  <Characters>846</Characters>
  <Lines>7</Lines>
  <Paragraphs>1</Paragraphs>
  <TotalTime>7</TotalTime>
  <ScaleCrop>false</ScaleCrop>
  <LinksUpToDate>false</LinksUpToDate>
  <CharactersWithSpaces>993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2020-09-08T01:10:00Z</dcterms:created>
  <dc:creator>NTKO</dc:creator>
  <cp:lastModifiedBy>Administrator</cp:lastModifiedBy>
  <dcterms:modified xsi:type="dcterms:W3CDTF">2020-10-14T01:44:02Z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