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C07488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C07488">
        <w:rPr>
          <w:rFonts w:ascii="黑体" w:eastAsia="黑体" w:hAnsi="黑体" w:cs="宋体" w:hint="eastAsia"/>
          <w:sz w:val="32"/>
          <w:szCs w:val="32"/>
        </w:rPr>
        <w:t>附件</w:t>
      </w:r>
      <w:r w:rsidRPr="00C07488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C07488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C07488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C07488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C07488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C0748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C07488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C07488">
        <w:trPr>
          <w:trHeight w:val="90"/>
        </w:trPr>
        <w:tc>
          <w:tcPr>
            <w:tcW w:w="568" w:type="dxa"/>
            <w:vMerge w:val="restart"/>
            <w:vAlign w:val="center"/>
          </w:tcPr>
          <w:p w:rsidR="00454F06" w:rsidRPr="00C07488" w:rsidRDefault="00454F06" w:rsidP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bookmarkStart w:id="0" w:name="_GoBack"/>
            <w:bookmarkEnd w:id="0"/>
            <w:r w:rsidRPr="00C07488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454F06" w:rsidRPr="00C07488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农业部公告第235号《动物性食品中兽药最高残留限量》、整顿办函[2010]50号《食品中可能违法添加的非食用物质和易滥用的食品添加剂品种名单(第四批)》。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</w:p>
        </w:tc>
      </w:tr>
      <w:tr w:rsidR="00454F06" w:rsidRPr="00C07488">
        <w:trPr>
          <w:trHeight w:val="90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C07488" w:rsidRDefault="00454F06" w:rsidP="00A618B4">
            <w:pPr>
              <w:ind w:firstLineChars="150" w:firstLine="315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牛肉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克伦特罗、莱克多巴胺、沙丁胺醇、氯霉素</w:t>
            </w:r>
          </w:p>
        </w:tc>
      </w:tr>
      <w:tr w:rsidR="00454F06" w:rsidRPr="00C07488" w:rsidTr="00176DD9">
        <w:trPr>
          <w:trHeight w:val="773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 w:rsidR="00454F06" w:rsidRPr="00C07488" w:rsidRDefault="00454F06" w:rsidP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454F06" w:rsidRPr="00C07488" w:rsidRDefault="00454F06" w:rsidP="00A618B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恩诺沙星（以恩诺沙星与环丙沙星之和计）、磺胺类（总量）、氧氟沙星、氯霉素</w:t>
            </w:r>
          </w:p>
        </w:tc>
      </w:tr>
      <w:tr w:rsidR="00454F06" w:rsidRPr="00C07488" w:rsidTr="00176DD9">
        <w:trPr>
          <w:trHeight w:val="378"/>
        </w:trPr>
        <w:tc>
          <w:tcPr>
            <w:tcW w:w="568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C07488" w:rsidRDefault="00454F06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C07488" w:rsidRDefault="00454F0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鸭肉</w:t>
            </w:r>
          </w:p>
        </w:tc>
        <w:tc>
          <w:tcPr>
            <w:tcW w:w="2955" w:type="dxa"/>
            <w:vMerge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C07488" w:rsidRDefault="00454F06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氯霉素</w:t>
            </w:r>
          </w:p>
        </w:tc>
      </w:tr>
      <w:tr w:rsidR="000E7F37" w:rsidRPr="00C07488">
        <w:trPr>
          <w:trHeight w:val="662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2762‒2017《食品安全国家标准 食品中污染物限量》、GB 2763‒2016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镉（以Cd计）、铅（以Pb计）、毒死蜱、氟虫腈、啶虫脒、氧乐果</w:t>
            </w:r>
          </w:p>
        </w:tc>
      </w:tr>
      <w:tr w:rsidR="000E7F37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B250AE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铅（以Pb计）、镉（以Cd计）、氟虫腈、氧乐果、毒死蜱</w:t>
            </w:r>
          </w:p>
        </w:tc>
      </w:tr>
      <w:tr w:rsidR="000E7F37" w:rsidRPr="00C07488">
        <w:trPr>
          <w:trHeight w:val="496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芸薹属类蔬菜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菜薹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铅（以Pb计）、镉（以Cd计）、氟虫腈、克百威、氧乐果</w:t>
            </w:r>
          </w:p>
        </w:tc>
      </w:tr>
      <w:tr w:rsidR="000E7F37" w:rsidRPr="00C07488" w:rsidTr="000E7F37">
        <w:trPr>
          <w:trHeight w:val="6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瓜类蔬菜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A618B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铅（以Pb计）、镉（以Cd计）、毒死蜱、氟虫腈、氧乐果</w:t>
            </w:r>
          </w:p>
        </w:tc>
      </w:tr>
      <w:tr w:rsidR="000E7F37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铅（以Pb计）、镉（以Cd计）、克百威、灭蝇胺、氧乐果、水胺硫磷 、氟虫腈</w:t>
            </w:r>
          </w:p>
        </w:tc>
      </w:tr>
      <w:tr w:rsidR="000E7F37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辣椒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铅（以Pb计）、镉（以Cd计）、克百威、氧乐果、氟虫腈</w:t>
            </w:r>
          </w:p>
        </w:tc>
      </w:tr>
      <w:tr w:rsidR="000E7F37" w:rsidRPr="00C07488" w:rsidTr="000E7F37">
        <w:trPr>
          <w:trHeight w:val="462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茄子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铅（以Pb计）、镉（以Cd计）、灭多威、氧乐果、氟虫腈</w:t>
            </w:r>
          </w:p>
        </w:tc>
      </w:tr>
      <w:tr w:rsidR="000E7F37" w:rsidRPr="00C07488" w:rsidTr="000E7F37">
        <w:trPr>
          <w:trHeight w:val="615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鳞茎类蔬菜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韭菜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9C7855">
            <w:pPr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铅（以Pb计）、镉（以Cd计）、毒死蜱、腐霉利、甲拌磷、氧乐果</w:t>
            </w:r>
          </w:p>
        </w:tc>
      </w:tr>
      <w:tr w:rsidR="000E7F37" w:rsidRPr="00C07488">
        <w:trPr>
          <w:trHeight w:val="7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0E7F37" w:rsidRPr="00C07488" w:rsidRDefault="000E7F37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0E7F37" w:rsidRPr="00C07488" w:rsidRDefault="000E7F37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C07488"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6973D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镉（以Cd计）、铬（以Cr计）、铅（以Pb计）、亚硫酸盐（以SO2计）、6-苄基腺嘌呤（6-BA）、4-氯苯氧乙酸钠</w:t>
            </w:r>
          </w:p>
        </w:tc>
      </w:tr>
      <w:tr w:rsidR="000E7F37" w:rsidRPr="00C07488">
        <w:trPr>
          <w:trHeight w:val="1273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2955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2014《食品安全国家标准 食品添加剂使用标准》、GB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铅（以Pb计）、镉（以Cd计）、总汞（以Hg计）、总砷（以As计）</w:t>
            </w:r>
          </w:p>
        </w:tc>
      </w:tr>
      <w:tr w:rsidR="000E7F37" w:rsidRPr="00C07488" w:rsidTr="000E7F37">
        <w:trPr>
          <w:trHeight w:val="879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食品中污染物限量》、农业部公告第235号《动物性食品中兽药最高残留限量》、农业部公告第560号《兽药地方标准废止目录》、中华人民共和国农业部公告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8006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孔雀石绿、氯霉素、呋喃西林代谢物、呋喃唑酮代谢物、恩诺沙星（以恩诺沙星与环丙沙星之和计）、氧氟沙星、</w:t>
            </w:r>
          </w:p>
        </w:tc>
      </w:tr>
      <w:tr w:rsidR="000E7F37" w:rsidRPr="00C07488" w:rsidTr="000E7F37">
        <w:trPr>
          <w:trHeight w:val="666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淡水虾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呋喃西林代谢物、呋喃唑酮代谢物、氯霉素</w:t>
            </w:r>
          </w:p>
        </w:tc>
      </w:tr>
      <w:tr w:rsidR="000E7F37" w:rsidRPr="00C07488" w:rsidTr="000E7F37">
        <w:trPr>
          <w:trHeight w:val="53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淡水蟹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孔雀石绿、氯霉素、呋喃西林代谢物、呋喃唑酮代谢物</w:t>
            </w:r>
          </w:p>
        </w:tc>
      </w:tr>
      <w:tr w:rsidR="000E7F37" w:rsidRPr="00C07488" w:rsidTr="000E7F37">
        <w:trPr>
          <w:trHeight w:val="666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 w:rsidRPr="00C07488"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恩诺沙星（以恩诺沙星与环丙沙星之和计）、镉（以Cd计）、氧氟沙星</w:t>
            </w:r>
          </w:p>
        </w:tc>
      </w:tr>
      <w:tr w:rsidR="000E7F37" w:rsidRPr="00C07488">
        <w:trPr>
          <w:trHeight w:val="793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海水虾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B250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镉（以Cd计）、呋喃西林代谢物、呋喃唑酮代谢物</w:t>
            </w:r>
          </w:p>
        </w:tc>
      </w:tr>
      <w:tr w:rsidR="000E7F37" w:rsidRPr="00C07488" w:rsidTr="000E7F37">
        <w:trPr>
          <w:trHeight w:val="547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szCs w:val="21"/>
              </w:rPr>
              <w:t>孔雀石绿、氯霉素</w:t>
            </w:r>
          </w:p>
        </w:tc>
      </w:tr>
      <w:tr w:rsidR="000E7F37" w:rsidRPr="00C07488">
        <w:trPr>
          <w:trHeight w:val="1372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柑橘类水果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柑、橘</w:t>
            </w:r>
          </w:p>
        </w:tc>
        <w:tc>
          <w:tcPr>
            <w:tcW w:w="2955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A618B4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丙溴磷、克百威、三唑磷、铅（以Pb计）</w:t>
            </w:r>
          </w:p>
        </w:tc>
      </w:tr>
      <w:tr w:rsidR="000E7F37" w:rsidRPr="00C07488">
        <w:trPr>
          <w:trHeight w:val="739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A618B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铅（以Pb计）、丙溴磷、克百威、水胺硫磷</w:t>
            </w:r>
          </w:p>
        </w:tc>
      </w:tr>
      <w:tr w:rsidR="000E7F37" w:rsidRPr="00C07488">
        <w:trPr>
          <w:trHeight w:val="6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火龙果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铅（以Pb计）、敌百虫、氯唑磷、灭多威</w:t>
            </w:r>
          </w:p>
        </w:tc>
      </w:tr>
      <w:tr w:rsidR="000E7F37" w:rsidRPr="00C07488">
        <w:trPr>
          <w:trHeight w:val="660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苹果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铅（以Pb计）、氟虫腈、毒死蜱、敌敌畏</w:t>
            </w:r>
          </w:p>
        </w:tc>
      </w:tr>
      <w:tr w:rsidR="000E7F37" w:rsidRPr="00C07488" w:rsidTr="000E7F37">
        <w:trPr>
          <w:trHeight w:val="404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梨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铅（以Pb计）、氧乐果、氟虫腈、毒死蜱</w:t>
            </w:r>
          </w:p>
        </w:tc>
      </w:tr>
      <w:tr w:rsidR="000E7F37" w:rsidRPr="00C07488" w:rsidTr="000E7F37">
        <w:trPr>
          <w:trHeight w:val="524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柿子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A618B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铅（以Pb计）、水胺硫磷、杀扑磷、氯唑磷</w:t>
            </w:r>
          </w:p>
        </w:tc>
      </w:tr>
      <w:tr w:rsidR="000E7F37" w:rsidRPr="00C07488" w:rsidTr="000E7F37">
        <w:trPr>
          <w:trHeight w:val="532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芒果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A618B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铅（以Pb计）、氟虫腈、氧乐果、戊唑醇</w:t>
            </w:r>
          </w:p>
        </w:tc>
      </w:tr>
      <w:tr w:rsidR="000E7F37" w:rsidRPr="00C07488" w:rsidTr="00D850F6">
        <w:trPr>
          <w:trHeight w:val="603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核果类水果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枣</w:t>
            </w:r>
          </w:p>
        </w:tc>
        <w:tc>
          <w:tcPr>
            <w:tcW w:w="2955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0E7F37" w:rsidRPr="00C07488" w:rsidRDefault="000E7F37" w:rsidP="00C036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铅（以Pb计）、氧乐果、氟虫腈、乐果</w:t>
            </w:r>
          </w:p>
        </w:tc>
      </w:tr>
      <w:tr w:rsidR="000E7F37" w:rsidRPr="00C07488">
        <w:trPr>
          <w:trHeight w:val="1065"/>
        </w:trPr>
        <w:tc>
          <w:tcPr>
            <w:tcW w:w="568" w:type="dxa"/>
            <w:vMerge/>
            <w:vAlign w:val="center"/>
          </w:tcPr>
          <w:p w:rsidR="000E7F37" w:rsidRPr="00C07488" w:rsidRDefault="000E7F37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0E7F37" w:rsidRPr="00C07488" w:rsidRDefault="000E7F37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 w:rsidR="000E7F37" w:rsidRPr="00C07488" w:rsidRDefault="000E7F3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 w:rsidR="000E7F37" w:rsidRPr="00C07488" w:rsidRDefault="000E7F3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</w:t>
            </w:r>
          </w:p>
        </w:tc>
        <w:tc>
          <w:tcPr>
            <w:tcW w:w="6210" w:type="dxa"/>
            <w:vAlign w:val="center"/>
          </w:tcPr>
          <w:p w:rsidR="000E7F37" w:rsidRPr="00C07488" w:rsidRDefault="000E7F37" w:rsidP="005F0EE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氯霉素、氟苯尼考、恩诺沙星（以恩诺沙星与环丙沙星之和计）、氧氟沙星</w:t>
            </w:r>
          </w:p>
        </w:tc>
      </w:tr>
      <w:tr w:rsidR="00D850F6" w:rsidRPr="00C07488">
        <w:trPr>
          <w:trHeight w:val="1065"/>
        </w:trPr>
        <w:tc>
          <w:tcPr>
            <w:tcW w:w="568" w:type="dxa"/>
            <w:vMerge/>
            <w:vAlign w:val="center"/>
          </w:tcPr>
          <w:p w:rsidR="00D850F6" w:rsidRPr="00C07488" w:rsidRDefault="00D850F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D850F6" w:rsidRPr="00C07488" w:rsidRDefault="00D850F6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 w:rsidR="00D850F6" w:rsidRPr="00C07488" w:rsidRDefault="00D850F6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食品中真菌毒素限量》、GB 2762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 w:rsidRPr="00C07488"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2016 《食品安全国家标准 食品</w:t>
            </w: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中农药最大残留限量》</w:t>
            </w:r>
          </w:p>
        </w:tc>
        <w:tc>
          <w:tcPr>
            <w:tcW w:w="6210" w:type="dxa"/>
            <w:vAlign w:val="center"/>
          </w:tcPr>
          <w:p w:rsidR="00D850F6" w:rsidRPr="00C07488" w:rsidRDefault="00D850F6" w:rsidP="006973D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lastRenderedPageBreak/>
              <w:t>铅（以Pb计）、镉（以Cd计）、铬（以Cr计）</w:t>
            </w:r>
          </w:p>
        </w:tc>
      </w:tr>
      <w:tr w:rsidR="00D850F6" w:rsidRPr="00C07488">
        <w:trPr>
          <w:trHeight w:val="1536"/>
        </w:trPr>
        <w:tc>
          <w:tcPr>
            <w:tcW w:w="568" w:type="dxa"/>
            <w:vMerge/>
            <w:vAlign w:val="center"/>
          </w:tcPr>
          <w:p w:rsidR="00D850F6" w:rsidRPr="00C07488" w:rsidRDefault="00D850F6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D850F6" w:rsidRPr="00C07488" w:rsidRDefault="00D850F6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生干坚果与籽类食品</w:t>
            </w:r>
          </w:p>
        </w:tc>
        <w:tc>
          <w:tcPr>
            <w:tcW w:w="1103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生干坚果与籽类食品</w:t>
            </w:r>
          </w:p>
        </w:tc>
        <w:tc>
          <w:tcPr>
            <w:tcW w:w="1080" w:type="dxa"/>
            <w:vAlign w:val="center"/>
          </w:tcPr>
          <w:p w:rsidR="00D850F6" w:rsidRPr="00C07488" w:rsidRDefault="00D850F6" w:rsidP="006973D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生干坚果与籽类食品</w:t>
            </w:r>
          </w:p>
        </w:tc>
        <w:tc>
          <w:tcPr>
            <w:tcW w:w="2955" w:type="dxa"/>
            <w:vAlign w:val="center"/>
          </w:tcPr>
          <w:p w:rsidR="00D850F6" w:rsidRPr="00C07488" w:rsidRDefault="00D850F6" w:rsidP="006973D7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D850F6" w:rsidRPr="00C07488" w:rsidRDefault="00D850F6" w:rsidP="006973D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</w:pPr>
            <w:r w:rsidRPr="00C07488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铅（以Pb计）、镉（以Cd计）、二氧化硫残留量</w:t>
            </w:r>
          </w:p>
        </w:tc>
      </w:tr>
    </w:tbl>
    <w:p w:rsidR="009C06A8" w:rsidRPr="00C07488" w:rsidRDefault="009C06A8">
      <w:pPr>
        <w:spacing w:line="600" w:lineRule="exact"/>
        <w:textAlignment w:val="baseline"/>
        <w:rPr>
          <w:kern w:val="0"/>
        </w:rPr>
      </w:pPr>
    </w:p>
    <w:sectPr w:rsidR="009C06A8" w:rsidRPr="00C07488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3A" w:rsidRDefault="00D9333A">
      <w:r>
        <w:separator/>
      </w:r>
    </w:p>
  </w:endnote>
  <w:endnote w:type="continuationSeparator" w:id="0">
    <w:p w:rsidR="00D9333A" w:rsidRDefault="00D9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n-ExtA">
    <w:charset w:val="86"/>
    <w:family w:val="auto"/>
    <w:pitch w:val="variable"/>
    <w:sig w:usb0="F7FFAEFF" w:usb1="F9DFFFFF" w:usb2="0817FDF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43606F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43606F">
      <w:rPr>
        <w:rFonts w:ascii="宋体" w:hAnsi="宋体"/>
      </w:rPr>
      <w:fldChar w:fldCharType="separate"/>
    </w:r>
    <w:r w:rsidR="00C07488" w:rsidRPr="00C07488">
      <w:rPr>
        <w:rFonts w:ascii="宋体" w:hAnsi="宋体"/>
        <w:noProof/>
        <w:lang w:val="zh-CN"/>
      </w:rPr>
      <w:t>4</w:t>
    </w:r>
    <w:r w:rsidR="0043606F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3A" w:rsidRDefault="00D9333A">
      <w:r>
        <w:separator/>
      </w:r>
    </w:p>
  </w:footnote>
  <w:footnote w:type="continuationSeparator" w:id="0">
    <w:p w:rsidR="00D9333A" w:rsidRDefault="00D93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318</Words>
  <Characters>1814</Characters>
  <Application>Microsoft Office Word</Application>
  <DocSecurity>0</DocSecurity>
  <Lines>15</Lines>
  <Paragraphs>4</Paragraphs>
  <ScaleCrop>false</ScaleCrop>
  <Company>http://sdwm.org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75</cp:revision>
  <cp:lastPrinted>2019-06-30T01:10:00Z</cp:lastPrinted>
  <dcterms:created xsi:type="dcterms:W3CDTF">2019-07-25T15:09:00Z</dcterms:created>
  <dcterms:modified xsi:type="dcterms:W3CDTF">2020-01-17T03:05:00Z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