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F93" w:rsidRDefault="004017C0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 xml:space="preserve">1 </w:t>
      </w:r>
    </w:p>
    <w:p w:rsidR="005D5F93" w:rsidRDefault="004017C0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5D5F93">
        <w:trPr>
          <w:trHeight w:val="285"/>
        </w:trPr>
        <w:tc>
          <w:tcPr>
            <w:tcW w:w="568" w:type="dxa"/>
            <w:vMerge w:val="restart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1057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5D5F93">
        <w:trPr>
          <w:trHeight w:val="90"/>
        </w:trPr>
        <w:tc>
          <w:tcPr>
            <w:tcW w:w="568" w:type="dxa"/>
            <w:vMerge/>
            <w:vAlign w:val="center"/>
          </w:tcPr>
          <w:p w:rsidR="005D5F93" w:rsidRDefault="005D5F93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5D5F93" w:rsidRDefault="005D5F93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5D5F93" w:rsidRDefault="005D5F93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5D5F93">
        <w:trPr>
          <w:trHeight w:val="2723"/>
        </w:trPr>
        <w:tc>
          <w:tcPr>
            <w:tcW w:w="568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 w:rsidR="005D5F93" w:rsidRDefault="004017C0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特殊医学用途婴儿配方食品</w:t>
            </w:r>
          </w:p>
        </w:tc>
        <w:tc>
          <w:tcPr>
            <w:tcW w:w="1057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特殊医学用途婴儿配方食品</w:t>
            </w:r>
          </w:p>
        </w:tc>
        <w:tc>
          <w:tcPr>
            <w:tcW w:w="1103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特殊医学用途婴儿配方食品</w:t>
            </w:r>
          </w:p>
        </w:tc>
        <w:tc>
          <w:tcPr>
            <w:tcW w:w="1080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特殊医学用途婴儿配方食品</w:t>
            </w:r>
          </w:p>
        </w:tc>
        <w:tc>
          <w:tcPr>
            <w:tcW w:w="2955" w:type="dxa"/>
            <w:vAlign w:val="center"/>
          </w:tcPr>
          <w:p w:rsidR="005D5F93" w:rsidRDefault="004017C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25596-2010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特殊医学用途婴儿配方食品通则》、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2761-2017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食品中真菌毒素限量》、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2762-2017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食品中污染物限量》、卫生部、工业和信息化部、农业部、工商总局、质检总局公告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号《关于三聚氰胺在食品中的限量值的公告》</w:t>
            </w:r>
          </w:p>
        </w:tc>
        <w:tc>
          <w:tcPr>
            <w:tcW w:w="6210" w:type="dxa"/>
            <w:vAlign w:val="center"/>
          </w:tcPr>
          <w:p w:rsidR="005D5F93" w:rsidRDefault="004017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/>
                <w:kern w:val="0"/>
                <w:szCs w:val="21"/>
              </w:rPr>
              <w:t>蛋白质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、钙、</w:t>
            </w:r>
            <w:r w:rsidR="00A77C8D" w:rsidRPr="00A77C8D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黄曲霉毒素M1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、灰分、钾、磷、钠、铅（以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计）、三聚氰胺、水分、亚硝酸盐（以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NaNO2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计）、脂肪、脲酶活性定性测定、碳水化合物、氯、</w:t>
            </w:r>
          </w:p>
        </w:tc>
      </w:tr>
      <w:tr w:rsidR="005D5F93">
        <w:trPr>
          <w:trHeight w:val="2723"/>
        </w:trPr>
        <w:tc>
          <w:tcPr>
            <w:tcW w:w="568" w:type="dxa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</w:t>
            </w:r>
          </w:p>
        </w:tc>
        <w:tc>
          <w:tcPr>
            <w:tcW w:w="1069" w:type="dxa"/>
            <w:vAlign w:val="center"/>
          </w:tcPr>
          <w:p w:rsidR="005D5F93" w:rsidRDefault="004017C0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特殊膳食食品</w:t>
            </w:r>
          </w:p>
        </w:tc>
        <w:tc>
          <w:tcPr>
            <w:tcW w:w="1057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婴幼儿辅助食品</w:t>
            </w:r>
          </w:p>
        </w:tc>
        <w:tc>
          <w:tcPr>
            <w:tcW w:w="1103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婴幼儿谷类辅助食品</w:t>
            </w:r>
          </w:p>
        </w:tc>
        <w:tc>
          <w:tcPr>
            <w:tcW w:w="1080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婴幼儿谷物辅助食品、婴幼儿高蛋白谷物辅助食品、婴幼儿生制类谷物辅助食品、婴幼儿饼干或其他婴幼儿谷物辅助食品</w:t>
            </w:r>
          </w:p>
        </w:tc>
        <w:tc>
          <w:tcPr>
            <w:tcW w:w="2955" w:type="dxa"/>
            <w:vAlign w:val="center"/>
          </w:tcPr>
          <w:p w:rsidR="005D5F93" w:rsidRDefault="004017C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10769-2010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婴幼儿谷类辅助食品》、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2762-2017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食品中污染物限量》、国家卫健委关于发布婴幼儿谷类辅助食品中镉的临时限量值的公告（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号）</w:t>
            </w:r>
          </w:p>
        </w:tc>
        <w:tc>
          <w:tcPr>
            <w:tcW w:w="6210" w:type="dxa"/>
            <w:vAlign w:val="center"/>
          </w:tcPr>
          <w:p w:rsidR="005D5F93" w:rsidRDefault="004017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不溶性膳食纤维、蛋白质、钙、镉（以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Cd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计）、钾、磷、钠、能量、铅（以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计）、水分、无机砷（以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As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</w:t>
            </w:r>
            <w:r w:rsidR="00A77C8D" w:rsidRPr="00A77C8D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亚硝酸盐（以NaNO2计）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、脂肪</w:t>
            </w:r>
          </w:p>
        </w:tc>
      </w:tr>
      <w:tr w:rsidR="005D5F93" w:rsidTr="00586B61">
        <w:trPr>
          <w:trHeight w:val="1529"/>
        </w:trPr>
        <w:tc>
          <w:tcPr>
            <w:tcW w:w="568" w:type="dxa"/>
            <w:vMerge w:val="restart"/>
            <w:vAlign w:val="center"/>
          </w:tcPr>
          <w:p w:rsidR="005D5F93" w:rsidRDefault="004017C0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lastRenderedPageBreak/>
              <w:t>3</w:t>
            </w:r>
          </w:p>
        </w:tc>
        <w:tc>
          <w:tcPr>
            <w:tcW w:w="1069" w:type="dxa"/>
            <w:vMerge w:val="restart"/>
            <w:vAlign w:val="center"/>
          </w:tcPr>
          <w:p w:rsidR="005D5F93" w:rsidRDefault="004017C0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婴幼儿配方奶粉</w:t>
            </w:r>
          </w:p>
        </w:tc>
        <w:tc>
          <w:tcPr>
            <w:tcW w:w="1057" w:type="dxa"/>
            <w:vMerge w:val="restart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婴幼儿配方食品（湿法工艺、干法工艺、干湿法混合工艺）</w:t>
            </w:r>
          </w:p>
        </w:tc>
        <w:tc>
          <w:tcPr>
            <w:tcW w:w="1103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婴儿配方食品</w:t>
            </w:r>
          </w:p>
        </w:tc>
        <w:tc>
          <w:tcPr>
            <w:tcW w:w="1080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乳基婴儿配方食品、豆基婴儿配方食品</w:t>
            </w:r>
          </w:p>
        </w:tc>
        <w:tc>
          <w:tcPr>
            <w:tcW w:w="2955" w:type="dxa"/>
            <w:vMerge w:val="restart"/>
            <w:vAlign w:val="center"/>
          </w:tcPr>
          <w:p w:rsidR="005D5F93" w:rsidRDefault="004017C0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10767-2010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较大婴儿和幼儿配方食品》、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2761-2017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食品中真菌毒素限量》、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2762-2017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28050-2011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预包装食品营养标签通则》、卫生部、工业和信息化部、农业部、工商总局、质检总局公告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号《关于三聚氰胺在食品中的限量值的公告》</w:t>
            </w:r>
          </w:p>
        </w:tc>
        <w:tc>
          <w:tcPr>
            <w:tcW w:w="6210" w:type="dxa"/>
            <w:vMerge w:val="restart"/>
            <w:vAlign w:val="center"/>
          </w:tcPr>
          <w:p w:rsidR="005D5F93" w:rsidRDefault="004017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/>
                <w:kern w:val="0"/>
                <w:szCs w:val="21"/>
              </w:rPr>
              <w:t>蛋白质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、钙、黄曲霉毒素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M1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、灰分、钾、磷、钠、铅（以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PB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计）、三聚氰胺、水分、亚硝酸盐（以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NaNO2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计）、脂肪、碳水化合物、氯</w:t>
            </w:r>
          </w:p>
        </w:tc>
      </w:tr>
      <w:tr w:rsidR="005D5F93" w:rsidTr="00586B61">
        <w:trPr>
          <w:trHeight w:val="2383"/>
        </w:trPr>
        <w:tc>
          <w:tcPr>
            <w:tcW w:w="568" w:type="dxa"/>
            <w:vMerge/>
            <w:vAlign w:val="center"/>
          </w:tcPr>
          <w:p w:rsidR="005D5F93" w:rsidRDefault="005D5F93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5D5F93" w:rsidRDefault="005D5F93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5D5F93" w:rsidRDefault="005D5F9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较大婴儿和幼儿配方食品</w:t>
            </w:r>
          </w:p>
        </w:tc>
        <w:tc>
          <w:tcPr>
            <w:tcW w:w="1080" w:type="dxa"/>
            <w:vAlign w:val="center"/>
          </w:tcPr>
          <w:p w:rsidR="005D5F93" w:rsidRDefault="004017C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乳基较大婴儿和幼儿配方食品、豆基较大婴儿和幼儿配方食品</w:t>
            </w:r>
          </w:p>
        </w:tc>
        <w:tc>
          <w:tcPr>
            <w:tcW w:w="2955" w:type="dxa"/>
            <w:vMerge/>
            <w:vAlign w:val="center"/>
          </w:tcPr>
          <w:p w:rsidR="005D5F93" w:rsidRDefault="005D5F93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Merge/>
            <w:vAlign w:val="center"/>
          </w:tcPr>
          <w:p w:rsidR="005D5F93" w:rsidRDefault="005D5F9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</w:p>
        </w:tc>
      </w:tr>
      <w:tr w:rsidR="00110A67" w:rsidTr="00110A67">
        <w:trPr>
          <w:trHeight w:val="909"/>
        </w:trPr>
        <w:tc>
          <w:tcPr>
            <w:tcW w:w="568" w:type="dxa"/>
            <w:vMerge w:val="restart"/>
            <w:vAlign w:val="center"/>
          </w:tcPr>
          <w:p w:rsidR="00110A67" w:rsidRDefault="00110A6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</w:t>
            </w:r>
          </w:p>
        </w:tc>
        <w:tc>
          <w:tcPr>
            <w:tcW w:w="1069" w:type="dxa"/>
            <w:vMerge w:val="restart"/>
            <w:vAlign w:val="center"/>
          </w:tcPr>
          <w:p w:rsidR="00110A67" w:rsidRDefault="00110A67">
            <w:pPr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乳制品</w:t>
            </w:r>
          </w:p>
        </w:tc>
        <w:tc>
          <w:tcPr>
            <w:tcW w:w="1057" w:type="dxa"/>
            <w:vMerge w:val="restart"/>
            <w:vAlign w:val="center"/>
          </w:tcPr>
          <w:p w:rsidR="00110A67" w:rsidRDefault="00110A67" w:rsidP="0071726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乳制品</w:t>
            </w:r>
          </w:p>
        </w:tc>
        <w:tc>
          <w:tcPr>
            <w:tcW w:w="1103" w:type="dxa"/>
            <w:vMerge w:val="restart"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液体乳</w:t>
            </w:r>
          </w:p>
        </w:tc>
        <w:tc>
          <w:tcPr>
            <w:tcW w:w="1080" w:type="dxa"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灭菌乳</w:t>
            </w:r>
          </w:p>
        </w:tc>
        <w:tc>
          <w:tcPr>
            <w:tcW w:w="2955" w:type="dxa"/>
            <w:vMerge w:val="restart"/>
            <w:vAlign w:val="center"/>
          </w:tcPr>
          <w:p w:rsidR="00110A67" w:rsidRDefault="00110A6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25190-2010《食品安全国家标准 灭菌乳》、卫生部、工业和信息化部、农业部、工商总局、质检总局公告2011年第10号《关于三聚氰胺在食品中的限量值的公告》</w:t>
            </w:r>
          </w:p>
        </w:tc>
        <w:tc>
          <w:tcPr>
            <w:tcW w:w="6210" w:type="dxa"/>
            <w:vAlign w:val="center"/>
          </w:tcPr>
          <w:p w:rsidR="00110A67" w:rsidRDefault="00110A67" w:rsidP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10A67">
              <w:rPr>
                <w:rFonts w:asciiTheme="minorEastAsia" w:eastAsiaTheme="minorEastAsia" w:hAnsiTheme="minorEastAsia" w:cs="宋体"/>
                <w:kern w:val="0"/>
                <w:szCs w:val="21"/>
              </w:rPr>
              <w:t>蛋白质</w:t>
            </w:r>
            <w:r w:rsidRPr="00110A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、三聚氰胺、商业无菌、酸度、脂肪</w:t>
            </w:r>
          </w:p>
        </w:tc>
      </w:tr>
      <w:tr w:rsidR="00110A67" w:rsidTr="00110A67">
        <w:trPr>
          <w:trHeight w:val="705"/>
        </w:trPr>
        <w:tc>
          <w:tcPr>
            <w:tcW w:w="568" w:type="dxa"/>
            <w:vMerge/>
            <w:vAlign w:val="center"/>
          </w:tcPr>
          <w:p w:rsidR="00110A67" w:rsidRDefault="00110A6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10A67" w:rsidRDefault="00110A67">
            <w:pPr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10A67" w:rsidRDefault="00110A67" w:rsidP="0071726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调制乳</w:t>
            </w:r>
          </w:p>
        </w:tc>
        <w:tc>
          <w:tcPr>
            <w:tcW w:w="2955" w:type="dxa"/>
            <w:vMerge/>
            <w:vAlign w:val="center"/>
          </w:tcPr>
          <w:p w:rsidR="00110A67" w:rsidRDefault="00110A6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10A67" w:rsidRDefault="00110A6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10A67">
              <w:rPr>
                <w:rFonts w:asciiTheme="minorEastAsia" w:eastAsiaTheme="minorEastAsia" w:hAnsiTheme="minorEastAsia" w:cs="宋体"/>
                <w:kern w:val="0"/>
                <w:szCs w:val="21"/>
              </w:rPr>
              <w:t>蛋白质</w:t>
            </w:r>
            <w:r w:rsidRPr="00110A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、三聚氰胺、商业无菌</w:t>
            </w:r>
          </w:p>
        </w:tc>
      </w:tr>
      <w:tr w:rsidR="00110A67" w:rsidTr="00110A67">
        <w:trPr>
          <w:trHeight w:val="939"/>
        </w:trPr>
        <w:tc>
          <w:tcPr>
            <w:tcW w:w="568" w:type="dxa"/>
            <w:vMerge/>
            <w:vAlign w:val="center"/>
          </w:tcPr>
          <w:p w:rsidR="00110A67" w:rsidRDefault="00110A6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10A67" w:rsidRDefault="00110A67">
            <w:pPr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10A67" w:rsidRDefault="00110A67" w:rsidP="0071726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发酵乳</w:t>
            </w:r>
          </w:p>
        </w:tc>
        <w:tc>
          <w:tcPr>
            <w:tcW w:w="2955" w:type="dxa"/>
            <w:vMerge/>
            <w:vAlign w:val="center"/>
          </w:tcPr>
          <w:p w:rsidR="00110A67" w:rsidRDefault="00110A6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10A67" w:rsidRDefault="00110A6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/>
                <w:kern w:val="0"/>
                <w:szCs w:val="21"/>
              </w:rPr>
              <w:t>大肠菌群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、蛋白质、金黄色葡萄球菌、霉菌、三聚氰胺、沙门氏菌、山梨酸及其钾盐（以山梨酸计）、酸度</w:t>
            </w:r>
          </w:p>
        </w:tc>
      </w:tr>
      <w:tr w:rsidR="00110A67" w:rsidTr="0071726D">
        <w:trPr>
          <w:trHeight w:val="1258"/>
        </w:trPr>
        <w:tc>
          <w:tcPr>
            <w:tcW w:w="568" w:type="dxa"/>
            <w:vMerge/>
            <w:vAlign w:val="center"/>
          </w:tcPr>
          <w:p w:rsidR="00110A67" w:rsidRDefault="00110A6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10A67" w:rsidRDefault="00110A67">
            <w:pPr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乳粉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全脂乳粉、脱脂乳粉、部分脱脂乳粉、调制乳粉</w:t>
            </w:r>
          </w:p>
        </w:tc>
        <w:tc>
          <w:tcPr>
            <w:tcW w:w="2955" w:type="dxa"/>
            <w:vMerge w:val="restart"/>
            <w:tcBorders>
              <w:bottom w:val="single" w:sz="4" w:space="0" w:color="auto"/>
            </w:tcBorders>
            <w:vAlign w:val="center"/>
          </w:tcPr>
          <w:p w:rsidR="00110A67" w:rsidRDefault="00110A6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19644-2010《食品安全国家标准 乳粉》、卫生部、工业和信息化部、农业部、工商总局、质检总局公告2011年第10号《关于三聚氰胺在食品中的限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量值的公告》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110A67" w:rsidRDefault="00110A6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/>
                <w:kern w:val="0"/>
                <w:szCs w:val="21"/>
              </w:rPr>
              <w:lastRenderedPageBreak/>
              <w:t>大肠菌群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、蛋白质、菌落总数、三聚氰胺</w:t>
            </w:r>
          </w:p>
        </w:tc>
      </w:tr>
      <w:tr w:rsidR="00110A67">
        <w:trPr>
          <w:trHeight w:val="2344"/>
        </w:trPr>
        <w:tc>
          <w:tcPr>
            <w:tcW w:w="568" w:type="dxa"/>
            <w:vMerge/>
            <w:vAlign w:val="center"/>
          </w:tcPr>
          <w:p w:rsidR="00110A67" w:rsidRDefault="00110A6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10A67" w:rsidRDefault="00110A67">
            <w:pPr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其他乳制品（炼乳、奶油、干酪、固态成型产品）</w:t>
            </w:r>
          </w:p>
        </w:tc>
        <w:tc>
          <w:tcPr>
            <w:tcW w:w="1080" w:type="dxa"/>
            <w:vAlign w:val="center"/>
          </w:tcPr>
          <w:p w:rsidR="00110A67" w:rsidRDefault="00110A6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淡炼乳、加糖炼乳和调制炼乳</w:t>
            </w:r>
          </w:p>
        </w:tc>
        <w:tc>
          <w:tcPr>
            <w:tcW w:w="2955" w:type="dxa"/>
            <w:vMerge/>
            <w:vAlign w:val="center"/>
          </w:tcPr>
          <w:p w:rsidR="00110A67" w:rsidRDefault="00110A6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10A67" w:rsidRDefault="00110A67">
            <w:pPr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/>
                <w:kern w:val="0"/>
                <w:szCs w:val="21"/>
              </w:rPr>
              <w:t>大肠菌群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、蛋白质、菌落总数、三聚氰胺、商业无菌</w:t>
            </w:r>
          </w:p>
        </w:tc>
      </w:tr>
    </w:tbl>
    <w:p w:rsidR="005D5F93" w:rsidRDefault="005D5F93">
      <w:pPr>
        <w:spacing w:line="600" w:lineRule="exact"/>
        <w:textAlignment w:val="baseline"/>
        <w:rPr>
          <w:kern w:val="0"/>
        </w:rPr>
      </w:pPr>
    </w:p>
    <w:sectPr w:rsidR="005D5F93" w:rsidSect="005D5F93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C0" w:rsidRDefault="004017C0" w:rsidP="005D5F93">
      <w:r>
        <w:separator/>
      </w:r>
    </w:p>
  </w:endnote>
  <w:endnote w:type="continuationSeparator" w:id="0">
    <w:p w:rsidR="004017C0" w:rsidRDefault="004017C0" w:rsidP="005D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Sun-ExtA">
    <w:charset w:val="86"/>
    <w:family w:val="auto"/>
    <w:pitch w:val="default"/>
    <w:sig w:usb0="F7FFAEFF" w:usb1="F9DFFFFF" w:usb2="0817FDFF" w:usb3="00000000" w:csb0="603F01FF" w:csb1="B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93" w:rsidRDefault="004017C0">
    <w:pPr>
      <w:pStyle w:val="a5"/>
      <w:jc w:val="center"/>
    </w:pPr>
    <w:r>
      <w:rPr>
        <w:rFonts w:ascii="宋体" w:hAnsi="宋体"/>
      </w:rPr>
      <w:t>—</w:t>
    </w:r>
    <w:r w:rsidR="005D5F93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5D5F93">
      <w:rPr>
        <w:rFonts w:ascii="宋体" w:hAnsi="宋体"/>
      </w:rPr>
      <w:fldChar w:fldCharType="separate"/>
    </w:r>
    <w:r w:rsidR="00586B61" w:rsidRPr="00586B61">
      <w:rPr>
        <w:rFonts w:ascii="宋体" w:hAnsi="宋体"/>
        <w:noProof/>
        <w:lang w:val="zh-CN"/>
      </w:rPr>
      <w:t>2</w:t>
    </w:r>
    <w:r w:rsidR="005D5F93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5D5F93" w:rsidRDefault="005D5F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C0" w:rsidRDefault="004017C0" w:rsidP="005D5F93">
      <w:r>
        <w:separator/>
      </w:r>
    </w:p>
  </w:footnote>
  <w:footnote w:type="continuationSeparator" w:id="0">
    <w:p w:rsidR="004017C0" w:rsidRDefault="004017C0" w:rsidP="005D5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0A6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17C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86B61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5F93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77C8D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0D72F0D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5D5F93"/>
    <w:pPr>
      <w:jc w:val="left"/>
    </w:pPr>
  </w:style>
  <w:style w:type="paragraph" w:styleId="a4">
    <w:name w:val="Balloon Text"/>
    <w:basedOn w:val="a"/>
    <w:link w:val="Char0"/>
    <w:uiPriority w:val="99"/>
    <w:qFormat/>
    <w:rsid w:val="005D5F9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D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D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5D5F93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5D5F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5D5F93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5D5F93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5D5F93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5D5F93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5D5F93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5D5F93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5D5F93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5D5F93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5D5F93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5D5F93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5D5F93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5D5F93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5D5F93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5D5F93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5D5F93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5D5F93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5D5F93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5D5F93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5D5F93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5D5F93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206</Words>
  <Characters>1180</Characters>
  <Application>Microsoft Office Word</Application>
  <DocSecurity>0</DocSecurity>
  <Lines>9</Lines>
  <Paragraphs>2</Paragraphs>
  <ScaleCrop>false</ScaleCrop>
  <Company>http://sdwm.org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5</cp:revision>
  <cp:lastPrinted>2019-06-30T01:10:00Z</cp:lastPrinted>
  <dcterms:created xsi:type="dcterms:W3CDTF">2020-05-07T08:37:00Z</dcterms:created>
  <dcterms:modified xsi:type="dcterms:W3CDTF">2020-05-08T07:55:00Z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