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 xml:space="preserve">1 </w:t>
      </w:r>
    </w:p>
    <w:p>
      <w:pPr>
        <w:widowControl/>
        <w:jc w:val="center"/>
        <w:textAlignment w:val="center"/>
        <w:rPr>
          <w:rFonts w:ascii="公文小标宋简" w:hAnsi="Times New Roman" w:eastAsia="公文小标宋简"/>
          <w:snapToGrid w:val="0"/>
          <w:sz w:val="44"/>
          <w:szCs w:val="24"/>
        </w:rPr>
      </w:pPr>
      <w:r>
        <w:rPr>
          <w:rFonts w:hint="eastAsia" w:ascii="公文小标宋简" w:hAnsi="Times New Roman" w:eastAsia="公文小标宋简"/>
          <w:snapToGrid w:val="0"/>
          <w:sz w:val="44"/>
          <w:szCs w:val="24"/>
        </w:rPr>
        <w:t>本次检验项目</w:t>
      </w:r>
    </w:p>
    <w:tbl>
      <w:tblPr>
        <w:tblStyle w:val="7"/>
        <w:tblW w:w="1404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8"/>
        <w:gridCol w:w="1069"/>
        <w:gridCol w:w="1057"/>
        <w:gridCol w:w="1103"/>
        <w:gridCol w:w="1080"/>
        <w:gridCol w:w="2955"/>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68" w:type="dxa"/>
            <w:vMerge w:val="restart"/>
            <w:vAlign w:val="center"/>
          </w:tcPr>
          <w:p>
            <w:pPr>
              <w:widowControl/>
              <w:snapToGrid w:val="0"/>
              <w:spacing w:line="360" w:lineRule="exact"/>
              <w:jc w:val="center"/>
              <w:textAlignment w:val="center"/>
              <w:rPr>
                <w:rFonts w:ascii="宋体" w:cs="宋体"/>
                <w:bCs/>
                <w:sz w:val="18"/>
                <w:szCs w:val="18"/>
              </w:rPr>
            </w:pPr>
            <w:r>
              <w:rPr>
                <w:rFonts w:hint="eastAsia" w:ascii="宋体" w:hAnsi="宋体" w:cs="宋体"/>
                <w:b/>
                <w:kern w:val="0"/>
                <w:sz w:val="18"/>
                <w:szCs w:val="18"/>
              </w:rPr>
              <w:t>序号</w:t>
            </w:r>
          </w:p>
        </w:tc>
        <w:tc>
          <w:tcPr>
            <w:tcW w:w="1069" w:type="dxa"/>
            <w:vMerge w:val="restart"/>
            <w:vAlign w:val="center"/>
          </w:tcPr>
          <w:p>
            <w:pPr>
              <w:widowControl/>
              <w:snapToGrid w:val="0"/>
              <w:spacing w:line="360" w:lineRule="exact"/>
              <w:jc w:val="center"/>
              <w:textAlignment w:val="center"/>
              <w:rPr>
                <w:rFonts w:ascii="宋体" w:cs="宋体"/>
                <w:b/>
                <w:kern w:val="0"/>
                <w:sz w:val="18"/>
                <w:szCs w:val="18"/>
              </w:rPr>
            </w:pPr>
            <w:r>
              <w:rPr>
                <w:rFonts w:hint="eastAsia" w:ascii="宋体" w:hAnsi="宋体" w:cs="宋体"/>
                <w:b/>
                <w:kern w:val="0"/>
                <w:sz w:val="18"/>
                <w:szCs w:val="18"/>
              </w:rPr>
              <w:t>食品大类</w:t>
            </w:r>
          </w:p>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（一级）</w:t>
            </w:r>
          </w:p>
        </w:tc>
        <w:tc>
          <w:tcPr>
            <w:tcW w:w="1057"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食品亚类</w:t>
            </w:r>
          </w:p>
        </w:tc>
        <w:tc>
          <w:tcPr>
            <w:tcW w:w="1103"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食品品种</w:t>
            </w:r>
          </w:p>
        </w:tc>
        <w:tc>
          <w:tcPr>
            <w:tcW w:w="1080"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食品细类</w:t>
            </w:r>
          </w:p>
        </w:tc>
        <w:tc>
          <w:tcPr>
            <w:tcW w:w="2955" w:type="dxa"/>
            <w:vMerge w:val="restart"/>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抽检依据</w:t>
            </w:r>
          </w:p>
        </w:tc>
        <w:tc>
          <w:tcPr>
            <w:tcW w:w="6210" w:type="dxa"/>
            <w:vMerge w:val="restart"/>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68" w:type="dxa"/>
            <w:vMerge w:val="continue"/>
            <w:vAlign w:val="center"/>
          </w:tcPr>
          <w:p>
            <w:pPr>
              <w:widowControl/>
              <w:snapToGrid w:val="0"/>
              <w:spacing w:line="360" w:lineRule="exact"/>
              <w:jc w:val="center"/>
              <w:rPr>
                <w:rFonts w:ascii="宋体" w:cs="宋体"/>
                <w:bCs/>
                <w:sz w:val="18"/>
                <w:szCs w:val="18"/>
              </w:rPr>
            </w:pPr>
          </w:p>
        </w:tc>
        <w:tc>
          <w:tcPr>
            <w:tcW w:w="1069" w:type="dxa"/>
            <w:vMerge w:val="continue"/>
            <w:vAlign w:val="center"/>
          </w:tcPr>
          <w:p>
            <w:pPr>
              <w:widowControl/>
              <w:snapToGrid w:val="0"/>
              <w:spacing w:line="360" w:lineRule="exact"/>
              <w:jc w:val="center"/>
              <w:rPr>
                <w:rFonts w:ascii="宋体" w:cs="宋体"/>
                <w:b/>
                <w:sz w:val="18"/>
                <w:szCs w:val="18"/>
              </w:rPr>
            </w:pPr>
          </w:p>
        </w:tc>
        <w:tc>
          <w:tcPr>
            <w:tcW w:w="1057"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（二级）</w:t>
            </w:r>
          </w:p>
        </w:tc>
        <w:tc>
          <w:tcPr>
            <w:tcW w:w="1103"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（三级）</w:t>
            </w:r>
          </w:p>
        </w:tc>
        <w:tc>
          <w:tcPr>
            <w:tcW w:w="1080"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（四级）</w:t>
            </w:r>
          </w:p>
        </w:tc>
        <w:tc>
          <w:tcPr>
            <w:tcW w:w="2955" w:type="dxa"/>
            <w:vMerge w:val="continue"/>
            <w:vAlign w:val="center"/>
          </w:tcPr>
          <w:p>
            <w:pPr>
              <w:widowControl/>
              <w:snapToGrid w:val="0"/>
              <w:spacing w:line="360" w:lineRule="exact"/>
              <w:jc w:val="center"/>
              <w:rPr>
                <w:rFonts w:ascii="宋体" w:cs="宋体"/>
                <w:b/>
                <w:sz w:val="18"/>
                <w:szCs w:val="18"/>
              </w:rPr>
            </w:pPr>
          </w:p>
        </w:tc>
        <w:tc>
          <w:tcPr>
            <w:tcW w:w="6210" w:type="dxa"/>
            <w:vMerge w:val="continue"/>
            <w:vAlign w:val="center"/>
          </w:tcPr>
          <w:p>
            <w:pPr>
              <w:widowControl/>
              <w:snapToGrid w:val="0"/>
              <w:spacing w:line="360" w:lineRule="exact"/>
              <w:jc w:val="center"/>
              <w:rPr>
                <w:rFonts w:asci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568" w:type="dxa"/>
            <w:vMerge w:val="restart"/>
            <w:vAlign w:val="center"/>
          </w:tcPr>
          <w:p>
            <w:pPr>
              <w:widowControl/>
              <w:snapToGrid w:val="0"/>
              <w:spacing w:line="360" w:lineRule="exact"/>
              <w:jc w:val="center"/>
              <w:rPr>
                <w:rFonts w:cs="宋体" w:asciiTheme="minorEastAsia" w:hAnsiTheme="minorEastAsia" w:eastAsiaTheme="minorEastAsia"/>
                <w:bCs/>
                <w:szCs w:val="21"/>
              </w:rPr>
            </w:pPr>
            <w:r>
              <w:rPr>
                <w:rFonts w:cs="宋体" w:asciiTheme="minorEastAsia" w:hAnsiTheme="minorEastAsia" w:eastAsiaTheme="minorEastAsia"/>
                <w:bCs/>
                <w:szCs w:val="21"/>
              </w:rPr>
              <w:t>1</w:t>
            </w:r>
          </w:p>
        </w:tc>
        <w:tc>
          <w:tcPr>
            <w:tcW w:w="1069"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食用农产品</w:t>
            </w:r>
          </w:p>
        </w:tc>
        <w:tc>
          <w:tcPr>
            <w:tcW w:w="1057" w:type="dxa"/>
            <w:vMerge w:val="restart"/>
            <w:vAlign w:val="center"/>
          </w:tcPr>
          <w:p>
            <w:pPr>
              <w:widowControl/>
              <w:snapToGrid w:val="0"/>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畜禽肉及副产品</w:t>
            </w:r>
          </w:p>
        </w:tc>
        <w:tc>
          <w:tcPr>
            <w:tcW w:w="1103" w:type="dxa"/>
            <w:vAlign w:val="center"/>
          </w:tcPr>
          <w:p>
            <w:pPr>
              <w:snapToGrid w:val="0"/>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畜肉</w:t>
            </w:r>
          </w:p>
        </w:tc>
        <w:tc>
          <w:tcPr>
            <w:tcW w:w="1080" w:type="dxa"/>
            <w:vAlign w:val="center"/>
          </w:tcPr>
          <w:p>
            <w:pPr>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kern w:val="0"/>
                <w:szCs w:val="21"/>
              </w:rPr>
              <w:t>猪肉</w:t>
            </w:r>
          </w:p>
        </w:tc>
        <w:tc>
          <w:tcPr>
            <w:tcW w:w="2955" w:type="dxa"/>
            <w:vAlign w:val="center"/>
          </w:tcPr>
          <w:p>
            <w:pPr>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GB 2707-2016《食品安全国家标准 鲜(冻)畜、禽产品》、整顿办函[2010]50号《食品中可能违法添加的非食用物质和易滥用的食品添加剂品种名单(第四批)》、农业农村部公告第250号《食品动物中禁止使用的药品及其他化合物清单》</w:t>
            </w:r>
          </w:p>
        </w:tc>
        <w:tc>
          <w:tcPr>
            <w:tcW w:w="6210" w:type="dxa"/>
            <w:vAlign w:val="center"/>
          </w:tcPr>
          <w:p>
            <w:pPr>
              <w:snapToGrid w:val="0"/>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szCs w:val="21"/>
              </w:rPr>
              <w:t>挥发性盐基氮、氯霉素、五氯酚酸钠（以五氯酚计）、克伦特罗、莱克多巴胺、沙丁胺醇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568" w:type="dxa"/>
            <w:vMerge w:val="continue"/>
            <w:vAlign w:val="center"/>
          </w:tcPr>
          <w:p>
            <w:pPr>
              <w:snapToGrid w:val="0"/>
              <w:jc w:val="center"/>
              <w:textAlignment w:val="center"/>
            </w:pPr>
          </w:p>
        </w:tc>
        <w:tc>
          <w:tcPr>
            <w:tcW w:w="1069" w:type="dxa"/>
            <w:vMerge w:val="continue"/>
            <w:vAlign w:val="center"/>
          </w:tcPr>
          <w:p>
            <w:pPr>
              <w:snapToGrid w:val="0"/>
              <w:jc w:val="center"/>
              <w:textAlignment w:val="center"/>
            </w:pPr>
          </w:p>
        </w:tc>
        <w:tc>
          <w:tcPr>
            <w:tcW w:w="1057" w:type="dxa"/>
            <w:vMerge w:val="continue"/>
            <w:vAlign w:val="center"/>
          </w:tcPr>
          <w:p>
            <w:pPr>
              <w:snapToGrid w:val="0"/>
              <w:jc w:val="center"/>
              <w:textAlignment w:val="center"/>
            </w:pPr>
          </w:p>
        </w:tc>
        <w:tc>
          <w:tcPr>
            <w:tcW w:w="1103" w:type="dxa"/>
            <w:vMerge w:val="restart"/>
            <w:vAlign w:val="center"/>
          </w:tcPr>
          <w:p>
            <w:pPr>
              <w:snapToGrid w:val="0"/>
              <w:jc w:val="center"/>
              <w:textAlignment w:val="cente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畜副产品</w:t>
            </w:r>
          </w:p>
        </w:tc>
        <w:tc>
          <w:tcPr>
            <w:tcW w:w="1080" w:type="dxa"/>
            <w:vAlign w:val="center"/>
          </w:tcPr>
          <w:p>
            <w:pPr>
              <w:snapToGrid w:val="0"/>
              <w:jc w:val="center"/>
              <w:textAlignment w:val="cente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猪肝</w:t>
            </w:r>
          </w:p>
        </w:tc>
        <w:tc>
          <w:tcPr>
            <w:tcW w:w="2955" w:type="dxa"/>
            <w:vAlign w:val="center"/>
          </w:tcPr>
          <w:p>
            <w:pPr>
              <w:snapToGrid w:val="0"/>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kern w:val="0"/>
                <w:szCs w:val="21"/>
              </w:rPr>
              <w:t>中华人民共和国农业部公告 第2292号《食品动物中停止使用洛美沙星、培氟沙星、氧氟沙星、诺氟沙星4种兽药的决定》</w:t>
            </w:r>
            <w:r>
              <w:rPr>
                <w:rFonts w:hint="eastAsia" w:cs="宋体" w:asciiTheme="minorEastAsia" w:hAnsiTheme="minorEastAsia" w:eastAsiaTheme="minorEastAsia"/>
                <w:kern w:val="0"/>
                <w:szCs w:val="21"/>
                <w:lang w:eastAsia="zh-CN"/>
              </w:rPr>
              <w:t>、农业农村部公告第250号《食品动物中禁止使用的药品及其他化合物清单》、整顿办函[2010]50号《食品中可能违法添加的非食用物质和易滥用的食品添加剂品种名单(第四批)》</w:t>
            </w:r>
          </w:p>
        </w:tc>
        <w:tc>
          <w:tcPr>
            <w:tcW w:w="6210" w:type="dxa"/>
            <w:vAlign w:val="center"/>
          </w:tcPr>
          <w:p>
            <w:pPr>
              <w:snapToGrid w:val="0"/>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氧氟沙星、五氯酚酸钠(以五氯酚计）、克伦特罗、莱克多巴胺、沙丁胺醇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568" w:type="dxa"/>
            <w:vMerge w:val="continue"/>
            <w:vAlign w:val="center"/>
          </w:tcPr>
          <w:p>
            <w:pPr>
              <w:snapToGrid w:val="0"/>
              <w:jc w:val="center"/>
              <w:textAlignment w:val="center"/>
            </w:pPr>
          </w:p>
        </w:tc>
        <w:tc>
          <w:tcPr>
            <w:tcW w:w="1069" w:type="dxa"/>
            <w:vMerge w:val="continue"/>
            <w:vAlign w:val="center"/>
          </w:tcPr>
          <w:p>
            <w:pPr>
              <w:snapToGrid w:val="0"/>
              <w:jc w:val="center"/>
              <w:textAlignment w:val="center"/>
            </w:pPr>
          </w:p>
        </w:tc>
        <w:tc>
          <w:tcPr>
            <w:tcW w:w="1057" w:type="dxa"/>
            <w:vMerge w:val="continue"/>
            <w:vAlign w:val="center"/>
          </w:tcPr>
          <w:p>
            <w:pPr>
              <w:snapToGrid w:val="0"/>
              <w:jc w:val="center"/>
              <w:textAlignment w:val="center"/>
            </w:pPr>
          </w:p>
        </w:tc>
        <w:tc>
          <w:tcPr>
            <w:tcW w:w="1103" w:type="dxa"/>
            <w:vMerge w:val="continue"/>
            <w:vAlign w:val="center"/>
          </w:tcPr>
          <w:p>
            <w:pPr>
              <w:snapToGrid w:val="0"/>
              <w:jc w:val="center"/>
              <w:textAlignment w:val="center"/>
            </w:pPr>
          </w:p>
        </w:tc>
        <w:tc>
          <w:tcPr>
            <w:tcW w:w="1080" w:type="dxa"/>
            <w:vAlign w:val="center"/>
          </w:tcPr>
          <w:p>
            <w:pPr>
              <w:snapToGrid w:val="0"/>
              <w:jc w:val="center"/>
              <w:textAlignment w:val="center"/>
              <w:rPr>
                <w:rFonts w:hint="default"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其他畜副产品</w:t>
            </w:r>
          </w:p>
        </w:tc>
        <w:tc>
          <w:tcPr>
            <w:tcW w:w="2955" w:type="dxa"/>
            <w:vAlign w:val="center"/>
          </w:tcPr>
          <w:p>
            <w:pPr>
              <w:snapToGrid w:val="0"/>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kern w:val="0"/>
                <w:szCs w:val="21"/>
              </w:rPr>
              <w:t>中华人民共和国农业部公告 第2292号《食品动物中停止使用洛美沙星、培氟沙星、氧氟沙星、诺氟沙星4种兽药的决定》</w:t>
            </w:r>
            <w:r>
              <w:rPr>
                <w:rFonts w:hint="eastAsia" w:cs="宋体" w:asciiTheme="minorEastAsia" w:hAnsiTheme="minorEastAsia" w:eastAsiaTheme="minorEastAsia"/>
                <w:kern w:val="0"/>
                <w:szCs w:val="21"/>
                <w:lang w:eastAsia="zh-CN"/>
              </w:rPr>
              <w:t>、农业农村部公告第250号《食品动物中禁止使用的药品及其他化合物清单》、整顿办函[2010]50号《食品中可能违法添加的非食用物质和易滥用的食品添加剂品种名单(第四批)》</w:t>
            </w:r>
          </w:p>
        </w:tc>
        <w:tc>
          <w:tcPr>
            <w:tcW w:w="6210" w:type="dxa"/>
            <w:vAlign w:val="center"/>
          </w:tcPr>
          <w:p>
            <w:pPr>
              <w:snapToGrid w:val="0"/>
              <w:jc w:val="center"/>
              <w:textAlignment w:val="center"/>
              <w:rPr>
                <w:rFonts w:hint="eastAsia" w:cs="宋体" w:asciiTheme="minorEastAsia" w:hAnsiTheme="minorEastAsia" w:eastAsiaTheme="minorEastAsia"/>
                <w:b w:val="0"/>
                <w:bCs/>
                <w:kern w:val="0"/>
                <w:szCs w:val="21"/>
              </w:rPr>
            </w:pPr>
            <w:r>
              <w:rPr>
                <w:rFonts w:hint="eastAsia" w:cs="宋体" w:asciiTheme="minorEastAsia" w:hAnsiTheme="minorEastAsia" w:eastAsiaTheme="minorEastAsia"/>
                <w:b w:val="0"/>
                <w:bCs/>
                <w:kern w:val="0"/>
                <w:szCs w:val="21"/>
              </w:rPr>
              <w:t>氧氟沙星、五氯酚酸钠(以五氯酚计）、克伦特罗、莱克多巴胺、沙丁胺醇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568" w:type="dxa"/>
            <w:vMerge w:val="continue"/>
            <w:vAlign w:val="center"/>
          </w:tcPr>
          <w:p>
            <w:pPr>
              <w:snapToGrid w:val="0"/>
              <w:jc w:val="center"/>
              <w:textAlignment w:val="center"/>
              <w:rPr>
                <w:rFonts w:hint="eastAsia" w:cs="宋体" w:asciiTheme="minorEastAsia" w:hAnsiTheme="minorEastAsia" w:eastAsiaTheme="minorEastAsia"/>
                <w:bCs/>
                <w:kern w:val="0"/>
                <w:szCs w:val="21"/>
              </w:rPr>
            </w:pPr>
          </w:p>
        </w:tc>
        <w:tc>
          <w:tcPr>
            <w:tcW w:w="1069" w:type="dxa"/>
            <w:vMerge w:val="continue"/>
            <w:vAlign w:val="center"/>
          </w:tcPr>
          <w:p>
            <w:pPr>
              <w:snapToGrid w:val="0"/>
              <w:jc w:val="center"/>
              <w:textAlignment w:val="center"/>
              <w:rPr>
                <w:rFonts w:hint="eastAsia" w:cs="宋体" w:asciiTheme="minorEastAsia" w:hAnsiTheme="minorEastAsia" w:eastAsiaTheme="minorEastAsia"/>
                <w:bCs/>
                <w:kern w:val="0"/>
                <w:szCs w:val="21"/>
              </w:rPr>
            </w:pPr>
          </w:p>
        </w:tc>
        <w:tc>
          <w:tcPr>
            <w:tcW w:w="1057" w:type="dxa"/>
            <w:vMerge w:val="continue"/>
            <w:vAlign w:val="center"/>
          </w:tcPr>
          <w:p>
            <w:pPr>
              <w:snapToGrid w:val="0"/>
              <w:jc w:val="center"/>
              <w:textAlignment w:val="center"/>
              <w:rPr>
                <w:rFonts w:hint="eastAsia" w:cs="宋体" w:asciiTheme="minorEastAsia" w:hAnsiTheme="minorEastAsia" w:eastAsiaTheme="minorEastAsia"/>
                <w:bCs/>
                <w:kern w:val="0"/>
                <w:szCs w:val="21"/>
              </w:rPr>
            </w:pPr>
          </w:p>
        </w:tc>
        <w:tc>
          <w:tcPr>
            <w:tcW w:w="1103" w:type="dxa"/>
            <w:vAlign w:val="center"/>
          </w:tcPr>
          <w:p>
            <w:pPr>
              <w:snapToGrid w:val="0"/>
              <w:jc w:val="center"/>
              <w:textAlignment w:val="cente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禽副产品</w:t>
            </w:r>
          </w:p>
        </w:tc>
        <w:tc>
          <w:tcPr>
            <w:tcW w:w="1080" w:type="dxa"/>
            <w:vAlign w:val="center"/>
          </w:tcPr>
          <w:p>
            <w:pPr>
              <w:snapToGrid w:val="0"/>
              <w:jc w:val="center"/>
              <w:textAlignment w:val="center"/>
              <w:rPr>
                <w:rFonts w:hint="default"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其他禽副产品</w:t>
            </w:r>
          </w:p>
        </w:tc>
        <w:tc>
          <w:tcPr>
            <w:tcW w:w="2955" w:type="dxa"/>
            <w:vAlign w:val="center"/>
          </w:tcPr>
          <w:p>
            <w:pPr>
              <w:snapToGrid w:val="0"/>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kern w:val="0"/>
                <w:szCs w:val="21"/>
              </w:rPr>
              <w:t>GB 31650-2019《食品安全国家标准 食品中兽药最大残留限量》、中华人民共和国农业部公告 第2292号《食品动物中停止使用洛美沙星、培氟沙星、氧氟沙星、诺氟沙星4种兽药的决定》</w:t>
            </w:r>
            <w:r>
              <w:rPr>
                <w:rFonts w:hint="eastAsia" w:cs="宋体" w:asciiTheme="minorEastAsia" w:hAnsiTheme="minorEastAsia" w:eastAsiaTheme="minorEastAsia"/>
                <w:kern w:val="0"/>
                <w:szCs w:val="21"/>
                <w:lang w:eastAsia="zh-CN"/>
              </w:rPr>
              <w:t>、农业农村部公告第250号《食品动物中禁止使用的药品及其他化合物清单》</w:t>
            </w:r>
          </w:p>
        </w:tc>
        <w:tc>
          <w:tcPr>
            <w:tcW w:w="6210" w:type="dxa"/>
            <w:vAlign w:val="center"/>
          </w:tcPr>
          <w:p>
            <w:pPr>
              <w:snapToGrid w:val="0"/>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恩诺沙星、氧氟沙星、呋喃唑酮代谢物、呋喃西林代谢物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蔬菜</w:t>
            </w:r>
          </w:p>
        </w:tc>
        <w:tc>
          <w:tcPr>
            <w:tcW w:w="1103" w:type="dxa"/>
            <w:vMerge w:val="restart"/>
            <w:vAlign w:val="center"/>
          </w:tcPr>
          <w:p>
            <w:pPr>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叶菜类蔬菜</w:t>
            </w:r>
          </w:p>
        </w:tc>
        <w:tc>
          <w:tcPr>
            <w:tcW w:w="1080"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普通白菜</w:t>
            </w:r>
          </w:p>
        </w:tc>
        <w:tc>
          <w:tcPr>
            <w:tcW w:w="2955" w:type="dxa"/>
            <w:vMerge w:val="restart"/>
            <w:vAlign w:val="center"/>
          </w:tcPr>
          <w:p>
            <w:pPr>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2763‒201</w:t>
            </w:r>
            <w:r>
              <w:rPr>
                <w:rFonts w:hint="eastAsia" w:cs="宋体" w:asciiTheme="minorEastAsia" w:hAnsiTheme="minorEastAsia" w:eastAsiaTheme="minorEastAsia"/>
                <w:kern w:val="0"/>
                <w:szCs w:val="21"/>
                <w:lang w:val="en-US" w:eastAsia="zh-CN"/>
              </w:rPr>
              <w:t>9</w:t>
            </w:r>
            <w:r>
              <w:rPr>
                <w:rFonts w:hint="eastAsia" w:cs="宋体" w:asciiTheme="minorEastAsia" w:hAnsiTheme="minorEastAsia" w:eastAsiaTheme="minorEastAsia"/>
                <w:kern w:val="0"/>
                <w:szCs w:val="21"/>
              </w:rPr>
              <w:t>《食品安全国家标准 食品中农药最大残留限量》</w:t>
            </w:r>
          </w:p>
        </w:tc>
        <w:tc>
          <w:tcPr>
            <w:tcW w:w="6210" w:type="dxa"/>
            <w:vAlign w:val="center"/>
          </w:tcPr>
          <w:p>
            <w:pPr>
              <w:snapToGrid w:val="0"/>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毒死蜱、氟虫腈、啶虫脒、氧乐果、阿维菌素、克百威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1080" w:type="dxa"/>
            <w:vAlign w:val="center"/>
          </w:tcPr>
          <w:p>
            <w:pPr>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油麦菜</w:t>
            </w:r>
          </w:p>
        </w:tc>
        <w:tc>
          <w:tcPr>
            <w:tcW w:w="2955"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6210" w:type="dxa"/>
            <w:vAlign w:val="center"/>
          </w:tcPr>
          <w:p>
            <w:pPr>
              <w:snapToGrid w:val="0"/>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氟虫腈、氧乐果、克百威、乙酰甲胺磷、杀扑磷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1080" w:type="dxa"/>
            <w:vAlign w:val="center"/>
          </w:tcPr>
          <w:p>
            <w:pPr>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芹菜</w:t>
            </w:r>
          </w:p>
        </w:tc>
        <w:tc>
          <w:tcPr>
            <w:tcW w:w="2955"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6210" w:type="dxa"/>
            <w:vAlign w:val="center"/>
          </w:tcPr>
          <w:p>
            <w:pPr>
              <w:snapToGrid w:val="0"/>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毒死蜱、氟虫腈、甲拌磷、氧乐果、敌敌畏、克百威、甲基异柳磷、甲胺磷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1080" w:type="dxa"/>
            <w:vAlign w:val="center"/>
          </w:tcPr>
          <w:p>
            <w:pPr>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大白菜</w:t>
            </w:r>
          </w:p>
        </w:tc>
        <w:tc>
          <w:tcPr>
            <w:tcW w:w="2955"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6210" w:type="dxa"/>
            <w:vAlign w:val="center"/>
          </w:tcPr>
          <w:p>
            <w:pPr>
              <w:snapToGrid w:val="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毒死蜱、氧乐果、涕灭威、久效磷、克百威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Align w:val="center"/>
          </w:tcPr>
          <w:p>
            <w:pPr>
              <w:snapToGrid w:val="0"/>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芸薹属类蔬菜</w:t>
            </w:r>
          </w:p>
        </w:tc>
        <w:tc>
          <w:tcPr>
            <w:tcW w:w="1080" w:type="dxa"/>
            <w:vAlign w:val="center"/>
          </w:tcPr>
          <w:p>
            <w:pPr>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菜薹</w:t>
            </w:r>
          </w:p>
        </w:tc>
        <w:tc>
          <w:tcPr>
            <w:tcW w:w="2955"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6210" w:type="dxa"/>
            <w:vAlign w:val="center"/>
          </w:tcPr>
          <w:p>
            <w:pPr>
              <w:snapToGrid w:val="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氧乐果、啶虫脒、克百威、敌百虫、甲拌磷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Align w:val="center"/>
          </w:tcPr>
          <w:p>
            <w:pPr>
              <w:snapToGrid w:val="0"/>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鳞茎类蔬菜</w:t>
            </w:r>
          </w:p>
        </w:tc>
        <w:tc>
          <w:tcPr>
            <w:tcW w:w="1080" w:type="dxa"/>
            <w:vAlign w:val="center"/>
          </w:tcPr>
          <w:p>
            <w:pPr>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韭菜</w:t>
            </w:r>
          </w:p>
        </w:tc>
        <w:tc>
          <w:tcPr>
            <w:tcW w:w="2955"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6210" w:type="dxa"/>
            <w:vAlign w:val="center"/>
          </w:tcPr>
          <w:p>
            <w:pPr>
              <w:snapToGrid w:val="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腐霉利、毒死蜱、氧乐果、多菌灵、克百威、甲拌磷、阿维菌素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restart"/>
            <w:vAlign w:val="center"/>
          </w:tcPr>
          <w:p>
            <w:pPr>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茄果类蔬菜</w:t>
            </w:r>
          </w:p>
        </w:tc>
        <w:tc>
          <w:tcPr>
            <w:tcW w:w="1080" w:type="dxa"/>
            <w:vAlign w:val="center"/>
          </w:tcPr>
          <w:p>
            <w:pPr>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茄子</w:t>
            </w:r>
          </w:p>
        </w:tc>
        <w:tc>
          <w:tcPr>
            <w:tcW w:w="2955" w:type="dxa"/>
            <w:vMerge w:val="continue"/>
            <w:vAlign w:val="center"/>
          </w:tcPr>
          <w:p>
            <w:pPr>
              <w:snapToGrid w:val="0"/>
              <w:jc w:val="center"/>
              <w:textAlignment w:val="center"/>
              <w:rPr>
                <w:rFonts w:cs="宋体" w:asciiTheme="minorEastAsia" w:hAnsiTheme="minorEastAsia" w:eastAsiaTheme="minorEastAsia"/>
                <w:kern w:val="0"/>
                <w:szCs w:val="21"/>
              </w:rPr>
            </w:pPr>
          </w:p>
        </w:tc>
        <w:tc>
          <w:tcPr>
            <w:tcW w:w="6210" w:type="dxa"/>
            <w:vAlign w:val="center"/>
          </w:tcPr>
          <w:p>
            <w:pPr>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lang w:val="en-US" w:eastAsia="zh-CN"/>
              </w:rPr>
              <w:t>氧乐果、克百威、甲氰菊酯、霜霉威和霜霉威盐酸盐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jc w:val="center"/>
              <w:textAlignment w:val="center"/>
            </w:pPr>
          </w:p>
        </w:tc>
        <w:tc>
          <w:tcPr>
            <w:tcW w:w="1069" w:type="dxa"/>
            <w:vMerge w:val="continue"/>
            <w:vAlign w:val="center"/>
          </w:tcPr>
          <w:p>
            <w:pPr>
              <w:jc w:val="center"/>
              <w:textAlignment w:val="center"/>
            </w:pPr>
          </w:p>
        </w:tc>
        <w:tc>
          <w:tcPr>
            <w:tcW w:w="1057" w:type="dxa"/>
            <w:vMerge w:val="continue"/>
            <w:vAlign w:val="center"/>
          </w:tcPr>
          <w:p>
            <w:pPr>
              <w:jc w:val="center"/>
              <w:textAlignment w:val="center"/>
            </w:pPr>
          </w:p>
        </w:tc>
        <w:tc>
          <w:tcPr>
            <w:tcW w:w="1103" w:type="dxa"/>
            <w:vMerge w:val="continue"/>
            <w:vAlign w:val="center"/>
          </w:tcPr>
          <w:p>
            <w:pPr>
              <w:jc w:val="center"/>
              <w:textAlignment w:val="center"/>
            </w:pPr>
          </w:p>
        </w:tc>
        <w:tc>
          <w:tcPr>
            <w:tcW w:w="1080" w:type="dxa"/>
            <w:vAlign w:val="center"/>
          </w:tcPr>
          <w:p>
            <w:pPr>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番茄</w:t>
            </w:r>
          </w:p>
        </w:tc>
        <w:tc>
          <w:tcPr>
            <w:tcW w:w="2955" w:type="dxa"/>
            <w:vMerge w:val="continue"/>
            <w:vAlign w:val="center"/>
          </w:tcPr>
          <w:p>
            <w:pPr>
              <w:jc w:val="center"/>
              <w:textAlignment w:val="center"/>
              <w:rPr>
                <w:rFonts w:hint="eastAsia" w:cs="宋体" w:asciiTheme="minorEastAsia" w:hAnsiTheme="minorEastAsia" w:eastAsiaTheme="minorEastAsia"/>
                <w:kern w:val="0"/>
                <w:szCs w:val="21"/>
                <w:lang w:val="en-US" w:eastAsia="zh-CN"/>
              </w:rPr>
            </w:pPr>
          </w:p>
        </w:tc>
        <w:tc>
          <w:tcPr>
            <w:tcW w:w="6210" w:type="dxa"/>
            <w:vAlign w:val="center"/>
          </w:tcPr>
          <w:p>
            <w:pPr>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氧乐果、克百威、毒死蜱、溴氰菊酯、灭线磷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豆</w:t>
            </w:r>
            <w:r>
              <w:rPr>
                <w:rFonts w:hint="eastAsia" w:cs="宋体" w:asciiTheme="minorEastAsia" w:hAnsiTheme="minorEastAsia" w:eastAsiaTheme="minorEastAsia"/>
                <w:kern w:val="0"/>
                <w:szCs w:val="21"/>
              </w:rPr>
              <w:t>类蔬菜</w:t>
            </w:r>
          </w:p>
        </w:tc>
        <w:tc>
          <w:tcPr>
            <w:tcW w:w="1080" w:type="dxa"/>
            <w:vAlign w:val="center"/>
          </w:tcPr>
          <w:p>
            <w:pPr>
              <w:widowControl/>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豇豆</w:t>
            </w:r>
          </w:p>
        </w:tc>
        <w:tc>
          <w:tcPr>
            <w:tcW w:w="2955"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621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克百威、氧乐果、水胺硫磷、灭蝇胺、氟虫腈、阿维菌素、甲基异柳磷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jc w:val="center"/>
              <w:textAlignment w:val="center"/>
            </w:pPr>
          </w:p>
        </w:tc>
        <w:tc>
          <w:tcPr>
            <w:tcW w:w="1069" w:type="dxa"/>
            <w:vMerge w:val="continue"/>
            <w:vAlign w:val="center"/>
          </w:tcPr>
          <w:p>
            <w:pPr>
              <w:widowControl/>
              <w:jc w:val="center"/>
              <w:textAlignment w:val="center"/>
            </w:pPr>
          </w:p>
        </w:tc>
        <w:tc>
          <w:tcPr>
            <w:tcW w:w="1057" w:type="dxa"/>
            <w:vMerge w:val="continue"/>
            <w:vAlign w:val="center"/>
          </w:tcPr>
          <w:p>
            <w:pPr>
              <w:widowControl/>
              <w:jc w:val="center"/>
              <w:textAlignment w:val="center"/>
            </w:pPr>
          </w:p>
        </w:tc>
        <w:tc>
          <w:tcPr>
            <w:tcW w:w="1103" w:type="dxa"/>
            <w:vMerge w:val="continue"/>
            <w:vAlign w:val="center"/>
          </w:tcPr>
          <w:p>
            <w:pPr>
              <w:widowControl/>
              <w:jc w:val="center"/>
              <w:textAlignment w:val="center"/>
            </w:pPr>
          </w:p>
        </w:tc>
        <w:tc>
          <w:tcPr>
            <w:tcW w:w="1080" w:type="dxa"/>
            <w:vAlign w:val="center"/>
          </w:tcPr>
          <w:p>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菜豆</w:t>
            </w:r>
          </w:p>
        </w:tc>
        <w:tc>
          <w:tcPr>
            <w:tcW w:w="2955" w:type="dxa"/>
            <w:vMerge w:val="continue"/>
            <w:vAlign w:val="center"/>
          </w:tcPr>
          <w:p>
            <w:pPr>
              <w:widowControl/>
              <w:jc w:val="center"/>
              <w:textAlignment w:val="center"/>
              <w:rPr>
                <w:rFonts w:hint="eastAsia" w:cs="宋体" w:asciiTheme="minorEastAsia" w:hAnsiTheme="minorEastAsia" w:eastAsiaTheme="minorEastAsia"/>
                <w:kern w:val="0"/>
                <w:szCs w:val="21"/>
                <w:lang w:val="en-US" w:eastAsia="zh-CN"/>
              </w:rPr>
            </w:pPr>
          </w:p>
        </w:tc>
        <w:tc>
          <w:tcPr>
            <w:tcW w:w="6210" w:type="dxa"/>
            <w:vAlign w:val="center"/>
          </w:tcPr>
          <w:p>
            <w:pPr>
              <w:widowControl/>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氧乐果、克百威、溴氰菊酯、灭蝇胺、氟虫腈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Align w:val="center"/>
          </w:tcPr>
          <w:p>
            <w:pPr>
              <w:widowControl/>
              <w:snapToGrid w:val="0"/>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瓜类蔬菜</w:t>
            </w:r>
          </w:p>
        </w:tc>
        <w:tc>
          <w:tcPr>
            <w:tcW w:w="1080" w:type="dxa"/>
            <w:vAlign w:val="center"/>
          </w:tcPr>
          <w:p>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黄瓜</w:t>
            </w:r>
          </w:p>
        </w:tc>
        <w:tc>
          <w:tcPr>
            <w:tcW w:w="2955"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6210" w:type="dxa"/>
            <w:vAlign w:val="center"/>
          </w:tcPr>
          <w:p>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克百威、氧乐果、毒死蜱、腐霉利、异丙威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restart"/>
            <w:vAlign w:val="center"/>
          </w:tcPr>
          <w:p>
            <w:pPr>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根茎类和薯芋类蔬菜</w:t>
            </w:r>
          </w:p>
        </w:tc>
        <w:tc>
          <w:tcPr>
            <w:tcW w:w="1080" w:type="dxa"/>
            <w:vAlign w:val="center"/>
          </w:tcPr>
          <w:p>
            <w:pPr>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姜</w:t>
            </w:r>
          </w:p>
        </w:tc>
        <w:tc>
          <w:tcPr>
            <w:tcW w:w="2955" w:type="dxa"/>
            <w:vMerge w:val="restart"/>
            <w:vAlign w:val="center"/>
          </w:tcPr>
          <w:p>
            <w:pPr>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2762</w:t>
            </w:r>
            <w:r>
              <w:rPr>
                <w:rFonts w:hint="eastAsia" w:ascii="MS Mincho" w:hAnsi="MS Mincho" w:eastAsia="MS Mincho" w:cs="MS Mincho"/>
                <w:kern w:val="0"/>
                <w:szCs w:val="21"/>
              </w:rPr>
              <w:t>‒</w:t>
            </w:r>
            <w:r>
              <w:rPr>
                <w:rFonts w:hint="eastAsia" w:cs="宋体" w:asciiTheme="minorEastAsia" w:hAnsiTheme="minorEastAsia" w:eastAsiaTheme="minorEastAsia"/>
                <w:kern w:val="0"/>
                <w:szCs w:val="21"/>
              </w:rPr>
              <w:t>2017《食品安全国家标准 食品中污染物限量》</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GB</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2763‒201</w:t>
            </w:r>
            <w:r>
              <w:rPr>
                <w:rFonts w:hint="eastAsia" w:cs="宋体" w:asciiTheme="minorEastAsia" w:hAnsiTheme="minorEastAsia" w:eastAsiaTheme="minorEastAsia"/>
                <w:kern w:val="0"/>
                <w:szCs w:val="21"/>
                <w:lang w:val="en-US" w:eastAsia="zh-CN"/>
              </w:rPr>
              <w:t>9</w:t>
            </w:r>
            <w:r>
              <w:rPr>
                <w:rFonts w:hint="eastAsia" w:cs="宋体" w:asciiTheme="minorEastAsia" w:hAnsiTheme="minorEastAsia" w:eastAsiaTheme="minorEastAsia"/>
                <w:kern w:val="0"/>
                <w:szCs w:val="21"/>
              </w:rPr>
              <w:t>《食品安全国家标准 食品中农药最大残留限量》</w:t>
            </w:r>
            <w:bookmarkStart w:id="0" w:name="_GoBack"/>
            <w:bookmarkEnd w:id="0"/>
          </w:p>
        </w:tc>
        <w:tc>
          <w:tcPr>
            <w:tcW w:w="6210" w:type="dxa"/>
            <w:vAlign w:val="center"/>
          </w:tcPr>
          <w:p>
            <w:pPr>
              <w:snapToGrid w:val="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铅（以Pb计）、镉（以Cd计）、甲拌磷、氟虫腈、克百威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568" w:type="dxa"/>
            <w:vMerge w:val="continue"/>
            <w:vAlign w:val="center"/>
          </w:tcPr>
          <w:p>
            <w:pPr>
              <w:widowControl/>
              <w:jc w:val="center"/>
              <w:textAlignment w:val="center"/>
            </w:pPr>
          </w:p>
        </w:tc>
        <w:tc>
          <w:tcPr>
            <w:tcW w:w="1069" w:type="dxa"/>
            <w:vMerge w:val="continue"/>
            <w:vAlign w:val="center"/>
          </w:tcPr>
          <w:p>
            <w:pPr>
              <w:widowControl/>
              <w:jc w:val="center"/>
              <w:textAlignment w:val="center"/>
            </w:pPr>
          </w:p>
        </w:tc>
        <w:tc>
          <w:tcPr>
            <w:tcW w:w="1057" w:type="dxa"/>
            <w:vMerge w:val="continue"/>
            <w:vAlign w:val="center"/>
          </w:tcPr>
          <w:p>
            <w:pPr>
              <w:widowControl/>
              <w:jc w:val="center"/>
              <w:textAlignment w:val="center"/>
            </w:pPr>
          </w:p>
        </w:tc>
        <w:tc>
          <w:tcPr>
            <w:tcW w:w="1103" w:type="dxa"/>
            <w:vMerge w:val="continue"/>
            <w:vAlign w:val="center"/>
          </w:tcPr>
          <w:p>
            <w:pPr>
              <w:jc w:val="center"/>
              <w:textAlignment w:val="center"/>
            </w:pPr>
          </w:p>
        </w:tc>
        <w:tc>
          <w:tcPr>
            <w:tcW w:w="1080" w:type="dxa"/>
            <w:vAlign w:val="center"/>
          </w:tcPr>
          <w:p>
            <w:pPr>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山药</w:t>
            </w:r>
          </w:p>
        </w:tc>
        <w:tc>
          <w:tcPr>
            <w:tcW w:w="2955" w:type="dxa"/>
            <w:vMerge w:val="continue"/>
            <w:vAlign w:val="center"/>
          </w:tcPr>
          <w:p>
            <w:pPr>
              <w:jc w:val="center"/>
              <w:textAlignment w:val="center"/>
              <w:rPr>
                <w:rFonts w:hint="eastAsia" w:cs="宋体" w:asciiTheme="minorEastAsia" w:hAnsiTheme="minorEastAsia" w:eastAsiaTheme="minorEastAsia"/>
                <w:kern w:val="0"/>
                <w:szCs w:val="21"/>
                <w:lang w:val="en-US" w:eastAsia="zh-CN"/>
              </w:rPr>
            </w:pPr>
          </w:p>
        </w:tc>
        <w:tc>
          <w:tcPr>
            <w:tcW w:w="6210" w:type="dxa"/>
            <w:vAlign w:val="center"/>
          </w:tcPr>
          <w:p>
            <w:pPr>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铅（以Pb计）、氧乐果、克百威、涕灭威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豆芽</w:t>
            </w:r>
          </w:p>
        </w:tc>
        <w:tc>
          <w:tcPr>
            <w:tcW w:w="1080"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豆芽</w:t>
            </w:r>
          </w:p>
        </w:tc>
        <w:tc>
          <w:tcPr>
            <w:tcW w:w="2955" w:type="dxa"/>
            <w:vAlign w:val="center"/>
          </w:tcPr>
          <w:p>
            <w:pPr>
              <w:widowControl/>
              <w:snapToGrid w:val="0"/>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GB 2762-2017《食品安全国家标准 食品中污染物限量》、</w:t>
            </w:r>
            <w:r>
              <w:rPr>
                <w:rFonts w:hint="eastAsia" w:cs="宋体" w:asciiTheme="minorEastAsia" w:hAnsiTheme="minorEastAsia" w:eastAsiaTheme="minorEastAsia"/>
                <w:kern w:val="0"/>
                <w:szCs w:val="21"/>
              </w:rPr>
              <w:t>GB 22556-2008《豆芽卫生标准》</w:t>
            </w:r>
            <w:r>
              <w:rPr>
                <w:rFonts w:hint="eastAsia" w:cs="宋体" w:asciiTheme="minorEastAsia" w:hAnsiTheme="minorEastAsia" w:eastAsiaTheme="minorEastAsia"/>
                <w:kern w:val="0"/>
                <w:szCs w:val="21"/>
                <w:lang w:eastAsia="zh-CN"/>
              </w:rPr>
              <w:t>、国家食品药品监督管理总局农业部国家卫生和计划生育委员会关于豆芽生产过程中禁止使用6-苄基腺嘌呤等物质的公告(2015年第11号)</w:t>
            </w:r>
          </w:p>
        </w:tc>
        <w:tc>
          <w:tcPr>
            <w:tcW w:w="621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铅（以Pb计）、亚硫酸盐（以SO2计）、4-氯苯氧乙酸钠（以4-氯苯氧乙酸计）、6-苄基腺嘌呤（6-BA）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水产品</w:t>
            </w:r>
          </w:p>
        </w:tc>
        <w:tc>
          <w:tcPr>
            <w:tcW w:w="1103"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淡水产品</w:t>
            </w:r>
          </w:p>
        </w:tc>
        <w:tc>
          <w:tcPr>
            <w:tcW w:w="1080"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淡水鱼</w:t>
            </w:r>
          </w:p>
        </w:tc>
        <w:tc>
          <w:tcPr>
            <w:tcW w:w="2955"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31650-2019《食品安全国家标准 食品中兽药最大残留限量》、中华人民共和国农业部公告 第2292号《食品动物中停止使用洛美沙星、培氟沙星、氧氟沙星、诺氟沙星4种兽药的决定》</w:t>
            </w:r>
            <w:r>
              <w:rPr>
                <w:rFonts w:hint="eastAsia" w:cs="宋体" w:asciiTheme="minorEastAsia" w:hAnsiTheme="minorEastAsia" w:eastAsiaTheme="minorEastAsia"/>
                <w:kern w:val="0"/>
                <w:szCs w:val="21"/>
                <w:lang w:eastAsia="zh-CN"/>
              </w:rPr>
              <w:t>、农业农村部公告第250号《食品动物中禁止使用的药品及其他化合物清单》</w:t>
            </w:r>
          </w:p>
        </w:tc>
        <w:tc>
          <w:tcPr>
            <w:tcW w:w="621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恩诺沙星、呋喃唑酮代谢物、孔雀石绿、氧氟沙星、氯霉素、地西泮、培氟沙星、诺氟沙星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5" w:hRule="atLeast"/>
        </w:trPr>
        <w:tc>
          <w:tcPr>
            <w:tcW w:w="568" w:type="dxa"/>
            <w:vMerge w:val="continue"/>
            <w:vAlign w:val="center"/>
          </w:tcPr>
          <w:p>
            <w:pPr>
              <w:widowControl/>
              <w:snapToGrid w:val="0"/>
              <w:jc w:val="center"/>
              <w:textAlignment w:val="center"/>
            </w:pPr>
          </w:p>
        </w:tc>
        <w:tc>
          <w:tcPr>
            <w:tcW w:w="1069" w:type="dxa"/>
            <w:vMerge w:val="continue"/>
            <w:vAlign w:val="center"/>
          </w:tcPr>
          <w:p>
            <w:pPr>
              <w:widowControl/>
              <w:snapToGrid w:val="0"/>
              <w:jc w:val="center"/>
              <w:textAlignment w:val="center"/>
            </w:pPr>
          </w:p>
        </w:tc>
        <w:tc>
          <w:tcPr>
            <w:tcW w:w="1057" w:type="dxa"/>
            <w:vMerge w:val="continue"/>
            <w:vAlign w:val="center"/>
          </w:tcPr>
          <w:p>
            <w:pPr>
              <w:widowControl/>
              <w:snapToGrid w:val="0"/>
              <w:jc w:val="center"/>
              <w:textAlignment w:val="center"/>
            </w:pPr>
          </w:p>
        </w:tc>
        <w:tc>
          <w:tcPr>
            <w:tcW w:w="1103" w:type="dxa"/>
            <w:vAlign w:val="center"/>
          </w:tcPr>
          <w:p>
            <w:pPr>
              <w:widowControl/>
              <w:snapToGrid w:val="0"/>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海水产品</w:t>
            </w:r>
          </w:p>
        </w:tc>
        <w:tc>
          <w:tcPr>
            <w:tcW w:w="1080"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海水鱼</w:t>
            </w:r>
          </w:p>
        </w:tc>
        <w:tc>
          <w:tcPr>
            <w:tcW w:w="2955" w:type="dxa"/>
            <w:vAlign w:val="center"/>
          </w:tcPr>
          <w:p>
            <w:pPr>
              <w:widowControl/>
              <w:snapToGrid w:val="0"/>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GB 2762-2017《食品安全国家标准 食品中污染物限量》、</w:t>
            </w:r>
            <w:r>
              <w:rPr>
                <w:rFonts w:hint="eastAsia" w:cs="宋体" w:asciiTheme="minorEastAsia" w:hAnsiTheme="minorEastAsia" w:eastAsiaTheme="minorEastAsia"/>
                <w:kern w:val="0"/>
                <w:szCs w:val="21"/>
              </w:rPr>
              <w:t>GB 31650-2019《食品安全国家标准 食品中兽药最大残留限量》、中华人民共和国农业部公告 第2292号《食品动物中停止使用洛美沙星、培氟沙星、氧氟沙星、诺氟沙星4种兽药的决定》</w:t>
            </w:r>
            <w:r>
              <w:rPr>
                <w:rFonts w:hint="eastAsia" w:cs="宋体" w:asciiTheme="minorEastAsia" w:hAnsiTheme="minorEastAsia" w:eastAsiaTheme="minorEastAsia"/>
                <w:kern w:val="0"/>
                <w:szCs w:val="21"/>
                <w:lang w:eastAsia="zh-CN"/>
              </w:rPr>
              <w:t>、农业农村部公告第250号《食品动物中禁止使用的药品及其他化合物清单》</w:t>
            </w:r>
          </w:p>
        </w:tc>
        <w:tc>
          <w:tcPr>
            <w:tcW w:w="6210" w:type="dxa"/>
            <w:vAlign w:val="center"/>
          </w:tcPr>
          <w:p>
            <w:pPr>
              <w:widowControl/>
              <w:snapToGrid w:val="0"/>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镉（以Cd计）、孔雀石绿、氯霉素、呋喃唑酮代谢物、恩诺沙星、氧氟沙星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水果类</w:t>
            </w:r>
          </w:p>
        </w:tc>
        <w:tc>
          <w:tcPr>
            <w:tcW w:w="1103" w:type="dxa"/>
            <w:vMerge w:val="restart"/>
            <w:vAlign w:val="center"/>
          </w:tcPr>
          <w:p>
            <w:pPr>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热带和亚热带水果</w:t>
            </w:r>
          </w:p>
        </w:tc>
        <w:tc>
          <w:tcPr>
            <w:tcW w:w="1080" w:type="dxa"/>
            <w:vAlign w:val="center"/>
          </w:tcPr>
          <w:p>
            <w:pPr>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柿子</w:t>
            </w:r>
          </w:p>
        </w:tc>
        <w:tc>
          <w:tcPr>
            <w:tcW w:w="2955"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2763</w:t>
            </w:r>
            <w:r>
              <w:rPr>
                <w:rFonts w:hint="eastAsia" w:ascii="MS Mincho" w:hAnsi="MS Mincho" w:eastAsia="MS Mincho" w:cs="MS Mincho"/>
                <w:kern w:val="0"/>
                <w:szCs w:val="21"/>
              </w:rPr>
              <w:t>‒</w:t>
            </w:r>
            <w:r>
              <w:rPr>
                <w:rFonts w:hint="eastAsia" w:cs="宋体" w:asciiTheme="minorEastAsia" w:hAnsiTheme="minorEastAsia" w:eastAsiaTheme="minorEastAsia"/>
                <w:kern w:val="0"/>
                <w:szCs w:val="21"/>
              </w:rPr>
              <w:t>201</w:t>
            </w:r>
            <w:r>
              <w:rPr>
                <w:rFonts w:hint="eastAsia" w:cs="宋体" w:asciiTheme="minorEastAsia" w:hAnsiTheme="minorEastAsia" w:eastAsiaTheme="minorEastAsia"/>
                <w:kern w:val="0"/>
                <w:szCs w:val="21"/>
                <w:lang w:val="en-US" w:eastAsia="zh-CN"/>
              </w:rPr>
              <w:t>9</w:t>
            </w:r>
            <w:r>
              <w:rPr>
                <w:rFonts w:hint="eastAsia" w:cs="宋体" w:asciiTheme="minorEastAsia" w:hAnsiTheme="minorEastAsia" w:eastAsiaTheme="minorEastAsia"/>
                <w:kern w:val="0"/>
                <w:szCs w:val="21"/>
              </w:rPr>
              <w:t>《食品安全国家标准 食品中农药最大残留限量》</w:t>
            </w:r>
          </w:p>
        </w:tc>
        <w:tc>
          <w:tcPr>
            <w:tcW w:w="6210" w:type="dxa"/>
            <w:vAlign w:val="center"/>
          </w:tcPr>
          <w:p>
            <w:pPr>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克百威、杀扑磷、水胺硫磷、辛硫磷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568" w:type="dxa"/>
            <w:vMerge w:val="continue"/>
            <w:vAlign w:val="center"/>
          </w:tcPr>
          <w:p>
            <w:pPr>
              <w:jc w:val="center"/>
              <w:textAlignment w:val="center"/>
            </w:pPr>
          </w:p>
        </w:tc>
        <w:tc>
          <w:tcPr>
            <w:tcW w:w="1069" w:type="dxa"/>
            <w:vMerge w:val="continue"/>
            <w:vAlign w:val="center"/>
          </w:tcPr>
          <w:p>
            <w:pPr>
              <w:jc w:val="center"/>
              <w:textAlignment w:val="center"/>
            </w:pPr>
          </w:p>
        </w:tc>
        <w:tc>
          <w:tcPr>
            <w:tcW w:w="1057" w:type="dxa"/>
            <w:vMerge w:val="continue"/>
            <w:vAlign w:val="center"/>
          </w:tcPr>
          <w:p>
            <w:pPr>
              <w:jc w:val="center"/>
              <w:textAlignment w:val="center"/>
            </w:pPr>
          </w:p>
        </w:tc>
        <w:tc>
          <w:tcPr>
            <w:tcW w:w="1103" w:type="dxa"/>
            <w:vMerge w:val="continue"/>
            <w:vAlign w:val="center"/>
          </w:tcPr>
          <w:p>
            <w:pPr>
              <w:jc w:val="center"/>
              <w:textAlignment w:val="center"/>
            </w:pPr>
          </w:p>
        </w:tc>
        <w:tc>
          <w:tcPr>
            <w:tcW w:w="1080" w:type="dxa"/>
            <w:vAlign w:val="center"/>
          </w:tcPr>
          <w:p>
            <w:pPr>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菠萝</w:t>
            </w:r>
          </w:p>
        </w:tc>
        <w:tc>
          <w:tcPr>
            <w:tcW w:w="2955" w:type="dxa"/>
            <w:vMerge w:val="continue"/>
            <w:vAlign w:val="center"/>
          </w:tcPr>
          <w:p>
            <w:pPr>
              <w:jc w:val="center"/>
              <w:textAlignment w:val="center"/>
              <w:rPr>
                <w:rFonts w:cs="宋体" w:asciiTheme="minorEastAsia" w:hAnsiTheme="minorEastAsia" w:eastAsiaTheme="minorEastAsia"/>
                <w:kern w:val="0"/>
                <w:szCs w:val="21"/>
              </w:rPr>
            </w:pPr>
          </w:p>
        </w:tc>
        <w:tc>
          <w:tcPr>
            <w:tcW w:w="6210" w:type="dxa"/>
            <w:vAlign w:val="center"/>
          </w:tcPr>
          <w:p>
            <w:pPr>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多菌灵、烯酰吗啉、丙环唑、硫线磷、灭多威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restart"/>
            <w:vAlign w:val="center"/>
          </w:tcPr>
          <w:p>
            <w:pPr>
              <w:widowControl/>
              <w:snapToGrid w:val="0"/>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柑橘类水果</w:t>
            </w:r>
          </w:p>
        </w:tc>
        <w:tc>
          <w:tcPr>
            <w:tcW w:w="1080" w:type="dxa"/>
            <w:vAlign w:val="center"/>
          </w:tcPr>
          <w:p>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柑、橘</w:t>
            </w:r>
          </w:p>
        </w:tc>
        <w:tc>
          <w:tcPr>
            <w:tcW w:w="2955"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6210" w:type="dxa"/>
            <w:vAlign w:val="center"/>
          </w:tcPr>
          <w:p>
            <w:pPr>
              <w:widowControl/>
              <w:jc w:val="center"/>
              <w:textAlignment w:val="center"/>
              <w:rPr>
                <w:rFonts w:hint="eastAsia" w:cs="Sun-ExtA" w:asciiTheme="minorEastAsia" w:hAnsiTheme="minorEastAsia" w:eastAsiaTheme="minorEastAsia"/>
                <w:kern w:val="0"/>
                <w:szCs w:val="21"/>
              </w:rPr>
            </w:pPr>
            <w:r>
              <w:rPr>
                <w:rFonts w:hint="eastAsia" w:cs="Sun-ExtA" w:asciiTheme="minorEastAsia" w:hAnsiTheme="minorEastAsia" w:eastAsiaTheme="minorEastAsia"/>
                <w:kern w:val="0"/>
                <w:szCs w:val="21"/>
              </w:rPr>
              <w:t>丙溴磷、多菌灵、克百威、联苯菊酯、三唑磷、氧乐果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trPr>
        <w:tc>
          <w:tcPr>
            <w:tcW w:w="568" w:type="dxa"/>
            <w:vMerge w:val="continue"/>
            <w:vAlign w:val="center"/>
          </w:tcPr>
          <w:p>
            <w:pPr>
              <w:widowControl/>
              <w:jc w:val="center"/>
              <w:textAlignment w:val="center"/>
            </w:pPr>
          </w:p>
        </w:tc>
        <w:tc>
          <w:tcPr>
            <w:tcW w:w="1069" w:type="dxa"/>
            <w:vMerge w:val="continue"/>
            <w:vAlign w:val="center"/>
          </w:tcPr>
          <w:p>
            <w:pPr>
              <w:widowControl/>
              <w:jc w:val="center"/>
              <w:textAlignment w:val="center"/>
            </w:pPr>
          </w:p>
        </w:tc>
        <w:tc>
          <w:tcPr>
            <w:tcW w:w="1057" w:type="dxa"/>
            <w:vMerge w:val="continue"/>
            <w:vAlign w:val="center"/>
          </w:tcPr>
          <w:p>
            <w:pPr>
              <w:widowControl/>
              <w:jc w:val="center"/>
              <w:textAlignment w:val="center"/>
            </w:pPr>
          </w:p>
        </w:tc>
        <w:tc>
          <w:tcPr>
            <w:tcW w:w="1103" w:type="dxa"/>
            <w:vMerge w:val="continue"/>
            <w:vAlign w:val="center"/>
          </w:tcPr>
          <w:p>
            <w:pPr>
              <w:widowControl/>
              <w:jc w:val="center"/>
              <w:textAlignment w:val="center"/>
            </w:pPr>
          </w:p>
        </w:tc>
        <w:tc>
          <w:tcPr>
            <w:tcW w:w="1080" w:type="dxa"/>
            <w:vAlign w:val="center"/>
          </w:tcPr>
          <w:p>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柚</w:t>
            </w:r>
          </w:p>
        </w:tc>
        <w:tc>
          <w:tcPr>
            <w:tcW w:w="2955" w:type="dxa"/>
            <w:vMerge w:val="continue"/>
            <w:vAlign w:val="center"/>
          </w:tcPr>
          <w:p>
            <w:pPr>
              <w:widowControl/>
              <w:jc w:val="center"/>
              <w:textAlignment w:val="center"/>
              <w:rPr>
                <w:rFonts w:hint="eastAsia" w:cs="宋体" w:asciiTheme="minorEastAsia" w:hAnsiTheme="minorEastAsia" w:eastAsiaTheme="minorEastAsia"/>
                <w:kern w:val="0"/>
                <w:szCs w:val="21"/>
                <w:lang w:val="en-US" w:eastAsia="zh-CN"/>
              </w:rPr>
            </w:pPr>
          </w:p>
        </w:tc>
        <w:tc>
          <w:tcPr>
            <w:tcW w:w="6210" w:type="dxa"/>
            <w:vAlign w:val="center"/>
          </w:tcPr>
          <w:p>
            <w:pPr>
              <w:widowControl/>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辛硫磷、氟虫腈、联苯菊酯、溴氰菊酯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瓜果</w:t>
            </w:r>
            <w:r>
              <w:rPr>
                <w:rFonts w:hint="eastAsia" w:cs="宋体" w:asciiTheme="minorEastAsia" w:hAnsiTheme="minorEastAsia" w:eastAsiaTheme="minorEastAsia"/>
                <w:kern w:val="0"/>
                <w:szCs w:val="21"/>
              </w:rPr>
              <w:t>类水果</w:t>
            </w:r>
          </w:p>
        </w:tc>
        <w:tc>
          <w:tcPr>
            <w:tcW w:w="1080" w:type="dxa"/>
            <w:vAlign w:val="center"/>
          </w:tcPr>
          <w:p>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西瓜</w:t>
            </w:r>
          </w:p>
        </w:tc>
        <w:tc>
          <w:tcPr>
            <w:tcW w:w="2955"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6210" w:type="dxa"/>
            <w:vAlign w:val="center"/>
          </w:tcPr>
          <w:p>
            <w:pPr>
              <w:widowControl/>
              <w:jc w:val="center"/>
              <w:textAlignment w:val="center"/>
              <w:rPr>
                <w:rFonts w:cs="Sun-ExtA" w:asciiTheme="minorEastAsia" w:hAnsiTheme="minorEastAsia" w:eastAsiaTheme="minorEastAsia"/>
                <w:kern w:val="0"/>
                <w:szCs w:val="21"/>
              </w:rPr>
            </w:pPr>
            <w:r>
              <w:rPr>
                <w:rFonts w:hint="eastAsia" w:cs="Sun-ExtA" w:asciiTheme="minorEastAsia" w:hAnsiTheme="minorEastAsia" w:eastAsiaTheme="minorEastAsia"/>
                <w:kern w:val="0"/>
                <w:szCs w:val="21"/>
              </w:rPr>
              <w:t>敌敌畏、甲霜灵和精甲霜灵、克百威、噻虫嗪、氧乐果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3" w:hRule="atLeast"/>
        </w:trPr>
        <w:tc>
          <w:tcPr>
            <w:tcW w:w="568" w:type="dxa"/>
            <w:vMerge w:val="continue"/>
            <w:vAlign w:val="center"/>
          </w:tcPr>
          <w:p>
            <w:pPr>
              <w:widowControl/>
              <w:snapToGrid w:val="0"/>
              <w:spacing w:line="360" w:lineRule="exact"/>
              <w:jc w:val="center"/>
              <w:rPr>
                <w:rFonts w:cs="宋体" w:asciiTheme="minorEastAsia" w:hAnsiTheme="minorEastAsia" w:eastAsiaTheme="minorEastAsia"/>
                <w:bCs/>
                <w:szCs w:val="21"/>
              </w:rPr>
            </w:pPr>
          </w:p>
        </w:tc>
        <w:tc>
          <w:tcPr>
            <w:tcW w:w="1069" w:type="dxa"/>
            <w:vMerge w:val="continue"/>
            <w:vAlign w:val="center"/>
          </w:tcPr>
          <w:p>
            <w:pPr>
              <w:snapToGrid w:val="0"/>
              <w:jc w:val="center"/>
              <w:rPr>
                <w:rFonts w:cs="宋体" w:asciiTheme="minorEastAsia" w:hAnsiTheme="minorEastAsia" w:eastAsiaTheme="minorEastAsia"/>
                <w:kern w:val="0"/>
                <w:szCs w:val="21"/>
              </w:rPr>
            </w:pPr>
          </w:p>
        </w:tc>
        <w:tc>
          <w:tcPr>
            <w:tcW w:w="1057"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鲜蛋</w:t>
            </w:r>
          </w:p>
        </w:tc>
        <w:tc>
          <w:tcPr>
            <w:tcW w:w="1103"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鲜蛋</w:t>
            </w:r>
          </w:p>
        </w:tc>
        <w:tc>
          <w:tcPr>
            <w:tcW w:w="1080"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鸡蛋</w:t>
            </w:r>
          </w:p>
        </w:tc>
        <w:tc>
          <w:tcPr>
            <w:tcW w:w="2955"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31650-2019《食品安全国家标准 食品中兽药最大残留限量》、</w:t>
            </w:r>
            <w:r>
              <w:rPr>
                <w:rFonts w:hint="eastAsia" w:cs="宋体" w:asciiTheme="minorEastAsia" w:hAnsiTheme="minorEastAsia" w:eastAsiaTheme="minorEastAsia"/>
                <w:kern w:val="0"/>
                <w:szCs w:val="21"/>
                <w:lang w:eastAsia="zh-CN"/>
              </w:rPr>
              <w:t>农业农村部公告第250号《食品动物中禁止使用的药品及其他化合物清单》、</w:t>
            </w:r>
            <w:r>
              <w:rPr>
                <w:rFonts w:hint="eastAsia" w:cs="宋体" w:asciiTheme="minorEastAsia" w:hAnsiTheme="minorEastAsia" w:eastAsiaTheme="minorEastAsia"/>
                <w:kern w:val="0"/>
                <w:szCs w:val="21"/>
              </w:rPr>
              <w:t>中华人民共和国农业部公告 第2292号《食品动物中停止使用洛美沙星、培氟沙星、氧氟沙星、诺氟沙星4种兽药的决定》</w:t>
            </w:r>
            <w:r>
              <w:rPr>
                <w:rFonts w:hint="eastAsia" w:cs="宋体" w:asciiTheme="minorEastAsia" w:hAnsiTheme="minorEastAsia" w:eastAsiaTheme="minorEastAsia"/>
                <w:kern w:val="0"/>
                <w:szCs w:val="21"/>
                <w:lang w:eastAsia="zh-CN"/>
              </w:rPr>
              <w:t>、农业部公告第560号《兽药地方标准废止目录》</w:t>
            </w:r>
          </w:p>
        </w:tc>
        <w:tc>
          <w:tcPr>
            <w:tcW w:w="6210" w:type="dxa"/>
            <w:vAlign w:val="center"/>
          </w:tcPr>
          <w:p>
            <w:pPr>
              <w:widowControl/>
              <w:jc w:val="center"/>
              <w:textAlignment w:val="center"/>
              <w:rPr>
                <w:rFonts w:cs="Sun-ExtA" w:asciiTheme="minorEastAsia" w:hAnsiTheme="minorEastAsia" w:eastAsiaTheme="minorEastAsia"/>
                <w:kern w:val="0"/>
                <w:szCs w:val="21"/>
              </w:rPr>
            </w:pPr>
            <w:r>
              <w:rPr>
                <w:rFonts w:hint="eastAsia" w:cs="Sun-ExtA" w:asciiTheme="minorEastAsia" w:hAnsiTheme="minorEastAsia" w:eastAsiaTheme="minorEastAsia"/>
                <w:kern w:val="0"/>
                <w:szCs w:val="21"/>
              </w:rPr>
              <w:t>氯霉素、氟苯尼考、恩诺沙星、氧氟沙星、金刚烷胺</w:t>
            </w:r>
          </w:p>
        </w:tc>
      </w:tr>
    </w:tbl>
    <w:p>
      <w:pPr>
        <w:spacing w:line="600" w:lineRule="exact"/>
        <w:textAlignment w:val="baseline"/>
        <w:rPr>
          <w:kern w:val="0"/>
        </w:rPr>
      </w:pPr>
    </w:p>
    <w:sectPr>
      <w:footerReference r:id="rId3" w:type="default"/>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un-ExtA">
    <w:altName w:val="宋体"/>
    <w:panose1 w:val="00000000000000000000"/>
    <w:charset w:val="86"/>
    <w:family w:val="auto"/>
    <w:pitch w:val="default"/>
    <w:sig w:usb0="00000000" w:usb1="00000000" w:usb2="0817FDFF" w:usb3="00000000" w:csb0="003F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宋体" w:hAnsi="宋体"/>
      </w:rPr>
      <w:t>—</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2</w:t>
    </w:r>
    <w:r>
      <w:rPr>
        <w:rFonts w:ascii="宋体" w:hAnsi="宋体"/>
      </w:rPr>
      <w:fldChar w:fldCharType="end"/>
    </w:r>
    <w:r>
      <w:rPr>
        <w:rFonts w:ascii="宋体" w:hAnsi="宋体"/>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11C34"/>
    <w:rsid w:val="0001341F"/>
    <w:rsid w:val="00020038"/>
    <w:rsid w:val="00020472"/>
    <w:rsid w:val="00021546"/>
    <w:rsid w:val="00025650"/>
    <w:rsid w:val="000373E1"/>
    <w:rsid w:val="0004232C"/>
    <w:rsid w:val="0005530F"/>
    <w:rsid w:val="00057C9D"/>
    <w:rsid w:val="00061C1F"/>
    <w:rsid w:val="000644E2"/>
    <w:rsid w:val="0007338B"/>
    <w:rsid w:val="000800AE"/>
    <w:rsid w:val="00097E5A"/>
    <w:rsid w:val="000A077E"/>
    <w:rsid w:val="000A1CA7"/>
    <w:rsid w:val="000A1D22"/>
    <w:rsid w:val="000A389C"/>
    <w:rsid w:val="000B050A"/>
    <w:rsid w:val="000B6096"/>
    <w:rsid w:val="000B6C93"/>
    <w:rsid w:val="000C18BE"/>
    <w:rsid w:val="000D0C4C"/>
    <w:rsid w:val="000D287B"/>
    <w:rsid w:val="000E3B65"/>
    <w:rsid w:val="000E7F37"/>
    <w:rsid w:val="000F56C5"/>
    <w:rsid w:val="000F6A94"/>
    <w:rsid w:val="0010014F"/>
    <w:rsid w:val="00102897"/>
    <w:rsid w:val="00113712"/>
    <w:rsid w:val="00117D5C"/>
    <w:rsid w:val="00124CE1"/>
    <w:rsid w:val="00125FCD"/>
    <w:rsid w:val="0013342C"/>
    <w:rsid w:val="00136C77"/>
    <w:rsid w:val="00141416"/>
    <w:rsid w:val="00152AB0"/>
    <w:rsid w:val="00156C2C"/>
    <w:rsid w:val="001570A9"/>
    <w:rsid w:val="001707C3"/>
    <w:rsid w:val="00170E37"/>
    <w:rsid w:val="0017276B"/>
    <w:rsid w:val="00175B49"/>
    <w:rsid w:val="00176DD9"/>
    <w:rsid w:val="00177A5D"/>
    <w:rsid w:val="001A0A16"/>
    <w:rsid w:val="001B2B0B"/>
    <w:rsid w:val="001B57E1"/>
    <w:rsid w:val="001B7BFF"/>
    <w:rsid w:val="001C5998"/>
    <w:rsid w:val="001E19E0"/>
    <w:rsid w:val="001F4806"/>
    <w:rsid w:val="001F6737"/>
    <w:rsid w:val="00213A57"/>
    <w:rsid w:val="00220330"/>
    <w:rsid w:val="00220C3B"/>
    <w:rsid w:val="002447C5"/>
    <w:rsid w:val="00252F34"/>
    <w:rsid w:val="00266A75"/>
    <w:rsid w:val="00272FD6"/>
    <w:rsid w:val="00274FB9"/>
    <w:rsid w:val="00296F29"/>
    <w:rsid w:val="002A1746"/>
    <w:rsid w:val="002A4B60"/>
    <w:rsid w:val="002A651F"/>
    <w:rsid w:val="002A6787"/>
    <w:rsid w:val="002B651D"/>
    <w:rsid w:val="002C0406"/>
    <w:rsid w:val="002C6A5D"/>
    <w:rsid w:val="002E2244"/>
    <w:rsid w:val="002E3A99"/>
    <w:rsid w:val="002E4463"/>
    <w:rsid w:val="002E4D72"/>
    <w:rsid w:val="002E6CE1"/>
    <w:rsid w:val="002F5188"/>
    <w:rsid w:val="002F5D8F"/>
    <w:rsid w:val="00322BF6"/>
    <w:rsid w:val="00326E71"/>
    <w:rsid w:val="00332DD7"/>
    <w:rsid w:val="00333515"/>
    <w:rsid w:val="00334816"/>
    <w:rsid w:val="00336EB1"/>
    <w:rsid w:val="003478B7"/>
    <w:rsid w:val="00352B4E"/>
    <w:rsid w:val="00357F27"/>
    <w:rsid w:val="00363A10"/>
    <w:rsid w:val="00367DCA"/>
    <w:rsid w:val="00386102"/>
    <w:rsid w:val="0038633A"/>
    <w:rsid w:val="00392B20"/>
    <w:rsid w:val="003943E0"/>
    <w:rsid w:val="00394B98"/>
    <w:rsid w:val="00397E20"/>
    <w:rsid w:val="003A1E99"/>
    <w:rsid w:val="003A3AFE"/>
    <w:rsid w:val="003A4410"/>
    <w:rsid w:val="003A4B94"/>
    <w:rsid w:val="003A7B7A"/>
    <w:rsid w:val="003B51E2"/>
    <w:rsid w:val="003D0B14"/>
    <w:rsid w:val="003F4F8B"/>
    <w:rsid w:val="003F6312"/>
    <w:rsid w:val="003F6FCD"/>
    <w:rsid w:val="00400C50"/>
    <w:rsid w:val="00404BF6"/>
    <w:rsid w:val="004057E0"/>
    <w:rsid w:val="00417336"/>
    <w:rsid w:val="00417B40"/>
    <w:rsid w:val="0043606F"/>
    <w:rsid w:val="004471F2"/>
    <w:rsid w:val="00454F06"/>
    <w:rsid w:val="00457D30"/>
    <w:rsid w:val="0047273E"/>
    <w:rsid w:val="00480ABC"/>
    <w:rsid w:val="00483E26"/>
    <w:rsid w:val="00486CE5"/>
    <w:rsid w:val="004872F8"/>
    <w:rsid w:val="004A2F45"/>
    <w:rsid w:val="004B6BD8"/>
    <w:rsid w:val="004C1742"/>
    <w:rsid w:val="004C5EEF"/>
    <w:rsid w:val="004C7D06"/>
    <w:rsid w:val="004D273B"/>
    <w:rsid w:val="004D5FF8"/>
    <w:rsid w:val="004D6D8C"/>
    <w:rsid w:val="004E66C1"/>
    <w:rsid w:val="004F3122"/>
    <w:rsid w:val="00506EEA"/>
    <w:rsid w:val="0051510B"/>
    <w:rsid w:val="0051721E"/>
    <w:rsid w:val="0054294C"/>
    <w:rsid w:val="00550664"/>
    <w:rsid w:val="005643F4"/>
    <w:rsid w:val="005771A5"/>
    <w:rsid w:val="0058016C"/>
    <w:rsid w:val="005817B3"/>
    <w:rsid w:val="00582D12"/>
    <w:rsid w:val="00584C1F"/>
    <w:rsid w:val="005917E6"/>
    <w:rsid w:val="00591E33"/>
    <w:rsid w:val="005932E9"/>
    <w:rsid w:val="005934E7"/>
    <w:rsid w:val="00596CE3"/>
    <w:rsid w:val="005B0C1C"/>
    <w:rsid w:val="005B469F"/>
    <w:rsid w:val="005B7A7F"/>
    <w:rsid w:val="005D4210"/>
    <w:rsid w:val="005D7D45"/>
    <w:rsid w:val="005E2E5E"/>
    <w:rsid w:val="005F0EE0"/>
    <w:rsid w:val="005F2783"/>
    <w:rsid w:val="005F6AB2"/>
    <w:rsid w:val="00600B4A"/>
    <w:rsid w:val="00616FE0"/>
    <w:rsid w:val="00621DA4"/>
    <w:rsid w:val="00625753"/>
    <w:rsid w:val="00646844"/>
    <w:rsid w:val="00656135"/>
    <w:rsid w:val="00656EA2"/>
    <w:rsid w:val="006615D7"/>
    <w:rsid w:val="00676816"/>
    <w:rsid w:val="00682E25"/>
    <w:rsid w:val="00687316"/>
    <w:rsid w:val="0069030F"/>
    <w:rsid w:val="0069349E"/>
    <w:rsid w:val="006A4A55"/>
    <w:rsid w:val="006A584B"/>
    <w:rsid w:val="006A6413"/>
    <w:rsid w:val="006A6837"/>
    <w:rsid w:val="006B139A"/>
    <w:rsid w:val="006B5A67"/>
    <w:rsid w:val="006C447F"/>
    <w:rsid w:val="006D023A"/>
    <w:rsid w:val="006E3497"/>
    <w:rsid w:val="006F32DE"/>
    <w:rsid w:val="007063B8"/>
    <w:rsid w:val="00712E0D"/>
    <w:rsid w:val="00716DFB"/>
    <w:rsid w:val="00721330"/>
    <w:rsid w:val="00745A18"/>
    <w:rsid w:val="00751776"/>
    <w:rsid w:val="00757C06"/>
    <w:rsid w:val="0076408A"/>
    <w:rsid w:val="00765075"/>
    <w:rsid w:val="0076553E"/>
    <w:rsid w:val="007679F1"/>
    <w:rsid w:val="00770EEA"/>
    <w:rsid w:val="00772B6F"/>
    <w:rsid w:val="00772F9F"/>
    <w:rsid w:val="007732F1"/>
    <w:rsid w:val="00774C32"/>
    <w:rsid w:val="0077575E"/>
    <w:rsid w:val="00776FB3"/>
    <w:rsid w:val="0077710D"/>
    <w:rsid w:val="00783A82"/>
    <w:rsid w:val="007943FD"/>
    <w:rsid w:val="00796CB7"/>
    <w:rsid w:val="007A3D77"/>
    <w:rsid w:val="007A5D91"/>
    <w:rsid w:val="007B4FC8"/>
    <w:rsid w:val="007E7E63"/>
    <w:rsid w:val="007F0457"/>
    <w:rsid w:val="007F16D0"/>
    <w:rsid w:val="007F1B18"/>
    <w:rsid w:val="0080067C"/>
    <w:rsid w:val="00804CA1"/>
    <w:rsid w:val="00805CD2"/>
    <w:rsid w:val="00806884"/>
    <w:rsid w:val="008071C6"/>
    <w:rsid w:val="00807CA9"/>
    <w:rsid w:val="00817C9E"/>
    <w:rsid w:val="00820885"/>
    <w:rsid w:val="0082346C"/>
    <w:rsid w:val="00830D7B"/>
    <w:rsid w:val="00831A6E"/>
    <w:rsid w:val="00831EDD"/>
    <w:rsid w:val="00840532"/>
    <w:rsid w:val="00854D09"/>
    <w:rsid w:val="008550AE"/>
    <w:rsid w:val="008572D6"/>
    <w:rsid w:val="0086226C"/>
    <w:rsid w:val="00863B7A"/>
    <w:rsid w:val="008724DD"/>
    <w:rsid w:val="008743A6"/>
    <w:rsid w:val="0087748F"/>
    <w:rsid w:val="00880F04"/>
    <w:rsid w:val="008861D0"/>
    <w:rsid w:val="00886BA6"/>
    <w:rsid w:val="00895177"/>
    <w:rsid w:val="00896909"/>
    <w:rsid w:val="008B108E"/>
    <w:rsid w:val="008C7974"/>
    <w:rsid w:val="008D7ECA"/>
    <w:rsid w:val="008F14CF"/>
    <w:rsid w:val="0090165F"/>
    <w:rsid w:val="00910447"/>
    <w:rsid w:val="00911E10"/>
    <w:rsid w:val="009125A7"/>
    <w:rsid w:val="00922239"/>
    <w:rsid w:val="0092760E"/>
    <w:rsid w:val="00933A31"/>
    <w:rsid w:val="0094303D"/>
    <w:rsid w:val="009441AC"/>
    <w:rsid w:val="0096604C"/>
    <w:rsid w:val="009669E4"/>
    <w:rsid w:val="00966ED2"/>
    <w:rsid w:val="009702EA"/>
    <w:rsid w:val="009714E0"/>
    <w:rsid w:val="009723FD"/>
    <w:rsid w:val="009739BD"/>
    <w:rsid w:val="0098153C"/>
    <w:rsid w:val="009A70DB"/>
    <w:rsid w:val="009B0D33"/>
    <w:rsid w:val="009B17D9"/>
    <w:rsid w:val="009B2B3B"/>
    <w:rsid w:val="009B651C"/>
    <w:rsid w:val="009B7074"/>
    <w:rsid w:val="009C06A8"/>
    <w:rsid w:val="009C1A34"/>
    <w:rsid w:val="009C7855"/>
    <w:rsid w:val="009C78F5"/>
    <w:rsid w:val="009C7D84"/>
    <w:rsid w:val="009D0BD1"/>
    <w:rsid w:val="009D113B"/>
    <w:rsid w:val="009D7D48"/>
    <w:rsid w:val="009E0C03"/>
    <w:rsid w:val="009F4A04"/>
    <w:rsid w:val="00A01F57"/>
    <w:rsid w:val="00A04645"/>
    <w:rsid w:val="00A07CB7"/>
    <w:rsid w:val="00A15373"/>
    <w:rsid w:val="00A1575B"/>
    <w:rsid w:val="00A20677"/>
    <w:rsid w:val="00A257DB"/>
    <w:rsid w:val="00A27103"/>
    <w:rsid w:val="00A5348E"/>
    <w:rsid w:val="00A575AB"/>
    <w:rsid w:val="00A603E7"/>
    <w:rsid w:val="00A618B4"/>
    <w:rsid w:val="00A64B93"/>
    <w:rsid w:val="00A66600"/>
    <w:rsid w:val="00A701D5"/>
    <w:rsid w:val="00A73BCA"/>
    <w:rsid w:val="00A80158"/>
    <w:rsid w:val="00A874DD"/>
    <w:rsid w:val="00A91716"/>
    <w:rsid w:val="00A94006"/>
    <w:rsid w:val="00AA1CB8"/>
    <w:rsid w:val="00AA658C"/>
    <w:rsid w:val="00AB7501"/>
    <w:rsid w:val="00AC1A0C"/>
    <w:rsid w:val="00AE1D1B"/>
    <w:rsid w:val="00AE2ECF"/>
    <w:rsid w:val="00AF2414"/>
    <w:rsid w:val="00AF2DEC"/>
    <w:rsid w:val="00AF7B00"/>
    <w:rsid w:val="00B01034"/>
    <w:rsid w:val="00B062A6"/>
    <w:rsid w:val="00B14237"/>
    <w:rsid w:val="00B250AE"/>
    <w:rsid w:val="00B2683B"/>
    <w:rsid w:val="00B2770C"/>
    <w:rsid w:val="00B30AAD"/>
    <w:rsid w:val="00B44A31"/>
    <w:rsid w:val="00B52693"/>
    <w:rsid w:val="00B5586D"/>
    <w:rsid w:val="00B6038D"/>
    <w:rsid w:val="00B6513D"/>
    <w:rsid w:val="00B75502"/>
    <w:rsid w:val="00B77214"/>
    <w:rsid w:val="00B804D6"/>
    <w:rsid w:val="00B832A9"/>
    <w:rsid w:val="00B92D7D"/>
    <w:rsid w:val="00B976AD"/>
    <w:rsid w:val="00BA55D1"/>
    <w:rsid w:val="00BA68E0"/>
    <w:rsid w:val="00BD0C90"/>
    <w:rsid w:val="00BD1B72"/>
    <w:rsid w:val="00BE07D2"/>
    <w:rsid w:val="00BE6929"/>
    <w:rsid w:val="00BE6B6E"/>
    <w:rsid w:val="00BF148C"/>
    <w:rsid w:val="00BF189F"/>
    <w:rsid w:val="00C036AE"/>
    <w:rsid w:val="00C07488"/>
    <w:rsid w:val="00C16DC9"/>
    <w:rsid w:val="00C33DC3"/>
    <w:rsid w:val="00C35DBC"/>
    <w:rsid w:val="00C43554"/>
    <w:rsid w:val="00C4522E"/>
    <w:rsid w:val="00C50411"/>
    <w:rsid w:val="00C56373"/>
    <w:rsid w:val="00C648C3"/>
    <w:rsid w:val="00C73F91"/>
    <w:rsid w:val="00C76254"/>
    <w:rsid w:val="00C85517"/>
    <w:rsid w:val="00C864CA"/>
    <w:rsid w:val="00C87069"/>
    <w:rsid w:val="00C9156D"/>
    <w:rsid w:val="00C945C2"/>
    <w:rsid w:val="00C9749F"/>
    <w:rsid w:val="00CA264C"/>
    <w:rsid w:val="00CA2CA3"/>
    <w:rsid w:val="00CB05C7"/>
    <w:rsid w:val="00CB45D1"/>
    <w:rsid w:val="00CB47DF"/>
    <w:rsid w:val="00CB7471"/>
    <w:rsid w:val="00CC6249"/>
    <w:rsid w:val="00CE13D2"/>
    <w:rsid w:val="00CE73CD"/>
    <w:rsid w:val="00CF0D96"/>
    <w:rsid w:val="00D02604"/>
    <w:rsid w:val="00D364F9"/>
    <w:rsid w:val="00D417A6"/>
    <w:rsid w:val="00D41D67"/>
    <w:rsid w:val="00D475B0"/>
    <w:rsid w:val="00D47DC9"/>
    <w:rsid w:val="00D52AF3"/>
    <w:rsid w:val="00D551AA"/>
    <w:rsid w:val="00D627EA"/>
    <w:rsid w:val="00D72CC9"/>
    <w:rsid w:val="00D82BFE"/>
    <w:rsid w:val="00D850F6"/>
    <w:rsid w:val="00D864E8"/>
    <w:rsid w:val="00D86D9B"/>
    <w:rsid w:val="00D9333A"/>
    <w:rsid w:val="00DA64F1"/>
    <w:rsid w:val="00DB10E3"/>
    <w:rsid w:val="00DB35A6"/>
    <w:rsid w:val="00DC4214"/>
    <w:rsid w:val="00DD132F"/>
    <w:rsid w:val="00DD1BEE"/>
    <w:rsid w:val="00DD32CF"/>
    <w:rsid w:val="00DD3C2E"/>
    <w:rsid w:val="00DD7C36"/>
    <w:rsid w:val="00DF2A23"/>
    <w:rsid w:val="00DF497A"/>
    <w:rsid w:val="00DF5284"/>
    <w:rsid w:val="00DF5F7D"/>
    <w:rsid w:val="00E06234"/>
    <w:rsid w:val="00E1467F"/>
    <w:rsid w:val="00E2078A"/>
    <w:rsid w:val="00E228FD"/>
    <w:rsid w:val="00E229C9"/>
    <w:rsid w:val="00E31D88"/>
    <w:rsid w:val="00E43975"/>
    <w:rsid w:val="00E45F03"/>
    <w:rsid w:val="00E5072A"/>
    <w:rsid w:val="00E610CF"/>
    <w:rsid w:val="00E623E6"/>
    <w:rsid w:val="00E62589"/>
    <w:rsid w:val="00E6313E"/>
    <w:rsid w:val="00E74907"/>
    <w:rsid w:val="00E764E7"/>
    <w:rsid w:val="00E82D78"/>
    <w:rsid w:val="00E92087"/>
    <w:rsid w:val="00E92160"/>
    <w:rsid w:val="00EA0B37"/>
    <w:rsid w:val="00EA34CF"/>
    <w:rsid w:val="00EA6E78"/>
    <w:rsid w:val="00EB0C6F"/>
    <w:rsid w:val="00EB4141"/>
    <w:rsid w:val="00EB6B21"/>
    <w:rsid w:val="00EC00A4"/>
    <w:rsid w:val="00EC22DC"/>
    <w:rsid w:val="00EC3160"/>
    <w:rsid w:val="00ED4C6A"/>
    <w:rsid w:val="00EE12C0"/>
    <w:rsid w:val="00EE35DF"/>
    <w:rsid w:val="00EF608B"/>
    <w:rsid w:val="00F123FB"/>
    <w:rsid w:val="00F20699"/>
    <w:rsid w:val="00F22034"/>
    <w:rsid w:val="00F232B8"/>
    <w:rsid w:val="00F342FB"/>
    <w:rsid w:val="00F47703"/>
    <w:rsid w:val="00F47F39"/>
    <w:rsid w:val="00F51297"/>
    <w:rsid w:val="00F54FA3"/>
    <w:rsid w:val="00F56DA2"/>
    <w:rsid w:val="00F641EB"/>
    <w:rsid w:val="00F77D89"/>
    <w:rsid w:val="00F9271E"/>
    <w:rsid w:val="00FB272A"/>
    <w:rsid w:val="00FB74C0"/>
    <w:rsid w:val="00FC0B07"/>
    <w:rsid w:val="00FD13F8"/>
    <w:rsid w:val="00FD1FEA"/>
    <w:rsid w:val="00FD24DB"/>
    <w:rsid w:val="00FD5F0F"/>
    <w:rsid w:val="00FE030E"/>
    <w:rsid w:val="00FE1ED3"/>
    <w:rsid w:val="00FE2235"/>
    <w:rsid w:val="00FE3F84"/>
    <w:rsid w:val="00FF23A3"/>
    <w:rsid w:val="00FF4C9A"/>
    <w:rsid w:val="01347C69"/>
    <w:rsid w:val="04AB2539"/>
    <w:rsid w:val="05F4503B"/>
    <w:rsid w:val="07107AFC"/>
    <w:rsid w:val="08A32F54"/>
    <w:rsid w:val="09AE1034"/>
    <w:rsid w:val="0A154126"/>
    <w:rsid w:val="0ADC4F5B"/>
    <w:rsid w:val="0EC570B2"/>
    <w:rsid w:val="0FAA3555"/>
    <w:rsid w:val="1114193C"/>
    <w:rsid w:val="13542691"/>
    <w:rsid w:val="14030150"/>
    <w:rsid w:val="16896315"/>
    <w:rsid w:val="179D5689"/>
    <w:rsid w:val="183015E8"/>
    <w:rsid w:val="18357803"/>
    <w:rsid w:val="19696CF7"/>
    <w:rsid w:val="1C8B1BF3"/>
    <w:rsid w:val="1D051C5B"/>
    <w:rsid w:val="1D3C6EE9"/>
    <w:rsid w:val="1DF5369D"/>
    <w:rsid w:val="1E962843"/>
    <w:rsid w:val="20950401"/>
    <w:rsid w:val="21AE004B"/>
    <w:rsid w:val="21BB2CD8"/>
    <w:rsid w:val="24394317"/>
    <w:rsid w:val="24AB7392"/>
    <w:rsid w:val="25264285"/>
    <w:rsid w:val="253A3EAD"/>
    <w:rsid w:val="28A6372A"/>
    <w:rsid w:val="28DF0C59"/>
    <w:rsid w:val="2907187F"/>
    <w:rsid w:val="29B97189"/>
    <w:rsid w:val="2A056C2B"/>
    <w:rsid w:val="2B3E0164"/>
    <w:rsid w:val="2B6E7E2B"/>
    <w:rsid w:val="2BE2486C"/>
    <w:rsid w:val="2D082F41"/>
    <w:rsid w:val="2DC032F5"/>
    <w:rsid w:val="3015654A"/>
    <w:rsid w:val="302D24FD"/>
    <w:rsid w:val="30311EBB"/>
    <w:rsid w:val="30537ED1"/>
    <w:rsid w:val="31011C61"/>
    <w:rsid w:val="33804D20"/>
    <w:rsid w:val="33C823CA"/>
    <w:rsid w:val="350658EB"/>
    <w:rsid w:val="3548404D"/>
    <w:rsid w:val="35721096"/>
    <w:rsid w:val="37C66CC4"/>
    <w:rsid w:val="384F258A"/>
    <w:rsid w:val="3A246B9B"/>
    <w:rsid w:val="3FCD066B"/>
    <w:rsid w:val="3FEF03D6"/>
    <w:rsid w:val="40561BFB"/>
    <w:rsid w:val="410D68DF"/>
    <w:rsid w:val="41FD3E29"/>
    <w:rsid w:val="43B576DD"/>
    <w:rsid w:val="4510012C"/>
    <w:rsid w:val="4567409E"/>
    <w:rsid w:val="4A7F1CD0"/>
    <w:rsid w:val="4B5251A1"/>
    <w:rsid w:val="4B7B4360"/>
    <w:rsid w:val="4C4B7774"/>
    <w:rsid w:val="4CC67A73"/>
    <w:rsid w:val="4D5D50A1"/>
    <w:rsid w:val="4F587634"/>
    <w:rsid w:val="4FA37E96"/>
    <w:rsid w:val="4FC27A55"/>
    <w:rsid w:val="51181F7A"/>
    <w:rsid w:val="549145C8"/>
    <w:rsid w:val="5622492D"/>
    <w:rsid w:val="5A521C48"/>
    <w:rsid w:val="5EB60EC0"/>
    <w:rsid w:val="5F27428A"/>
    <w:rsid w:val="60873B69"/>
    <w:rsid w:val="6095650F"/>
    <w:rsid w:val="62EB1C5A"/>
    <w:rsid w:val="66564A62"/>
    <w:rsid w:val="669E1249"/>
    <w:rsid w:val="66CF21D7"/>
    <w:rsid w:val="675337A2"/>
    <w:rsid w:val="683E5B31"/>
    <w:rsid w:val="68717262"/>
    <w:rsid w:val="6A221D5B"/>
    <w:rsid w:val="6B320D4C"/>
    <w:rsid w:val="6D54524C"/>
    <w:rsid w:val="6FBB137D"/>
    <w:rsid w:val="709275B6"/>
    <w:rsid w:val="713F4727"/>
    <w:rsid w:val="742F3A90"/>
    <w:rsid w:val="74625A6E"/>
    <w:rsid w:val="746630B1"/>
    <w:rsid w:val="746C1D4A"/>
    <w:rsid w:val="74880DF2"/>
    <w:rsid w:val="767C572B"/>
    <w:rsid w:val="77982204"/>
    <w:rsid w:val="77D70206"/>
    <w:rsid w:val="78164610"/>
    <w:rsid w:val="788A2401"/>
    <w:rsid w:val="794321A1"/>
    <w:rsid w:val="7BAB785A"/>
    <w:rsid w:val="7C5B37D4"/>
    <w:rsid w:val="7CED610A"/>
    <w:rsid w:val="7D1E4642"/>
    <w:rsid w:val="7D834B30"/>
    <w:rsid w:val="7D9B4C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文字 Char"/>
    <w:basedOn w:val="9"/>
    <w:link w:val="2"/>
    <w:semiHidden/>
    <w:qFormat/>
    <w:uiPriority w:val="99"/>
    <w:rPr>
      <w:rFonts w:ascii="Calibri" w:hAnsi="Calibri"/>
    </w:rPr>
  </w:style>
  <w:style w:type="character" w:customStyle="1" w:styleId="11">
    <w:name w:val="批注框文本 Char"/>
    <w:basedOn w:val="9"/>
    <w:link w:val="3"/>
    <w:semiHidden/>
    <w:qFormat/>
    <w:locked/>
    <w:uiPriority w:val="99"/>
    <w:rPr>
      <w:rFonts w:ascii="Calibri" w:hAnsi="Calibri" w:eastAsia="宋体" w:cs="Times New Roman"/>
      <w:kern w:val="2"/>
      <w:sz w:val="18"/>
      <w:szCs w:val="18"/>
    </w:rPr>
  </w:style>
  <w:style w:type="character" w:customStyle="1" w:styleId="12">
    <w:name w:val="页脚 Char"/>
    <w:basedOn w:val="9"/>
    <w:link w:val="4"/>
    <w:qFormat/>
    <w:locked/>
    <w:uiPriority w:val="99"/>
    <w:rPr>
      <w:rFonts w:cs="Times New Roman"/>
      <w:sz w:val="18"/>
      <w:szCs w:val="18"/>
    </w:rPr>
  </w:style>
  <w:style w:type="character" w:customStyle="1" w:styleId="13">
    <w:name w:val="页眉 Char"/>
    <w:basedOn w:val="9"/>
    <w:link w:val="5"/>
    <w:qFormat/>
    <w:locked/>
    <w:uiPriority w:val="99"/>
    <w:rPr>
      <w:rFonts w:cs="Times New Roman"/>
      <w:sz w:val="18"/>
      <w:szCs w:val="18"/>
    </w:rPr>
  </w:style>
  <w:style w:type="character" w:customStyle="1" w:styleId="14">
    <w:name w:val="font21"/>
    <w:basedOn w:val="9"/>
    <w:qFormat/>
    <w:uiPriority w:val="99"/>
    <w:rPr>
      <w:rFonts w:ascii="宋体" w:hAnsi="宋体" w:eastAsia="宋体" w:cs="宋体"/>
      <w:color w:val="000000"/>
      <w:sz w:val="18"/>
      <w:szCs w:val="18"/>
      <w:u w:val="none"/>
    </w:rPr>
  </w:style>
  <w:style w:type="character" w:customStyle="1" w:styleId="15">
    <w:name w:val="font11"/>
    <w:basedOn w:val="9"/>
    <w:qFormat/>
    <w:uiPriority w:val="99"/>
    <w:rPr>
      <w:rFonts w:ascii="宋体" w:hAnsi="宋体" w:eastAsia="宋体" w:cs="宋体"/>
      <w:color w:val="000000"/>
      <w:sz w:val="18"/>
      <w:szCs w:val="18"/>
      <w:u w:val="none"/>
      <w:vertAlign w:val="subscript"/>
    </w:rPr>
  </w:style>
  <w:style w:type="character" w:customStyle="1" w:styleId="16">
    <w:name w:val="font31"/>
    <w:basedOn w:val="9"/>
    <w:qFormat/>
    <w:uiPriority w:val="99"/>
    <w:rPr>
      <w:rFonts w:ascii="宋体" w:hAnsi="宋体" w:eastAsia="宋体" w:cs="宋体"/>
      <w:b/>
      <w:color w:val="000000"/>
      <w:sz w:val="18"/>
      <w:szCs w:val="18"/>
      <w:u w:val="none"/>
    </w:rPr>
  </w:style>
  <w:style w:type="character" w:customStyle="1" w:styleId="17">
    <w:name w:val="font41"/>
    <w:basedOn w:val="9"/>
    <w:qFormat/>
    <w:uiPriority w:val="99"/>
    <w:rPr>
      <w:rFonts w:ascii="宋体" w:hAnsi="宋体" w:eastAsia="宋体" w:cs="宋体"/>
      <w:color w:val="000000"/>
      <w:sz w:val="18"/>
      <w:szCs w:val="18"/>
      <w:u w:val="none"/>
      <w:vertAlign w:val="superscript"/>
    </w:rPr>
  </w:style>
  <w:style w:type="character" w:customStyle="1" w:styleId="18">
    <w:name w:val="font91"/>
    <w:basedOn w:val="9"/>
    <w:qFormat/>
    <w:uiPriority w:val="99"/>
    <w:rPr>
      <w:rFonts w:ascii="宋体" w:hAnsi="宋体" w:eastAsia="宋体" w:cs="宋体"/>
      <w:color w:val="000000"/>
      <w:sz w:val="20"/>
      <w:szCs w:val="20"/>
      <w:u w:val="none"/>
      <w:vertAlign w:val="subscript"/>
    </w:rPr>
  </w:style>
  <w:style w:type="character" w:customStyle="1" w:styleId="19">
    <w:name w:val="font131"/>
    <w:basedOn w:val="9"/>
    <w:qFormat/>
    <w:uiPriority w:val="99"/>
    <w:rPr>
      <w:rFonts w:ascii="宋体" w:hAnsi="宋体" w:eastAsia="宋体" w:cs="宋体"/>
      <w:color w:val="000000"/>
      <w:sz w:val="20"/>
      <w:szCs w:val="20"/>
      <w:u w:val="none"/>
      <w:vertAlign w:val="superscript"/>
    </w:rPr>
  </w:style>
  <w:style w:type="character" w:customStyle="1" w:styleId="20">
    <w:name w:val="font181"/>
    <w:basedOn w:val="9"/>
    <w:qFormat/>
    <w:uiPriority w:val="99"/>
    <w:rPr>
      <w:rFonts w:ascii="宋体" w:hAnsi="宋体" w:eastAsia="宋体" w:cs="宋体"/>
      <w:b/>
      <w:color w:val="FF0000"/>
      <w:sz w:val="20"/>
      <w:szCs w:val="20"/>
      <w:u w:val="none"/>
    </w:rPr>
  </w:style>
  <w:style w:type="character" w:customStyle="1" w:styleId="21">
    <w:name w:val="font281"/>
    <w:basedOn w:val="9"/>
    <w:qFormat/>
    <w:uiPriority w:val="99"/>
    <w:rPr>
      <w:rFonts w:ascii="宋体" w:hAnsi="宋体" w:eastAsia="宋体" w:cs="宋体"/>
      <w:b/>
      <w:color w:val="000000"/>
      <w:sz w:val="20"/>
      <w:szCs w:val="20"/>
      <w:u w:val="none"/>
    </w:rPr>
  </w:style>
  <w:style w:type="character" w:customStyle="1" w:styleId="22">
    <w:name w:val="font221"/>
    <w:basedOn w:val="9"/>
    <w:qFormat/>
    <w:uiPriority w:val="99"/>
    <w:rPr>
      <w:rFonts w:ascii="宋体" w:hAnsi="宋体" w:eastAsia="宋体" w:cs="宋体"/>
      <w:color w:val="000000"/>
      <w:sz w:val="20"/>
      <w:szCs w:val="20"/>
      <w:u w:val="none"/>
    </w:rPr>
  </w:style>
  <w:style w:type="character" w:customStyle="1" w:styleId="23">
    <w:name w:val="font61"/>
    <w:basedOn w:val="9"/>
    <w:qFormat/>
    <w:uiPriority w:val="99"/>
    <w:rPr>
      <w:rFonts w:ascii="宋体" w:hAnsi="宋体" w:eastAsia="宋体" w:cs="宋体"/>
      <w:color w:val="000000"/>
      <w:sz w:val="20"/>
      <w:szCs w:val="20"/>
      <w:u w:val="none"/>
    </w:rPr>
  </w:style>
  <w:style w:type="character" w:customStyle="1" w:styleId="24">
    <w:name w:val="font241"/>
    <w:basedOn w:val="9"/>
    <w:qFormat/>
    <w:uiPriority w:val="99"/>
    <w:rPr>
      <w:rFonts w:ascii="宋体" w:hAnsi="宋体" w:eastAsia="宋体" w:cs="宋体"/>
      <w:color w:val="000000"/>
      <w:sz w:val="20"/>
      <w:szCs w:val="20"/>
      <w:u w:val="none"/>
      <w:vertAlign w:val="subscript"/>
    </w:rPr>
  </w:style>
  <w:style w:type="character" w:customStyle="1" w:styleId="25">
    <w:name w:val="font212"/>
    <w:basedOn w:val="9"/>
    <w:qFormat/>
    <w:uiPriority w:val="99"/>
    <w:rPr>
      <w:rFonts w:ascii="宋体" w:hAnsi="宋体" w:eastAsia="宋体" w:cs="宋体"/>
      <w:color w:val="FF0000"/>
      <w:sz w:val="20"/>
      <w:szCs w:val="20"/>
      <w:u w:val="none"/>
    </w:rPr>
  </w:style>
  <w:style w:type="character" w:customStyle="1" w:styleId="26">
    <w:name w:val="font201"/>
    <w:basedOn w:val="9"/>
    <w:qFormat/>
    <w:uiPriority w:val="99"/>
    <w:rPr>
      <w:rFonts w:ascii="宋体" w:hAnsi="宋体" w:eastAsia="宋体" w:cs="宋体"/>
      <w:color w:val="000000"/>
      <w:sz w:val="18"/>
      <w:szCs w:val="18"/>
      <w:u w:val="none"/>
    </w:rPr>
  </w:style>
  <w:style w:type="character" w:customStyle="1" w:styleId="27">
    <w:name w:val="font261"/>
    <w:basedOn w:val="9"/>
    <w:qFormat/>
    <w:uiPriority w:val="99"/>
    <w:rPr>
      <w:rFonts w:ascii="宋体" w:hAnsi="宋体" w:eastAsia="宋体" w:cs="宋体"/>
      <w:color w:val="000000"/>
      <w:sz w:val="18"/>
      <w:szCs w:val="18"/>
      <w:u w:val="none"/>
      <w:vertAlign w:val="superscript"/>
    </w:rPr>
  </w:style>
  <w:style w:type="character" w:customStyle="1" w:styleId="28">
    <w:name w:val="font171"/>
    <w:basedOn w:val="9"/>
    <w:qFormat/>
    <w:uiPriority w:val="99"/>
    <w:rPr>
      <w:rFonts w:ascii="宋体" w:hAnsi="宋体" w:eastAsia="宋体" w:cs="宋体"/>
      <w:color w:val="000000"/>
      <w:sz w:val="18"/>
      <w:szCs w:val="18"/>
      <w:u w:val="none"/>
    </w:rPr>
  </w:style>
  <w:style w:type="character" w:customStyle="1" w:styleId="29">
    <w:name w:val="font81"/>
    <w:basedOn w:val="9"/>
    <w:qFormat/>
    <w:uiPriority w:val="99"/>
    <w:rPr>
      <w:rFonts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279</Words>
  <Characters>1594</Characters>
  <Lines>13</Lines>
  <Paragraphs>3</Paragraphs>
  <TotalTime>1</TotalTime>
  <ScaleCrop>false</ScaleCrop>
  <LinksUpToDate>false</LinksUpToDate>
  <CharactersWithSpaces>1870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2019-07-25T15:09:00Z</dcterms:created>
  <dc:creator>SDWM</dc:creator>
  <cp:lastModifiedBy>Tara非酋本非</cp:lastModifiedBy>
  <cp:lastPrinted>2019-06-30T01:10:00Z</cp:lastPrinted>
  <dcterms:modified xsi:type="dcterms:W3CDTF">2020-11-03T06:58:27Z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