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73" w:rsidRDefault="002B4773" w:rsidP="002B4773">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w:t>
      </w:r>
      <w:r>
        <w:rPr>
          <w:rFonts w:eastAsia="仿宋_GB2312" w:hint="eastAsia"/>
          <w:sz w:val="32"/>
          <w:szCs w:val="32"/>
        </w:rPr>
        <w:t>20</w:t>
      </w:r>
      <w:r>
        <w:rPr>
          <w:rFonts w:eastAsia="仿宋_GB2312"/>
          <w:sz w:val="32"/>
          <w:szCs w:val="32"/>
        </w:rPr>
        <w:t>〕</w:t>
      </w:r>
      <w:r>
        <w:rPr>
          <w:rFonts w:eastAsia="仿宋_GB2312" w:hint="eastAsia"/>
          <w:sz w:val="32"/>
          <w:szCs w:val="32"/>
        </w:rPr>
        <w:t>164</w:t>
      </w:r>
      <w:r>
        <w:rPr>
          <w:rFonts w:eastAsia="仿宋_GB2312"/>
          <w:sz w:val="32"/>
          <w:szCs w:val="32"/>
        </w:rPr>
        <w:t>号</w:t>
      </w:r>
    </w:p>
    <w:p w:rsidR="002B4773" w:rsidRDefault="002B4773" w:rsidP="002B4773">
      <w:pPr>
        <w:spacing w:line="600" w:lineRule="exact"/>
        <w:jc w:val="center"/>
        <w:rPr>
          <w:rFonts w:ascii="方正小标宋简体" w:eastAsia="方正小标宋简体" w:hAnsi="方正小标宋简体" w:cs="方正小标宋简体"/>
          <w:bCs/>
          <w:sz w:val="44"/>
          <w:szCs w:val="44"/>
        </w:rPr>
      </w:pPr>
    </w:p>
    <w:p w:rsidR="002B4773" w:rsidRDefault="002B4773" w:rsidP="002B477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广</w:t>
      </w:r>
      <w:r w:rsidRPr="00725C04">
        <w:rPr>
          <w:rFonts w:ascii="方正小标宋_GBK" w:eastAsia="方正小标宋_GBK" w:hAnsi="方正小标宋_GBK" w:cs="方正小标宋_GBK" w:hint="eastAsia"/>
          <w:bCs/>
          <w:sz w:val="44"/>
          <w:szCs w:val="44"/>
        </w:rPr>
        <w:t>东省人民政</w:t>
      </w:r>
      <w:r>
        <w:rPr>
          <w:rFonts w:ascii="方正小标宋_GBK" w:eastAsia="方正小标宋_GBK" w:hAnsi="方正小标宋_GBK" w:cs="方正小标宋_GBK" w:hint="eastAsia"/>
          <w:bCs/>
          <w:sz w:val="44"/>
          <w:szCs w:val="44"/>
        </w:rPr>
        <w:t>府关于广州市</w:t>
      </w:r>
      <w:proofErr w:type="gramStart"/>
      <w:r>
        <w:rPr>
          <w:rFonts w:ascii="方正小标宋_GBK" w:eastAsia="方正小标宋_GBK" w:hAnsi="方正小标宋_GBK" w:cs="方正小标宋_GBK" w:hint="eastAsia"/>
          <w:bCs/>
          <w:sz w:val="44"/>
          <w:szCs w:val="44"/>
        </w:rPr>
        <w:t>番禺区</w:t>
      </w:r>
      <w:proofErr w:type="gramEnd"/>
      <w:r>
        <w:rPr>
          <w:rFonts w:ascii="方正小标宋_GBK" w:eastAsia="方正小标宋_GBK" w:hAnsi="方正小标宋_GBK" w:cs="方正小标宋_GBK" w:hint="eastAsia"/>
          <w:bCs/>
          <w:sz w:val="44"/>
          <w:szCs w:val="44"/>
        </w:rPr>
        <w:t>2019年度</w:t>
      </w:r>
    </w:p>
    <w:p w:rsidR="002B4773" w:rsidRDefault="002B4773" w:rsidP="002B477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第三十五批次城镇建设用地</w:t>
      </w:r>
    </w:p>
    <w:p w:rsidR="002B4773" w:rsidRDefault="002B4773" w:rsidP="002B477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（增减挂钩）的批复</w:t>
      </w:r>
    </w:p>
    <w:p w:rsidR="002B4773" w:rsidRDefault="002B4773" w:rsidP="002B4773">
      <w:pPr>
        <w:widowControl/>
        <w:spacing w:line="600" w:lineRule="exact"/>
        <w:jc w:val="center"/>
        <w:textAlignment w:val="baseline"/>
        <w:rPr>
          <w:rFonts w:ascii="方正楷体_GBK" w:eastAsia="方正楷体_GBK" w:hAnsi="方正楷体_GBK" w:cs="方正楷体_GBK"/>
          <w:sz w:val="32"/>
          <w:szCs w:val="32"/>
        </w:rPr>
      </w:pPr>
    </w:p>
    <w:p w:rsidR="002B4773" w:rsidRDefault="002B4773" w:rsidP="002B4773">
      <w:pPr>
        <w:widowControl/>
        <w:spacing w:line="56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2B4773" w:rsidRDefault="002B4773" w:rsidP="002B4773">
      <w:pPr>
        <w:widowControl/>
        <w:spacing w:line="560" w:lineRule="exact"/>
        <w:ind w:firstLine="645"/>
        <w:textAlignment w:val="baseline"/>
        <w:rPr>
          <w:rFonts w:eastAsia="仿宋_GB2312"/>
          <w:sz w:val="32"/>
          <w:szCs w:val="32"/>
        </w:rPr>
      </w:pPr>
      <w:r>
        <w:rPr>
          <w:rFonts w:eastAsia="仿宋_GB2312"/>
          <w:sz w:val="32"/>
          <w:szCs w:val="32"/>
        </w:rPr>
        <w:t>《关于审批广州市番禺区</w:t>
      </w:r>
      <w:r>
        <w:rPr>
          <w:rFonts w:eastAsia="仿宋_GB2312"/>
          <w:sz w:val="32"/>
          <w:szCs w:val="32"/>
        </w:rPr>
        <w:t>2019</w:t>
      </w:r>
      <w:r>
        <w:rPr>
          <w:rFonts w:eastAsia="仿宋_GB2312"/>
          <w:sz w:val="32"/>
          <w:szCs w:val="32"/>
        </w:rPr>
        <w:t>年度第三十五批次城镇建设用地（增减挂钩）的请示》（</w:t>
      </w:r>
      <w:proofErr w:type="gramStart"/>
      <w:r>
        <w:rPr>
          <w:rFonts w:eastAsia="仿宋_GB2312"/>
          <w:sz w:val="32"/>
          <w:szCs w:val="32"/>
        </w:rPr>
        <w:t>穗规划</w:t>
      </w:r>
      <w:proofErr w:type="gramEnd"/>
      <w:r>
        <w:rPr>
          <w:rFonts w:eastAsia="仿宋_GB2312"/>
          <w:sz w:val="32"/>
          <w:szCs w:val="32"/>
        </w:rPr>
        <w:t>资源（用地）报〔</w:t>
      </w:r>
      <w:r>
        <w:rPr>
          <w:rFonts w:eastAsia="仿宋_GB2312"/>
          <w:sz w:val="32"/>
          <w:szCs w:val="32"/>
        </w:rPr>
        <w:t>2020</w:t>
      </w:r>
      <w:r>
        <w:rPr>
          <w:rFonts w:eastAsia="仿宋_GB2312"/>
          <w:sz w:val="32"/>
          <w:szCs w:val="32"/>
        </w:rPr>
        <w:t>〕</w:t>
      </w:r>
      <w:r>
        <w:rPr>
          <w:rFonts w:eastAsia="仿宋_GB2312"/>
          <w:sz w:val="32"/>
          <w:szCs w:val="32"/>
        </w:rPr>
        <w:t>211</w:t>
      </w:r>
      <w:r>
        <w:rPr>
          <w:rFonts w:eastAsia="仿宋_GB2312"/>
          <w:sz w:val="32"/>
          <w:szCs w:val="32"/>
        </w:rPr>
        <w:t>号）及相关材料已通过审核。根据《中华人民共和国土地管理法》第四十四、四十五、四十六条以及《广东省实施</w:t>
      </w:r>
      <w:r>
        <w:rPr>
          <w:rFonts w:eastAsia="仿宋_GB2312"/>
          <w:sz w:val="32"/>
          <w:szCs w:val="32"/>
        </w:rPr>
        <w:t>&lt;</w:t>
      </w:r>
      <w:r>
        <w:rPr>
          <w:rFonts w:eastAsia="仿宋_GB2312"/>
          <w:sz w:val="32"/>
          <w:szCs w:val="32"/>
        </w:rPr>
        <w:t>中华人民共和国土地管理法</w:t>
      </w:r>
      <w:r>
        <w:rPr>
          <w:rFonts w:eastAsia="仿宋_GB2312"/>
          <w:sz w:val="32"/>
          <w:szCs w:val="32"/>
        </w:rPr>
        <w:t>&gt;</w:t>
      </w:r>
      <w:r>
        <w:rPr>
          <w:rFonts w:eastAsia="仿宋_GB2312"/>
          <w:sz w:val="32"/>
          <w:szCs w:val="32"/>
        </w:rPr>
        <w:t>办法》第二十九条的有关规定，批复如下：</w:t>
      </w:r>
    </w:p>
    <w:p w:rsidR="002B4773" w:rsidRDefault="002B4773" w:rsidP="002B4773">
      <w:pPr>
        <w:widowControl/>
        <w:spacing w:line="560" w:lineRule="exact"/>
        <w:ind w:firstLine="645"/>
        <w:textAlignment w:val="baseline"/>
        <w:rPr>
          <w:rFonts w:eastAsia="仿宋_GB2312"/>
          <w:sz w:val="32"/>
          <w:szCs w:val="32"/>
        </w:rPr>
      </w:pPr>
      <w:r>
        <w:rPr>
          <w:rFonts w:eastAsia="仿宋_GB2312" w:hint="eastAsia"/>
          <w:sz w:val="32"/>
          <w:szCs w:val="32"/>
        </w:rPr>
        <w:t>一、</w:t>
      </w:r>
      <w:r>
        <w:rPr>
          <w:rFonts w:eastAsia="仿宋_GB2312"/>
          <w:sz w:val="32"/>
          <w:szCs w:val="32"/>
        </w:rPr>
        <w:t>该批次用地属使用</w:t>
      </w:r>
      <w:r>
        <w:rPr>
          <w:rFonts w:eastAsia="仿宋_GB2312"/>
          <w:sz w:val="32"/>
          <w:szCs w:val="32"/>
          <w:lang w:val="zh-CN"/>
        </w:rPr>
        <w:t>跨省调剂城乡建设用地增减挂钩节余指标的用地，建新方案已获省自然资源厅批复（</w:t>
      </w:r>
      <w:proofErr w:type="gramStart"/>
      <w:r>
        <w:rPr>
          <w:rFonts w:eastAsia="仿宋_GB2312"/>
          <w:sz w:val="32"/>
          <w:szCs w:val="32"/>
          <w:lang w:val="zh-CN"/>
        </w:rPr>
        <w:t>粤自然资</w:t>
      </w:r>
      <w:r>
        <w:rPr>
          <w:rFonts w:eastAsia="仿宋_GB2312" w:hint="eastAsia"/>
          <w:sz w:val="32"/>
          <w:szCs w:val="32"/>
          <w:lang w:val="zh-CN"/>
        </w:rPr>
        <w:t>函</w:t>
      </w:r>
      <w:proofErr w:type="gramEnd"/>
      <w:r>
        <w:rPr>
          <w:rFonts w:eastAsia="仿宋_GB2312"/>
          <w:sz w:val="32"/>
          <w:szCs w:val="32"/>
          <w:lang w:val="zh-CN"/>
        </w:rPr>
        <w:t>〔</w:t>
      </w:r>
      <w:r>
        <w:rPr>
          <w:rFonts w:eastAsia="仿宋_GB2312"/>
          <w:sz w:val="32"/>
          <w:szCs w:val="32"/>
        </w:rPr>
        <w:t>2020</w:t>
      </w:r>
      <w:r>
        <w:rPr>
          <w:rFonts w:eastAsia="仿宋_GB2312"/>
          <w:sz w:val="32"/>
          <w:szCs w:val="32"/>
          <w:lang w:val="zh-CN"/>
        </w:rPr>
        <w:t>〕</w:t>
      </w:r>
      <w:r>
        <w:rPr>
          <w:rFonts w:eastAsia="仿宋_GB2312"/>
          <w:sz w:val="32"/>
          <w:szCs w:val="32"/>
        </w:rPr>
        <w:t>958</w:t>
      </w:r>
      <w:r>
        <w:rPr>
          <w:rFonts w:eastAsia="仿宋_GB2312"/>
          <w:sz w:val="32"/>
          <w:szCs w:val="32"/>
        </w:rPr>
        <w:t>号</w:t>
      </w:r>
      <w:r>
        <w:rPr>
          <w:rFonts w:eastAsia="仿宋_GB2312"/>
          <w:sz w:val="32"/>
          <w:szCs w:val="32"/>
          <w:lang w:val="zh-CN"/>
        </w:rPr>
        <w:t>），不需再单独办理农用地转用审批手续。</w:t>
      </w:r>
    </w:p>
    <w:p w:rsidR="002B4773" w:rsidRDefault="002B4773" w:rsidP="002B4773">
      <w:pPr>
        <w:widowControl/>
        <w:spacing w:line="560" w:lineRule="exact"/>
        <w:ind w:firstLine="645"/>
        <w:textAlignment w:val="baseline"/>
        <w:rPr>
          <w:rFonts w:eastAsia="仿宋_GB2312"/>
          <w:sz w:val="32"/>
          <w:szCs w:val="32"/>
        </w:rPr>
      </w:pPr>
      <w:r>
        <w:rPr>
          <w:rFonts w:eastAsia="仿宋_GB2312" w:hint="eastAsia"/>
          <w:sz w:val="32"/>
          <w:szCs w:val="32"/>
        </w:rPr>
        <w:t>二、</w:t>
      </w:r>
      <w:r>
        <w:rPr>
          <w:rFonts w:eastAsia="仿宋_GB2312"/>
          <w:sz w:val="32"/>
          <w:szCs w:val="32"/>
        </w:rPr>
        <w:t>同意上报的征收土地方案。同意你市将</w:t>
      </w:r>
      <w:proofErr w:type="gramStart"/>
      <w:r>
        <w:rPr>
          <w:rFonts w:eastAsia="仿宋_GB2312"/>
          <w:sz w:val="32"/>
          <w:szCs w:val="32"/>
        </w:rPr>
        <w:t>番禺区</w:t>
      </w:r>
      <w:proofErr w:type="gramEnd"/>
      <w:r>
        <w:rPr>
          <w:rFonts w:eastAsia="仿宋_GB2312"/>
          <w:sz w:val="32"/>
          <w:szCs w:val="32"/>
        </w:rPr>
        <w:t>石壁街石壁一村、二村、三村股份合作经济社属下的集体农用地</w:t>
      </w:r>
      <w:r>
        <w:rPr>
          <w:rFonts w:eastAsia="仿宋_GB2312"/>
          <w:sz w:val="32"/>
          <w:szCs w:val="32"/>
        </w:rPr>
        <w:t>26.9872</w:t>
      </w:r>
      <w:r>
        <w:rPr>
          <w:rFonts w:eastAsia="仿宋_GB2312"/>
          <w:sz w:val="32"/>
          <w:szCs w:val="32"/>
        </w:rPr>
        <w:t>公顷（耕地</w:t>
      </w:r>
      <w:r>
        <w:rPr>
          <w:rFonts w:eastAsia="仿宋_GB2312"/>
          <w:sz w:val="32"/>
          <w:szCs w:val="32"/>
        </w:rPr>
        <w:t>16.6950</w:t>
      </w:r>
      <w:r>
        <w:rPr>
          <w:rFonts w:eastAsia="仿宋_GB2312"/>
          <w:sz w:val="32"/>
          <w:szCs w:val="32"/>
        </w:rPr>
        <w:t>公顷、园地</w:t>
      </w:r>
      <w:r>
        <w:rPr>
          <w:rFonts w:eastAsia="仿宋_GB2312"/>
          <w:sz w:val="32"/>
          <w:szCs w:val="32"/>
        </w:rPr>
        <w:t>6.0034</w:t>
      </w:r>
      <w:r>
        <w:rPr>
          <w:rFonts w:eastAsia="仿宋_GB2312"/>
          <w:sz w:val="32"/>
          <w:szCs w:val="32"/>
        </w:rPr>
        <w:t>公顷、其他农用地</w:t>
      </w:r>
      <w:r>
        <w:rPr>
          <w:rFonts w:eastAsia="仿宋_GB2312"/>
          <w:sz w:val="32"/>
          <w:szCs w:val="32"/>
        </w:rPr>
        <w:t>4.2888</w:t>
      </w:r>
      <w:r>
        <w:rPr>
          <w:rFonts w:eastAsia="仿宋_GB2312"/>
          <w:sz w:val="32"/>
          <w:szCs w:val="32"/>
        </w:rPr>
        <w:t>公顷）转为建设用地，同时使用上述有关村集体建设用地</w:t>
      </w:r>
      <w:r>
        <w:rPr>
          <w:rFonts w:eastAsia="仿宋_GB2312"/>
          <w:sz w:val="32"/>
          <w:szCs w:val="32"/>
        </w:rPr>
        <w:t>0.3942</w:t>
      </w:r>
      <w:r>
        <w:rPr>
          <w:rFonts w:eastAsia="仿宋_GB2312"/>
          <w:sz w:val="32"/>
          <w:szCs w:val="32"/>
        </w:rPr>
        <w:t>公顷、未利用地</w:t>
      </w:r>
      <w:r>
        <w:rPr>
          <w:rFonts w:eastAsia="仿宋_GB2312"/>
          <w:sz w:val="32"/>
          <w:szCs w:val="32"/>
        </w:rPr>
        <w:t>2.0148</w:t>
      </w:r>
      <w:r>
        <w:rPr>
          <w:rFonts w:eastAsia="仿宋_GB2312"/>
          <w:sz w:val="32"/>
          <w:szCs w:val="32"/>
        </w:rPr>
        <w:t>公顷，以上合计</w:t>
      </w:r>
      <w:r>
        <w:rPr>
          <w:rFonts w:eastAsia="仿宋_GB2312"/>
          <w:sz w:val="32"/>
          <w:szCs w:val="32"/>
        </w:rPr>
        <w:t>29.3962</w:t>
      </w:r>
      <w:r>
        <w:rPr>
          <w:rFonts w:eastAsia="仿宋_GB2312"/>
          <w:sz w:val="32"/>
          <w:szCs w:val="32"/>
        </w:rPr>
        <w:t>公顷集体土地一并办理征收为国有土地手续。上述土地（合计</w:t>
      </w:r>
      <w:r>
        <w:rPr>
          <w:rFonts w:eastAsia="仿宋_GB2312"/>
          <w:sz w:val="32"/>
          <w:szCs w:val="32"/>
        </w:rPr>
        <w:lastRenderedPageBreak/>
        <w:t>29.3962</w:t>
      </w:r>
      <w:r>
        <w:rPr>
          <w:rFonts w:eastAsia="仿宋_GB2312"/>
          <w:sz w:val="32"/>
          <w:szCs w:val="32"/>
        </w:rPr>
        <w:t>公顷）</w:t>
      </w:r>
      <w:proofErr w:type="gramStart"/>
      <w:r>
        <w:rPr>
          <w:rFonts w:eastAsia="仿宋_GB2312"/>
          <w:sz w:val="32"/>
          <w:szCs w:val="32"/>
        </w:rPr>
        <w:t>经完善</w:t>
      </w:r>
      <w:proofErr w:type="gramEnd"/>
      <w:r>
        <w:rPr>
          <w:rFonts w:eastAsia="仿宋_GB2312"/>
          <w:sz w:val="32"/>
          <w:szCs w:val="32"/>
        </w:rPr>
        <w:t>相关手续后依照规划安排作为广州市</w:t>
      </w:r>
      <w:proofErr w:type="gramStart"/>
      <w:r>
        <w:rPr>
          <w:rFonts w:eastAsia="仿宋_GB2312"/>
          <w:sz w:val="32"/>
          <w:szCs w:val="32"/>
        </w:rPr>
        <w:t>番禺区</w:t>
      </w:r>
      <w:proofErr w:type="gramEnd"/>
      <w:r>
        <w:rPr>
          <w:rFonts w:eastAsia="仿宋_GB2312"/>
          <w:sz w:val="32"/>
          <w:szCs w:val="32"/>
        </w:rPr>
        <w:t>城镇建设用地。</w:t>
      </w:r>
    </w:p>
    <w:p w:rsidR="002B4773" w:rsidRDefault="002B4773" w:rsidP="002B4773">
      <w:pPr>
        <w:widowControl/>
        <w:spacing w:line="560" w:lineRule="exact"/>
        <w:ind w:firstLine="645"/>
        <w:textAlignment w:val="baseline"/>
        <w:rPr>
          <w:rFonts w:eastAsia="仿宋_GB2312"/>
          <w:sz w:val="32"/>
          <w:szCs w:val="32"/>
        </w:rPr>
      </w:pPr>
      <w:r>
        <w:rPr>
          <w:rFonts w:eastAsia="仿宋_GB2312"/>
          <w:sz w:val="32"/>
          <w:szCs w:val="32"/>
        </w:rPr>
        <w:t>三、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2B4773" w:rsidRDefault="002B4773" w:rsidP="002B4773">
      <w:pPr>
        <w:widowControl/>
        <w:spacing w:line="560" w:lineRule="exact"/>
        <w:ind w:firstLine="645"/>
        <w:textAlignment w:val="baseline"/>
        <w:rPr>
          <w:rFonts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自然资源主管部门应会同有关单位根据批准的征收土地方案拟订具体的征地补偿安置方案并予以公告，听取群众意见后报同级人民政府批准实施。征地补偿安置不落实的，不得强行使用被征土地。</w:t>
      </w:r>
    </w:p>
    <w:p w:rsidR="002B4773" w:rsidRDefault="002B4773" w:rsidP="002B4773">
      <w:pPr>
        <w:widowControl/>
        <w:spacing w:line="560" w:lineRule="exact"/>
        <w:ind w:firstLine="645"/>
        <w:textAlignment w:val="baseline"/>
        <w:rPr>
          <w:rFonts w:eastAsia="仿宋_GB2312"/>
          <w:sz w:val="32"/>
          <w:szCs w:val="32"/>
        </w:rPr>
      </w:pPr>
      <w:r>
        <w:rPr>
          <w:rFonts w:eastAsia="仿宋_GB2312"/>
          <w:sz w:val="32"/>
          <w:szCs w:val="32"/>
        </w:rPr>
        <w:t>五、使用土地涉及有关税费的收缴或调整，请按有关规定办理。</w:t>
      </w:r>
    </w:p>
    <w:p w:rsidR="002B4773" w:rsidRDefault="002B4773" w:rsidP="002B4773">
      <w:pPr>
        <w:widowControl/>
        <w:spacing w:line="560" w:lineRule="exact"/>
        <w:ind w:firstLine="645"/>
        <w:textAlignment w:val="baseline"/>
        <w:rPr>
          <w:rFonts w:eastAsia="仿宋_GB2312"/>
          <w:sz w:val="32"/>
          <w:szCs w:val="32"/>
        </w:rPr>
      </w:pPr>
      <w:r>
        <w:rPr>
          <w:rFonts w:eastAsia="仿宋_GB2312"/>
          <w:sz w:val="32"/>
          <w:szCs w:val="32"/>
        </w:rPr>
        <w:t>六、征地批后实施情况连同经批准的征地补偿安置方案和具体项目供地情况须按规定报备。</w:t>
      </w:r>
    </w:p>
    <w:p w:rsidR="002B4773" w:rsidRDefault="002B4773" w:rsidP="002B4773">
      <w:pPr>
        <w:widowControl/>
        <w:spacing w:line="560" w:lineRule="exact"/>
        <w:ind w:firstLine="645"/>
        <w:jc w:val="right"/>
        <w:textAlignment w:val="baseline"/>
        <w:rPr>
          <w:rFonts w:eastAsia="仿宋_GB2312"/>
          <w:sz w:val="32"/>
          <w:szCs w:val="32"/>
        </w:rPr>
      </w:pPr>
      <w:r>
        <w:rPr>
          <w:rFonts w:eastAsia="仿宋_GB2312"/>
          <w:sz w:val="32"/>
          <w:szCs w:val="32"/>
        </w:rPr>
        <w:t xml:space="preserve">                           </w:t>
      </w:r>
    </w:p>
    <w:p w:rsidR="002B4773" w:rsidRDefault="002B4773" w:rsidP="002B4773">
      <w:pPr>
        <w:widowControl/>
        <w:spacing w:line="560" w:lineRule="exact"/>
        <w:ind w:firstLine="645"/>
        <w:jc w:val="right"/>
        <w:textAlignment w:val="baseline"/>
        <w:rPr>
          <w:rFonts w:eastAsia="仿宋_GB2312"/>
          <w:sz w:val="32"/>
          <w:szCs w:val="32"/>
        </w:rPr>
      </w:pPr>
      <w:r>
        <w:rPr>
          <w:rFonts w:eastAsia="仿宋_GB2312"/>
          <w:sz w:val="32"/>
          <w:szCs w:val="32"/>
        </w:rPr>
        <w:t xml:space="preserve">    </w:t>
      </w:r>
      <w:r>
        <w:rPr>
          <w:rFonts w:eastAsia="仿宋_GB2312"/>
          <w:sz w:val="32"/>
          <w:szCs w:val="32"/>
        </w:rPr>
        <w:t>广东省人民政府</w:t>
      </w:r>
    </w:p>
    <w:p w:rsidR="002B4773" w:rsidRDefault="002B4773" w:rsidP="002B4773">
      <w:pPr>
        <w:widowControl/>
        <w:spacing w:line="560" w:lineRule="exact"/>
        <w:ind w:firstLine="645"/>
        <w:jc w:val="right"/>
        <w:textAlignment w:val="baseline"/>
        <w:rPr>
          <w:rFonts w:eastAsia="仿宋_GB2312"/>
          <w:sz w:val="32"/>
          <w:szCs w:val="32"/>
        </w:rPr>
      </w:pPr>
      <w:r>
        <w:rPr>
          <w:rFonts w:eastAsia="仿宋_GB2312"/>
          <w:sz w:val="32"/>
          <w:szCs w:val="32"/>
        </w:rPr>
        <w:t xml:space="preserve">                   </w:t>
      </w:r>
      <w:r>
        <w:rPr>
          <w:rFonts w:eastAsia="仿宋_GB2312" w:hint="eastAsia"/>
          <w:sz w:val="32"/>
          <w:szCs w:val="32"/>
        </w:rPr>
        <w:t>2020</w:t>
      </w:r>
      <w:r>
        <w:rPr>
          <w:rFonts w:eastAsia="仿宋_GB2312"/>
          <w:sz w:val="32"/>
          <w:szCs w:val="32"/>
        </w:rPr>
        <w:t>年</w:t>
      </w:r>
      <w:r>
        <w:rPr>
          <w:rFonts w:eastAsia="仿宋_GB2312" w:hint="eastAsia"/>
          <w:sz w:val="32"/>
          <w:szCs w:val="32"/>
        </w:rPr>
        <w:t>11</w:t>
      </w:r>
      <w:r>
        <w:rPr>
          <w:rFonts w:eastAsia="仿宋_GB2312"/>
          <w:sz w:val="32"/>
          <w:szCs w:val="32"/>
        </w:rPr>
        <w:t>月</w:t>
      </w:r>
      <w:r>
        <w:rPr>
          <w:rFonts w:eastAsia="仿宋_GB2312" w:hint="eastAsia"/>
          <w:sz w:val="32"/>
          <w:szCs w:val="32"/>
        </w:rPr>
        <w:t>26</w:t>
      </w:r>
      <w:r>
        <w:rPr>
          <w:rFonts w:eastAsia="仿宋_GB2312"/>
          <w:sz w:val="32"/>
          <w:szCs w:val="32"/>
        </w:rPr>
        <w:t>日</w:t>
      </w:r>
    </w:p>
    <w:p w:rsidR="002B4773" w:rsidRDefault="002B4773" w:rsidP="002B4773">
      <w:pPr>
        <w:spacing w:line="600" w:lineRule="exact"/>
        <w:rPr>
          <w:rFonts w:eastAsia="方正小标宋简体"/>
          <w:b/>
          <w:sz w:val="32"/>
          <w:szCs w:val="32"/>
        </w:rPr>
      </w:pPr>
    </w:p>
    <w:p w:rsidR="002B4773" w:rsidRPr="002B4773" w:rsidRDefault="002B4773" w:rsidP="002B4773"/>
    <w:sectPr w:rsidR="002B4773" w:rsidRPr="002B4773" w:rsidSect="00A82ED5">
      <w:footerReference w:type="even" r:id="rId6"/>
      <w:footerReference w:type="default" r:id="rId7"/>
      <w:pgSz w:w="11906" w:h="16838"/>
      <w:pgMar w:top="1814" w:right="1361" w:bottom="1474" w:left="1531" w:header="851" w:footer="1372" w:gutter="397"/>
      <w:cols w:space="720"/>
      <w:titlePg/>
      <w:docGrid w:type="linesAndChars" w:linePitch="579"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7B" w:rsidRDefault="00FC317B" w:rsidP="00C76FA5">
      <w:r>
        <w:separator/>
      </w:r>
    </w:p>
  </w:endnote>
  <w:endnote w:type="continuationSeparator" w:id="0">
    <w:p w:rsidR="00FC317B" w:rsidRDefault="00FC317B" w:rsidP="00C76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56A" w:rsidRDefault="00FC317B">
    <w:pPr>
      <w:pStyle w:val="a4"/>
      <w:framePr w:wrap="around" w:vAnchor="text" w:hAnchor="margin" w:xAlign="outside" w:y="1"/>
      <w:rPr>
        <w:rStyle w:val="a6"/>
      </w:rPr>
    </w:pPr>
    <w:r>
      <w:fldChar w:fldCharType="begin"/>
    </w:r>
    <w:r>
      <w:rPr>
        <w:rStyle w:val="a6"/>
      </w:rPr>
      <w:instrText xml:space="preserve">PAGE  </w:instrText>
    </w:r>
    <w:r>
      <w:fldChar w:fldCharType="end"/>
    </w:r>
  </w:p>
  <w:p w:rsidR="0054356A" w:rsidRDefault="00FC317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56A" w:rsidRDefault="00FC317B">
    <w:pPr>
      <w:pStyle w:val="a4"/>
      <w:framePr w:wrap="around" w:vAnchor="text" w:hAnchor="margin" w:xAlign="outside" w:y="1"/>
      <w:rPr>
        <w:rStyle w:val="a6"/>
      </w:rPr>
    </w:pPr>
    <w:r>
      <w:fldChar w:fldCharType="begin"/>
    </w:r>
    <w:r>
      <w:rPr>
        <w:rStyle w:val="a6"/>
      </w:rPr>
      <w:instrText xml:space="preserve">PAGE  </w:instrText>
    </w:r>
    <w:r>
      <w:fldChar w:fldCharType="separate"/>
    </w:r>
    <w:r w:rsidR="002B4773">
      <w:rPr>
        <w:rStyle w:val="a6"/>
        <w:noProof/>
      </w:rPr>
      <w:t>2</w:t>
    </w:r>
    <w:r>
      <w:fldChar w:fldCharType="end"/>
    </w:r>
  </w:p>
  <w:p w:rsidR="0054356A" w:rsidRDefault="00FC317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7B" w:rsidRDefault="00FC317B" w:rsidP="00C76FA5">
      <w:r>
        <w:separator/>
      </w:r>
    </w:p>
  </w:footnote>
  <w:footnote w:type="continuationSeparator" w:id="0">
    <w:p w:rsidR="00FC317B" w:rsidRDefault="00FC317B" w:rsidP="00C76F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FA5"/>
    <w:rsid w:val="002B4773"/>
    <w:rsid w:val="006C4087"/>
    <w:rsid w:val="00892C59"/>
    <w:rsid w:val="008A3DA4"/>
    <w:rsid w:val="00C76FA5"/>
    <w:rsid w:val="00FC3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6F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6FA5"/>
    <w:rPr>
      <w:sz w:val="18"/>
      <w:szCs w:val="18"/>
    </w:rPr>
  </w:style>
  <w:style w:type="paragraph" w:styleId="a4">
    <w:name w:val="footer"/>
    <w:basedOn w:val="a"/>
    <w:link w:val="Char0"/>
    <w:unhideWhenUsed/>
    <w:rsid w:val="00C76F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6FA5"/>
    <w:rPr>
      <w:sz w:val="18"/>
      <w:szCs w:val="18"/>
    </w:rPr>
  </w:style>
  <w:style w:type="paragraph" w:styleId="a5">
    <w:name w:val="Date"/>
    <w:basedOn w:val="a"/>
    <w:next w:val="a"/>
    <w:link w:val="Char1"/>
    <w:uiPriority w:val="99"/>
    <w:semiHidden/>
    <w:unhideWhenUsed/>
    <w:rsid w:val="002B4773"/>
    <w:pPr>
      <w:ind w:leftChars="2500" w:left="100"/>
    </w:pPr>
    <w:rPr>
      <w:rFonts w:asciiTheme="minorHAnsi" w:eastAsiaTheme="minorEastAsia" w:hAnsiTheme="minorHAnsi" w:cstheme="minorBidi"/>
      <w:szCs w:val="22"/>
    </w:rPr>
  </w:style>
  <w:style w:type="character" w:customStyle="1" w:styleId="Char1">
    <w:name w:val="日期 Char"/>
    <w:basedOn w:val="a0"/>
    <w:link w:val="a5"/>
    <w:uiPriority w:val="99"/>
    <w:semiHidden/>
    <w:rsid w:val="002B4773"/>
  </w:style>
  <w:style w:type="character" w:styleId="a6">
    <w:name w:val="page number"/>
    <w:basedOn w:val="a0"/>
    <w:rsid w:val="002B47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3</cp:revision>
  <dcterms:created xsi:type="dcterms:W3CDTF">2020-12-30T07:10:00Z</dcterms:created>
  <dcterms:modified xsi:type="dcterms:W3CDTF">2020-12-30T07:13:00Z</dcterms:modified>
</cp:coreProperties>
</file>