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2021年番禺区社会信用体系建设工作要点</w:t>
      </w:r>
    </w:p>
    <w:p>
      <w:pPr>
        <w:spacing w:line="660" w:lineRule="exact"/>
        <w:ind w:firstLine="632" w:firstLineChars="200"/>
        <w:jc w:val="left"/>
        <w:rPr>
          <w:bCs/>
          <w:szCs w:val="32"/>
        </w:rPr>
      </w:pPr>
    </w:p>
    <w:p>
      <w:pPr>
        <w:spacing w:line="660" w:lineRule="exact"/>
        <w:ind w:firstLine="632" w:firstLineChars="200"/>
        <w:jc w:val="left"/>
        <w:rPr>
          <w:bCs/>
          <w:szCs w:val="32"/>
        </w:rPr>
      </w:pPr>
      <w:r>
        <w:rPr>
          <w:bCs/>
          <w:szCs w:val="32"/>
        </w:rPr>
        <w:t>为贯彻落实</w:t>
      </w:r>
      <w:r>
        <w:rPr>
          <w:rFonts w:hint="eastAsia"/>
          <w:bCs/>
          <w:szCs w:val="32"/>
        </w:rPr>
        <w:t>《中共中央国务院关于构建更加完善的要素市场化配置体制机制的意见》等文件精神，推进</w:t>
      </w:r>
      <w:r>
        <w:rPr>
          <w:bCs/>
          <w:szCs w:val="32"/>
        </w:rPr>
        <w:t>信用建设</w:t>
      </w:r>
      <w:r>
        <w:rPr>
          <w:rFonts w:hint="eastAsia"/>
          <w:bCs/>
          <w:szCs w:val="32"/>
        </w:rPr>
        <w:t>在</w:t>
      </w:r>
      <w:r>
        <w:rPr>
          <w:bCs/>
          <w:szCs w:val="32"/>
        </w:rPr>
        <w:t>“十四五”高起点开局，营造良好的营商环境和社会环境，</w:t>
      </w:r>
      <w:r>
        <w:rPr>
          <w:rFonts w:hint="eastAsia" w:ascii="仿宋_GB2312" w:hAnsi="仿宋_GB2312" w:cs="仿宋_GB2312"/>
          <w:bCs/>
          <w:szCs w:val="32"/>
        </w:rPr>
        <w:t>根据《2021年广州市社会信用体系建设工作要点》有关要求，结合我区实际，现制定2021年番禺区社会信用体系建设工作要点如下：</w:t>
      </w:r>
    </w:p>
    <w:p>
      <w:pPr>
        <w:spacing w:line="560" w:lineRule="exact"/>
        <w:ind w:firstLine="632" w:firstLineChars="200"/>
        <w:rPr>
          <w:rFonts w:eastAsia="黑体"/>
          <w:szCs w:val="32"/>
        </w:rPr>
      </w:pPr>
      <w:r>
        <w:rPr>
          <w:rFonts w:eastAsia="黑体"/>
          <w:szCs w:val="32"/>
        </w:rPr>
        <w:t>一、提升信用建设法治化规范化水平</w:t>
      </w:r>
    </w:p>
    <w:p>
      <w:pPr>
        <w:spacing w:line="560" w:lineRule="exact"/>
        <w:ind w:firstLine="632" w:firstLineChars="200"/>
        <w:rPr>
          <w:rFonts w:ascii="楷体" w:hAnsi="楷体" w:eastAsia="楷体"/>
          <w:b/>
          <w:bCs/>
          <w:szCs w:val="32"/>
        </w:rPr>
      </w:pPr>
      <w:r>
        <w:rPr>
          <w:rFonts w:eastAsia="楷体_GB2312"/>
          <w:szCs w:val="32"/>
        </w:rPr>
        <w:t>（一）推动信用建设法治进程。</w:t>
      </w:r>
      <w:r>
        <w:rPr>
          <w:szCs w:val="32"/>
        </w:rPr>
        <w:t>贯彻实施《广东省社会信用条例》，</w:t>
      </w:r>
      <w:r>
        <w:rPr>
          <w:rFonts w:hint="eastAsia"/>
          <w:szCs w:val="32"/>
        </w:rPr>
        <w:t>配合市</w:t>
      </w:r>
      <w:r>
        <w:rPr>
          <w:bCs/>
          <w:szCs w:val="32"/>
        </w:rPr>
        <w:t>开展《广州市社会信用条例》立法调研</w:t>
      </w:r>
      <w:r>
        <w:rPr>
          <w:rFonts w:hint="eastAsia"/>
          <w:bCs/>
          <w:szCs w:val="32"/>
        </w:rPr>
        <w:t>及</w:t>
      </w:r>
      <w:r>
        <w:rPr>
          <w:bCs/>
          <w:szCs w:val="32"/>
        </w:rPr>
        <w:t>修订《广州市公共信用信息管理规定》，加强信用建设法治保障。</w:t>
      </w:r>
      <w:r>
        <w:rPr>
          <w:rFonts w:hint="eastAsia" w:ascii="楷体" w:hAnsi="楷体" w:eastAsia="楷体"/>
          <w:bCs/>
          <w:szCs w:val="32"/>
        </w:rPr>
        <w:t>（</w:t>
      </w:r>
      <w:r>
        <w:rPr>
          <w:rFonts w:hint="eastAsia" w:ascii="楷体" w:hAnsi="楷体" w:eastAsia="楷体"/>
          <w:szCs w:val="32"/>
        </w:rPr>
        <w:t>区发改局</w:t>
      </w:r>
      <w:r>
        <w:rPr>
          <w:rFonts w:hint="eastAsia" w:ascii="楷体" w:hAnsi="楷体" w:eastAsia="楷体"/>
          <w:bCs/>
          <w:szCs w:val="32"/>
        </w:rPr>
        <w:t>、区司法局负责）</w:t>
      </w:r>
    </w:p>
    <w:p>
      <w:pPr>
        <w:spacing w:line="560" w:lineRule="exact"/>
        <w:ind w:firstLine="632" w:firstLineChars="200"/>
        <w:rPr>
          <w:rFonts w:ascii="楷体" w:hAnsi="楷体" w:eastAsia="楷体"/>
          <w:b/>
          <w:bCs/>
          <w:szCs w:val="32"/>
        </w:rPr>
      </w:pPr>
      <w:r>
        <w:rPr>
          <w:rFonts w:eastAsia="楷体_GB2312"/>
          <w:szCs w:val="32"/>
        </w:rPr>
        <w:t>（二）清理规范失信惩戒约束措施。</w:t>
      </w:r>
      <w:r>
        <w:rPr>
          <w:bCs/>
          <w:szCs w:val="32"/>
        </w:rPr>
        <w:t>严格落实《国务院办公厅关于进一步完善失信约束制度构建诚信建设长效机制的指导意见》，建立失信约束措施台账，加强跟踪检查，确保按时间节点完成修订、废止任务，切实保护市场主体权益。</w:t>
      </w:r>
      <w:r>
        <w:rPr>
          <w:rFonts w:hint="eastAsia" w:ascii="楷体" w:hAnsi="楷体" w:eastAsia="楷体"/>
          <w:bCs/>
          <w:szCs w:val="32"/>
        </w:rPr>
        <w:t>（</w:t>
      </w:r>
      <w:r>
        <w:rPr>
          <w:rFonts w:hint="eastAsia" w:ascii="楷体" w:hAnsi="楷体" w:eastAsia="楷体"/>
          <w:szCs w:val="32"/>
        </w:rPr>
        <w:t>区发改局</w:t>
      </w:r>
      <w:r>
        <w:rPr>
          <w:rFonts w:hint="eastAsia" w:ascii="楷体" w:hAnsi="楷体" w:eastAsia="楷体"/>
          <w:bCs/>
          <w:szCs w:val="32"/>
        </w:rPr>
        <w:t>牵头，各镇街、各部门负责）</w:t>
      </w:r>
    </w:p>
    <w:p>
      <w:pPr>
        <w:spacing w:line="560" w:lineRule="exact"/>
        <w:ind w:firstLine="632" w:firstLineChars="200"/>
        <w:rPr>
          <w:rFonts w:ascii="楷体" w:hAnsi="楷体" w:eastAsia="楷体"/>
          <w:b/>
          <w:bCs/>
          <w:szCs w:val="32"/>
        </w:rPr>
      </w:pPr>
      <w:r>
        <w:rPr>
          <w:rFonts w:eastAsia="楷体_GB2312"/>
          <w:szCs w:val="32"/>
        </w:rPr>
        <w:t>（三）持续推进政务诚信建设</w:t>
      </w:r>
      <w:r>
        <w:rPr>
          <w:rFonts w:eastAsia="宋体"/>
          <w:szCs w:val="32"/>
        </w:rPr>
        <w:t>。</w:t>
      </w:r>
      <w:r>
        <w:rPr>
          <w:szCs w:val="32"/>
        </w:rPr>
        <w:t>强化政务信息公</w:t>
      </w:r>
      <w:bookmarkStart w:id="1" w:name="_GoBack"/>
      <w:bookmarkEnd w:id="1"/>
      <w:r>
        <w:rPr>
          <w:szCs w:val="32"/>
        </w:rPr>
        <w:t>开，完善政府门户网站政务信息公开栏目。</w:t>
      </w:r>
      <w:r>
        <w:rPr>
          <w:rFonts w:hint="eastAsia" w:ascii="楷体" w:hAnsi="楷体" w:eastAsia="楷体"/>
          <w:bCs/>
          <w:szCs w:val="32"/>
        </w:rPr>
        <w:t>（区政府办、区政务数据局负责）</w:t>
      </w:r>
      <w:r>
        <w:rPr>
          <w:szCs w:val="32"/>
        </w:rPr>
        <w:t>加强公务员诚信教育，将诚信教育培训纳入“网络大学堂”和公务员日常培训</w:t>
      </w:r>
      <w:r>
        <w:rPr>
          <w:rFonts w:hint="eastAsia"/>
          <w:szCs w:val="32"/>
        </w:rPr>
        <w:t>。</w:t>
      </w:r>
      <w:r>
        <w:rPr>
          <w:rFonts w:eastAsia="宋体"/>
          <w:bCs/>
          <w:sz w:val="21"/>
        </w:rPr>
        <w:t>（</w:t>
      </w:r>
      <w:r>
        <w:rPr>
          <w:rFonts w:ascii="楷体" w:hAnsi="楷体" w:eastAsia="楷体"/>
          <w:bCs/>
          <w:szCs w:val="32"/>
        </w:rPr>
        <w:t>区委组织部牵头，</w:t>
      </w:r>
      <w:r>
        <w:rPr>
          <w:rFonts w:hint="eastAsia" w:ascii="楷体" w:hAnsi="楷体" w:eastAsia="楷体"/>
          <w:szCs w:val="32"/>
        </w:rPr>
        <w:t>区发改局</w:t>
      </w:r>
      <w:r>
        <w:rPr>
          <w:rFonts w:ascii="楷体" w:hAnsi="楷体" w:eastAsia="楷体"/>
          <w:bCs/>
          <w:szCs w:val="32"/>
        </w:rPr>
        <w:t>配合）</w:t>
      </w:r>
      <w:r>
        <w:rPr>
          <w:szCs w:val="32"/>
        </w:rPr>
        <w:t>落实录用、调任公务员社会信用</w:t>
      </w:r>
      <w:r>
        <w:rPr>
          <w:rFonts w:hint="eastAsia"/>
          <w:szCs w:val="32"/>
        </w:rPr>
        <w:t>记录</w:t>
      </w:r>
      <w:r>
        <w:rPr>
          <w:szCs w:val="32"/>
        </w:rPr>
        <w:t>查询工作，持续更新完善“公务员诚信档案”记录信息，加强公务员诚信管理。</w:t>
      </w:r>
      <w:r>
        <w:rPr>
          <w:rFonts w:hint="eastAsia" w:ascii="楷体" w:hAnsi="楷体" w:eastAsia="楷体"/>
          <w:szCs w:val="32"/>
        </w:rPr>
        <w:t>（区发改局、区委组织部牵头，各镇街、各部门负责）</w:t>
      </w:r>
      <w:r>
        <w:rPr>
          <w:szCs w:val="32"/>
        </w:rPr>
        <w:t>加强对政府部门参与或主导签署合同的核查、跟踪，防止政府失信问题发生。</w:t>
      </w:r>
      <w:r>
        <w:rPr>
          <w:rFonts w:hint="eastAsia" w:ascii="楷体" w:hAnsi="楷体" w:eastAsia="楷体"/>
          <w:szCs w:val="32"/>
        </w:rPr>
        <w:t>（各镇街、各部门负责）</w:t>
      </w:r>
      <w:r>
        <w:rPr>
          <w:szCs w:val="32"/>
        </w:rPr>
        <w:t>持续开展国有企业拖欠民营企业、中小企业账款清理工作，确保</w:t>
      </w:r>
      <w:r>
        <w:rPr>
          <w:rFonts w:hint="eastAsia" w:ascii="仿宋_GB2312" w:hAnsi="仿宋_GB2312" w:cs="仿宋_GB2312"/>
          <w:szCs w:val="32"/>
        </w:rPr>
        <w:t>2021年底新增拖欠账</w:t>
      </w:r>
      <w:r>
        <w:rPr>
          <w:szCs w:val="32"/>
        </w:rPr>
        <w:t>款清零。</w:t>
      </w:r>
      <w:r>
        <w:rPr>
          <w:rFonts w:hint="eastAsia" w:ascii="楷体" w:hAnsi="楷体" w:eastAsia="楷体"/>
          <w:szCs w:val="32"/>
        </w:rPr>
        <w:t>（区科工商信局负责）</w:t>
      </w:r>
      <w:r>
        <w:rPr>
          <w:szCs w:val="32"/>
        </w:rPr>
        <w:t>建立完善预防政府机构、国有企业失信工作机制，</w:t>
      </w:r>
      <w:r>
        <w:rPr>
          <w:rFonts w:hint="eastAsia"/>
          <w:szCs w:val="32"/>
        </w:rPr>
        <w:t>根据</w:t>
      </w:r>
      <w:r>
        <w:rPr>
          <w:szCs w:val="32"/>
        </w:rPr>
        <w:t>市法院</w:t>
      </w:r>
      <w:r>
        <w:rPr>
          <w:rFonts w:hint="eastAsia"/>
          <w:szCs w:val="32"/>
        </w:rPr>
        <w:t>、市信用办</w:t>
      </w:r>
      <w:r>
        <w:rPr>
          <w:szCs w:val="32"/>
        </w:rPr>
        <w:t>每月通报涉及我</w:t>
      </w:r>
      <w:r>
        <w:rPr>
          <w:rFonts w:hint="eastAsia"/>
          <w:szCs w:val="32"/>
        </w:rPr>
        <w:t>区</w:t>
      </w:r>
      <w:r>
        <w:rPr>
          <w:szCs w:val="32"/>
        </w:rPr>
        <w:t>政府机构、国有企业已立案执行案件</w:t>
      </w:r>
      <w:r>
        <w:rPr>
          <w:rFonts w:hint="eastAsia"/>
          <w:szCs w:val="32"/>
        </w:rPr>
        <w:t>，</w:t>
      </w:r>
      <w:r>
        <w:rPr>
          <w:szCs w:val="32"/>
        </w:rPr>
        <w:t>相关</w:t>
      </w:r>
      <w:r>
        <w:rPr>
          <w:rFonts w:hint="eastAsia"/>
          <w:szCs w:val="32"/>
        </w:rPr>
        <w:t>镇政府、街道办事处</w:t>
      </w:r>
      <w:r>
        <w:rPr>
          <w:szCs w:val="32"/>
        </w:rPr>
        <w:t>以及</w:t>
      </w:r>
      <w:r>
        <w:rPr>
          <w:rFonts w:hint="eastAsia"/>
          <w:szCs w:val="32"/>
        </w:rPr>
        <w:t>区</w:t>
      </w:r>
      <w:r>
        <w:rPr>
          <w:szCs w:val="32"/>
        </w:rPr>
        <w:t>有关单位加强</w:t>
      </w:r>
      <w:r>
        <w:rPr>
          <w:rFonts w:hint="eastAsia"/>
          <w:szCs w:val="32"/>
        </w:rPr>
        <w:t>相关问题的</w:t>
      </w:r>
      <w:r>
        <w:rPr>
          <w:szCs w:val="32"/>
        </w:rPr>
        <w:t>整改落实。</w:t>
      </w:r>
      <w:r>
        <w:rPr>
          <w:rFonts w:hint="eastAsia" w:ascii="楷体" w:hAnsi="楷体" w:eastAsia="楷体"/>
          <w:szCs w:val="32"/>
        </w:rPr>
        <w:t>（区信用办牵头，各镇街、区财政局、区法院负责）</w:t>
      </w:r>
    </w:p>
    <w:p>
      <w:pPr>
        <w:spacing w:line="560" w:lineRule="exact"/>
        <w:ind w:firstLine="632" w:firstLineChars="200"/>
        <w:rPr>
          <w:szCs w:val="32"/>
        </w:rPr>
      </w:pPr>
      <w:r>
        <w:rPr>
          <w:rFonts w:eastAsia="楷体_GB2312"/>
          <w:szCs w:val="32"/>
        </w:rPr>
        <w:t>（四）着力强化司法公信建设。</w:t>
      </w:r>
      <w:r>
        <w:rPr>
          <w:szCs w:val="32"/>
        </w:rPr>
        <w:t>配合市升级网络执行查控系统，加强法院、公安、检察院的协作配合，建立常态化打击拒执犯罪工作机制。</w:t>
      </w:r>
      <w:r>
        <w:rPr>
          <w:rFonts w:hint="eastAsia" w:ascii="楷体" w:hAnsi="楷体" w:eastAsia="楷体"/>
          <w:szCs w:val="32"/>
        </w:rPr>
        <w:t>（区法院负责）</w:t>
      </w:r>
      <w:r>
        <w:rPr>
          <w:rFonts w:hint="eastAsia"/>
          <w:szCs w:val="32"/>
        </w:rPr>
        <w:t>配合市修订完善律师事务所和律师行业的信用管理制度，加强律师行业信用体系建设。</w:t>
      </w:r>
      <w:r>
        <w:rPr>
          <w:rFonts w:hint="eastAsia" w:ascii="楷体" w:hAnsi="楷体" w:eastAsia="楷体"/>
          <w:szCs w:val="32"/>
        </w:rPr>
        <w:t>（区司法局负责）</w:t>
      </w:r>
      <w:r>
        <w:rPr>
          <w:szCs w:val="32"/>
        </w:rPr>
        <w:t>充分发挥检察职能，</w:t>
      </w:r>
      <w:r>
        <w:rPr>
          <w:rFonts w:hAnsi="仿宋_GB2312"/>
          <w:szCs w:val="32"/>
        </w:rPr>
        <w:t>突出查办虚假诉讼、恶意诉讼、互联网虚假信息、恶意欠薪、拒不执行法院裁判等破坏社会诚信类案件。</w:t>
      </w:r>
      <w:r>
        <w:rPr>
          <w:rFonts w:hint="eastAsia" w:ascii="楷体" w:hAnsi="楷体" w:eastAsia="楷体"/>
          <w:szCs w:val="32"/>
        </w:rPr>
        <w:t>（区检察院负责）</w:t>
      </w:r>
    </w:p>
    <w:p>
      <w:pPr>
        <w:spacing w:line="560" w:lineRule="exact"/>
        <w:ind w:firstLine="632" w:firstLineChars="200"/>
        <w:rPr>
          <w:rFonts w:ascii="楷体" w:hAnsi="楷体" w:eastAsia="楷体"/>
          <w:bCs/>
          <w:szCs w:val="32"/>
        </w:rPr>
      </w:pPr>
      <w:r>
        <w:rPr>
          <w:rFonts w:eastAsia="楷体_GB2312"/>
          <w:szCs w:val="32"/>
        </w:rPr>
        <w:t>（五）加大力度开展重点领域突出失信问题专项治理。</w:t>
      </w:r>
      <w:r>
        <w:rPr>
          <w:bCs/>
          <w:szCs w:val="32"/>
        </w:rPr>
        <w:t>落实《广州市关于开展诚信缺失突出问题专项治理行动的工作方案》（穗文明委</w:t>
      </w:r>
      <w:r>
        <w:rPr>
          <w:rFonts w:hint="eastAsia" w:ascii="仿宋_GB2312" w:hAnsi="仿宋_GB2312" w:cs="仿宋_GB2312"/>
          <w:bCs/>
          <w:szCs w:val="32"/>
        </w:rPr>
        <w:t>〔2020〕13号），抓</w:t>
      </w:r>
      <w:r>
        <w:rPr>
          <w:bCs/>
          <w:szCs w:val="32"/>
        </w:rPr>
        <w:t>好电信网络诈骗、互联网信息服务、防疫物资质量和市场秩序、国家考试作弊、交通运输领域失信、骗取社会保险、法院判决不执行、金融领域失信、生态环境保护失信等重点领域诚信缺失突出问题治理工作。</w:t>
      </w:r>
      <w:r>
        <w:rPr>
          <w:rFonts w:hint="eastAsia" w:ascii="楷体" w:hAnsi="楷体" w:eastAsia="楷体"/>
          <w:bCs/>
          <w:szCs w:val="32"/>
        </w:rPr>
        <w:t>（区委宣传部牵头，区委网信办、</w:t>
      </w:r>
      <w:r>
        <w:rPr>
          <w:rFonts w:hint="eastAsia" w:ascii="楷体" w:hAnsi="楷体" w:eastAsia="楷体"/>
          <w:szCs w:val="32"/>
        </w:rPr>
        <w:t>区发改局</w:t>
      </w:r>
      <w:r>
        <w:rPr>
          <w:rFonts w:hint="eastAsia" w:ascii="楷体" w:hAnsi="楷体" w:eastAsia="楷体"/>
          <w:bCs/>
          <w:szCs w:val="32"/>
        </w:rPr>
        <w:t>、区公安分局、区教育局、区人力资源社会保障局、区交通运输局、区生态环境分局、区市场监管局、区法院按职责分工负责）</w:t>
      </w:r>
      <w:r>
        <w:rPr>
          <w:bCs/>
          <w:szCs w:val="32"/>
        </w:rPr>
        <w:t>根据国家发展改革委统一部署，开展</w:t>
      </w:r>
      <w:r>
        <w:rPr>
          <w:rFonts w:hint="eastAsia"/>
          <w:bCs/>
          <w:szCs w:val="32"/>
        </w:rPr>
        <w:t>“屡禁不止、屡罚不改”</w:t>
      </w:r>
      <w:r>
        <w:rPr>
          <w:bCs/>
          <w:szCs w:val="32"/>
        </w:rPr>
        <w:t>严重</w:t>
      </w:r>
      <w:r>
        <w:rPr>
          <w:rFonts w:hint="eastAsia"/>
          <w:bCs/>
          <w:szCs w:val="32"/>
        </w:rPr>
        <w:t>违法</w:t>
      </w:r>
      <w:r>
        <w:rPr>
          <w:bCs/>
          <w:szCs w:val="32"/>
        </w:rPr>
        <w:t>失信</w:t>
      </w:r>
      <w:r>
        <w:rPr>
          <w:rFonts w:hint="eastAsia"/>
          <w:bCs/>
          <w:szCs w:val="32"/>
        </w:rPr>
        <w:t>行为</w:t>
      </w:r>
      <w:r>
        <w:rPr>
          <w:bCs/>
          <w:szCs w:val="32"/>
        </w:rPr>
        <w:t>专项治理和信用服务机构失信</w:t>
      </w:r>
      <w:r>
        <w:rPr>
          <w:rFonts w:hint="eastAsia"/>
          <w:bCs/>
          <w:szCs w:val="32"/>
        </w:rPr>
        <w:t>问题</w:t>
      </w:r>
      <w:r>
        <w:rPr>
          <w:bCs/>
          <w:szCs w:val="32"/>
        </w:rPr>
        <w:t>专项治理。</w:t>
      </w:r>
      <w:r>
        <w:rPr>
          <w:rFonts w:hint="eastAsia" w:ascii="楷体" w:hAnsi="楷体" w:eastAsia="楷体"/>
          <w:bCs/>
          <w:szCs w:val="32"/>
        </w:rPr>
        <w:t>（区信用办牵头，各镇街、各部门负责）</w:t>
      </w:r>
    </w:p>
    <w:p>
      <w:pPr>
        <w:spacing w:line="560" w:lineRule="exact"/>
        <w:ind w:firstLine="632" w:firstLineChars="200"/>
        <w:rPr>
          <w:rFonts w:eastAsia="黑体"/>
          <w:szCs w:val="32"/>
        </w:rPr>
      </w:pPr>
      <w:r>
        <w:rPr>
          <w:rFonts w:eastAsia="黑体"/>
          <w:szCs w:val="32"/>
        </w:rPr>
        <w:t>二、健全以信用为基础的新型监管机制</w:t>
      </w:r>
    </w:p>
    <w:p>
      <w:pPr>
        <w:spacing w:line="560" w:lineRule="exact"/>
        <w:ind w:firstLine="632" w:firstLineChars="200"/>
        <w:rPr>
          <w:szCs w:val="32"/>
        </w:rPr>
      </w:pPr>
      <w:r>
        <w:rPr>
          <w:rFonts w:eastAsia="楷体_GB2312"/>
          <w:szCs w:val="32"/>
        </w:rPr>
        <w:t>（六）全面推行信用承诺和告知承诺制。</w:t>
      </w:r>
      <w:r>
        <w:rPr>
          <w:szCs w:val="32"/>
        </w:rPr>
        <w:t>在日常政务服务中，贯彻落实《国务院办公厅关于全面推行证明事项和涉企经营许可事项告知承诺制的指导意见》</w:t>
      </w:r>
      <w:r>
        <w:rPr>
          <w:rFonts w:hint="eastAsia"/>
          <w:szCs w:val="32"/>
        </w:rPr>
        <w:t>，在各级行政机关和经法律法规授权的具有管理公共事务职能的组织办理行政许可、行政确认、行政给付等事项中全面推行证明事项告知承诺制</w:t>
      </w:r>
      <w:r>
        <w:rPr>
          <w:szCs w:val="32"/>
        </w:rPr>
        <w:t>。</w:t>
      </w:r>
      <w:r>
        <w:rPr>
          <w:rFonts w:ascii="楷体" w:hAnsi="楷体" w:eastAsia="楷体"/>
          <w:bCs/>
          <w:szCs w:val="32"/>
        </w:rPr>
        <w:t>（</w:t>
      </w:r>
      <w:r>
        <w:rPr>
          <w:rFonts w:hint="eastAsia" w:ascii="楷体" w:hAnsi="楷体" w:eastAsia="楷体"/>
          <w:bCs/>
          <w:szCs w:val="32"/>
        </w:rPr>
        <w:t>各镇街及相关部门按职责分工负责</w:t>
      </w:r>
      <w:r>
        <w:rPr>
          <w:rFonts w:ascii="楷体" w:hAnsi="楷体" w:eastAsia="楷体"/>
          <w:bCs/>
          <w:szCs w:val="32"/>
        </w:rPr>
        <w:t>）</w:t>
      </w:r>
      <w:r>
        <w:rPr>
          <w:szCs w:val="32"/>
        </w:rPr>
        <w:t>建立告知承诺信用信息记录、归集、推送</w:t>
      </w:r>
      <w:r>
        <w:rPr>
          <w:rFonts w:hint="eastAsia"/>
          <w:szCs w:val="32"/>
        </w:rPr>
        <w:t>、异议</w:t>
      </w:r>
      <w:r>
        <w:rPr>
          <w:szCs w:val="32"/>
        </w:rPr>
        <w:t>工作机制，将承诺人履行承诺情况全面纳入公共信用信息记录。</w:t>
      </w:r>
      <w:r>
        <w:rPr>
          <w:rFonts w:hint="eastAsia" w:ascii="楷体" w:hAnsi="楷体" w:eastAsia="楷体"/>
          <w:szCs w:val="32"/>
        </w:rPr>
        <w:t>（区发改局牵头，各镇街、各部门负责）</w:t>
      </w:r>
    </w:p>
    <w:p>
      <w:pPr>
        <w:spacing w:line="560" w:lineRule="exact"/>
        <w:ind w:firstLine="632" w:firstLineChars="200"/>
        <w:rPr>
          <w:szCs w:val="32"/>
        </w:rPr>
      </w:pPr>
      <w:r>
        <w:rPr>
          <w:rFonts w:hint="eastAsia" w:eastAsia="楷体_GB2312"/>
          <w:szCs w:val="32"/>
        </w:rPr>
        <w:t>（七）</w:t>
      </w:r>
      <w:r>
        <w:rPr>
          <w:rFonts w:eastAsia="楷体_GB2312"/>
          <w:szCs w:val="32"/>
        </w:rPr>
        <w:t>建立完善信用监管约束机制。</w:t>
      </w:r>
      <w:r>
        <w:rPr>
          <w:szCs w:val="32"/>
        </w:rPr>
        <w:t>按照《广州市全面推进社会信用体系建设实施意见》（</w:t>
      </w:r>
      <w:r>
        <w:rPr>
          <w:bCs/>
          <w:szCs w:val="32"/>
        </w:rPr>
        <w:t>穗府办函</w:t>
      </w:r>
      <w:r>
        <w:rPr>
          <w:rFonts w:hint="eastAsia" w:ascii="仿宋_GB2312" w:hAnsi="仿宋_GB2312" w:cs="仿宋_GB2312"/>
          <w:bCs/>
          <w:szCs w:val="32"/>
        </w:rPr>
        <w:t>〔2020〕35号</w:t>
      </w:r>
      <w:r>
        <w:rPr>
          <w:rFonts w:hint="eastAsia" w:ascii="仿宋_GB2312" w:hAnsi="仿宋_GB2312" w:cs="仿宋_GB2312"/>
          <w:szCs w:val="32"/>
        </w:rPr>
        <w:t>）</w:t>
      </w:r>
      <w:r>
        <w:rPr>
          <w:szCs w:val="32"/>
        </w:rPr>
        <w:t>关于“健全以信用为基础的新型监管机制”职责分工要求，以加强信用监管为着力点，创新监管理念、监管制度和监管方式，建立行业信用监管标准化工作流程和信用全周期闭环监管机制。</w:t>
      </w:r>
      <w:r>
        <w:rPr>
          <w:rFonts w:hint="eastAsia" w:ascii="楷体" w:hAnsi="楷体" w:eastAsia="楷体"/>
          <w:szCs w:val="32"/>
        </w:rPr>
        <w:t>（区发改局牵头，各镇街、各部门具体落实）</w:t>
      </w:r>
      <w:r>
        <w:rPr>
          <w:szCs w:val="32"/>
        </w:rPr>
        <w:t>开展企业公共信用综合评价，推动在“双随机、一公开”监管中应用企业公共信用综合评价结果，依据信用等级、风险程度合理确定不同等级企业抽查频次。探索推进政府和平台企业、征信机构合作监管模式，完善社会约束机制。</w:t>
      </w:r>
      <w:r>
        <w:rPr>
          <w:rFonts w:hint="eastAsia" w:ascii="楷体" w:hAnsi="楷体" w:eastAsia="楷体"/>
          <w:szCs w:val="32"/>
        </w:rPr>
        <w:t>（区发改局、区市场监管局负责，区政务数据局配合）</w:t>
      </w:r>
    </w:p>
    <w:p>
      <w:pPr>
        <w:spacing w:line="560" w:lineRule="exact"/>
        <w:ind w:firstLine="632" w:firstLineChars="200"/>
        <w:rPr>
          <w:rFonts w:ascii="楷体" w:hAnsi="楷体" w:eastAsia="楷体"/>
          <w:szCs w:val="32"/>
        </w:rPr>
      </w:pPr>
      <w:r>
        <w:rPr>
          <w:rFonts w:hint="eastAsia" w:eastAsia="楷体_GB2312"/>
          <w:szCs w:val="32"/>
        </w:rPr>
        <w:t>（八）</w:t>
      </w:r>
      <w:r>
        <w:rPr>
          <w:rFonts w:eastAsia="楷体_GB2312"/>
          <w:szCs w:val="32"/>
        </w:rPr>
        <w:t>依法依规落实失信惩戒。</w:t>
      </w:r>
      <w:r>
        <w:rPr>
          <w:szCs w:val="32"/>
        </w:rPr>
        <w:t>严格限定严重失信主体名单设列领域范围和认定标准，依法依规落实联合奖惩措施，机制化反馈联合奖惩执行情况</w:t>
      </w:r>
      <w:r>
        <w:rPr>
          <w:rFonts w:hint="eastAsia"/>
          <w:szCs w:val="32"/>
        </w:rPr>
        <w:t>。</w:t>
      </w:r>
      <w:r>
        <w:rPr>
          <w:rFonts w:hint="eastAsia" w:ascii="楷体" w:hAnsi="楷体" w:eastAsia="楷体"/>
          <w:szCs w:val="32"/>
        </w:rPr>
        <w:t>（各镇街、各部门负责）</w:t>
      </w:r>
      <w:r>
        <w:rPr>
          <w:szCs w:val="32"/>
        </w:rPr>
        <w:t>依法认定、归集和公示严重拖欠农民工工资黑名单主体信息，营造“不敢欠”的社会氛围。</w:t>
      </w:r>
      <w:r>
        <w:rPr>
          <w:rFonts w:hint="eastAsia" w:ascii="楷体" w:hAnsi="楷体" w:eastAsia="楷体"/>
          <w:szCs w:val="32"/>
        </w:rPr>
        <w:t>（区人社局负责）</w:t>
      </w:r>
      <w:r>
        <w:rPr>
          <w:szCs w:val="32"/>
        </w:rPr>
        <w:t>持续落实失信案例核查，建立“核查、记录、监管、惩戒、整改、教育”为一体的失信案例核查和失信记录归集工作机制。</w:t>
      </w:r>
      <w:r>
        <w:rPr>
          <w:rFonts w:hint="eastAsia" w:ascii="楷体" w:hAnsi="楷体" w:eastAsia="楷体"/>
          <w:szCs w:val="32"/>
        </w:rPr>
        <w:t>（区发改局牵头，各镇街、各部门负责）</w:t>
      </w:r>
    </w:p>
    <w:p>
      <w:pPr>
        <w:spacing w:line="560" w:lineRule="exact"/>
        <w:ind w:firstLine="632" w:firstLineChars="200"/>
        <w:rPr>
          <w:szCs w:val="32"/>
        </w:rPr>
      </w:pPr>
      <w:r>
        <w:rPr>
          <w:rFonts w:hint="eastAsia" w:eastAsia="楷体_GB2312"/>
          <w:szCs w:val="32"/>
        </w:rPr>
        <w:t>（九）</w:t>
      </w:r>
      <w:r>
        <w:rPr>
          <w:rFonts w:eastAsia="楷体_GB2312"/>
          <w:szCs w:val="32"/>
        </w:rPr>
        <w:t>建立完善重点领域信用监管制度。</w:t>
      </w:r>
      <w:r>
        <w:rPr>
          <w:rFonts w:hint="eastAsia"/>
          <w:szCs w:val="32"/>
        </w:rPr>
        <w:t>配合市建设信用管理平台，整合施工、监理、招标代理、勘察设计、工程检测、造价咨询、新型墙体材料、混凝土、预拌砂浆、物业、房地产中介等领域信用信息数据，建立相应的评价标准体系。</w:t>
      </w:r>
      <w:r>
        <w:rPr>
          <w:rFonts w:hint="eastAsia" w:ascii="楷体" w:hAnsi="楷体" w:eastAsia="楷体"/>
          <w:szCs w:val="32"/>
        </w:rPr>
        <w:t>（区住建局负责）</w:t>
      </w:r>
      <w:r>
        <w:rPr>
          <w:rFonts w:hint="eastAsia"/>
          <w:szCs w:val="32"/>
        </w:rPr>
        <w:t>规范校外培训机构发展，落实白名单制度，探索建立资金监管、负面清单等监管机制。</w:t>
      </w:r>
      <w:r>
        <w:rPr>
          <w:rFonts w:hint="eastAsia" w:ascii="楷体" w:hAnsi="楷体" w:eastAsia="楷体"/>
          <w:szCs w:val="32"/>
        </w:rPr>
        <w:t>（区教育局负责）</w:t>
      </w:r>
      <w:r>
        <w:rPr>
          <w:szCs w:val="32"/>
        </w:rPr>
        <w:t>完善农产品质量安全信用体系建设，推行食用农产品合格证制度。</w:t>
      </w:r>
      <w:r>
        <w:rPr>
          <w:rFonts w:hint="eastAsia" w:ascii="楷体" w:hAnsi="楷体" w:eastAsia="楷体"/>
          <w:szCs w:val="32"/>
        </w:rPr>
        <w:t>（区农业农村局负责）</w:t>
      </w:r>
      <w:r>
        <w:rPr>
          <w:rFonts w:hint="eastAsia"/>
          <w:szCs w:val="32"/>
        </w:rPr>
        <w:t>按照市修订的《诚信旅行社服务规范与评定》标准，</w:t>
      </w:r>
      <w:r>
        <w:rPr>
          <w:szCs w:val="32"/>
        </w:rPr>
        <w:t>开展旅行社的诚信经营评定。</w:t>
      </w:r>
      <w:r>
        <w:rPr>
          <w:rFonts w:hint="eastAsia" w:ascii="楷体" w:hAnsi="楷体" w:eastAsia="楷体"/>
          <w:szCs w:val="32"/>
        </w:rPr>
        <w:t>（区文广旅体局负责）</w:t>
      </w:r>
      <w:r>
        <w:rPr>
          <w:rFonts w:hint="eastAsia"/>
          <w:szCs w:val="32"/>
        </w:rPr>
        <w:t>配合上级推进家政服务信用体系建设，落实市《家政服务信用等级评定规范》</w:t>
      </w:r>
      <w:r>
        <w:rPr>
          <w:szCs w:val="32"/>
        </w:rPr>
        <w:t>。</w:t>
      </w:r>
      <w:r>
        <w:rPr>
          <w:rFonts w:hint="eastAsia" w:ascii="楷体" w:hAnsi="楷体" w:eastAsia="楷体"/>
          <w:szCs w:val="32"/>
        </w:rPr>
        <w:t>（区科工商信局、区妇联负责）</w:t>
      </w:r>
      <w:r>
        <w:rPr>
          <w:szCs w:val="32"/>
        </w:rPr>
        <w:t>落实《广州市城市管理领域信用信息分级使用管理办法》，以环卫、燃气、违建等领域为突破点</w:t>
      </w:r>
      <w:r>
        <w:rPr>
          <w:rFonts w:hint="eastAsia"/>
          <w:szCs w:val="32"/>
        </w:rPr>
        <w:t>，</w:t>
      </w:r>
      <w:r>
        <w:rPr>
          <w:szCs w:val="32"/>
        </w:rPr>
        <w:t>加强信用监管。</w:t>
      </w:r>
      <w:r>
        <w:rPr>
          <w:rFonts w:hint="eastAsia" w:ascii="楷体" w:hAnsi="楷体" w:eastAsia="楷体"/>
          <w:szCs w:val="32"/>
        </w:rPr>
        <w:t>（区城管局负责）</w:t>
      </w:r>
      <w:r>
        <w:rPr>
          <w:rFonts w:hint="eastAsia"/>
          <w:szCs w:val="32"/>
        </w:rPr>
        <w:t>建立消防安全技术服务机构公示制度和信用评价制度，加强对消防技术服务机构服务质量的监督抽查</w:t>
      </w:r>
      <w:r>
        <w:rPr>
          <w:szCs w:val="32"/>
        </w:rPr>
        <w:t>。</w:t>
      </w:r>
      <w:r>
        <w:rPr>
          <w:rFonts w:hint="eastAsia" w:ascii="楷体" w:hAnsi="楷体" w:eastAsia="楷体"/>
          <w:szCs w:val="32"/>
        </w:rPr>
        <w:t>（区消防救援大队牵头，区住建局、区市场监管局配合）</w:t>
      </w:r>
      <w:r>
        <w:rPr>
          <w:szCs w:val="32"/>
        </w:rPr>
        <w:t>构建以信用风险分类管理为核心，以“双随机、一公开”监管为基本手段，以重点监管、包容审慎监管为补充的智慧型监管新机制。</w:t>
      </w:r>
      <w:r>
        <w:rPr>
          <w:rFonts w:hint="eastAsia" w:ascii="楷体" w:hAnsi="楷体" w:eastAsia="楷体"/>
          <w:szCs w:val="32"/>
        </w:rPr>
        <w:t>（区市场监管局负责）</w:t>
      </w:r>
      <w:r>
        <w:rPr>
          <w:szCs w:val="32"/>
        </w:rPr>
        <w:t>探索开展互联网企业诚信评价体系建设，加强互联网信息服务市场主体信用监管。</w:t>
      </w:r>
      <w:r>
        <w:rPr>
          <w:rFonts w:hint="eastAsia" w:ascii="楷体" w:hAnsi="楷体" w:eastAsia="楷体"/>
          <w:szCs w:val="32"/>
        </w:rPr>
        <w:t>（区委网信办、区发改局牵头，区科工商信局、区市场监管局配合）</w:t>
      </w:r>
    </w:p>
    <w:p>
      <w:pPr>
        <w:spacing w:line="560" w:lineRule="exact"/>
        <w:ind w:firstLine="632" w:firstLineChars="200"/>
        <w:rPr>
          <w:rFonts w:ascii="楷体" w:hAnsi="楷体" w:eastAsia="楷体"/>
          <w:szCs w:val="32"/>
        </w:rPr>
      </w:pPr>
      <w:r>
        <w:rPr>
          <w:rFonts w:hint="eastAsia" w:eastAsia="楷体_GB2312"/>
          <w:szCs w:val="32"/>
        </w:rPr>
        <w:t>（十）</w:t>
      </w:r>
      <w:r>
        <w:rPr>
          <w:rFonts w:eastAsia="楷体_GB2312"/>
          <w:szCs w:val="32"/>
        </w:rPr>
        <w:t>加强市场主体权益保障。</w:t>
      </w:r>
      <w:r>
        <w:rPr>
          <w:szCs w:val="32"/>
        </w:rPr>
        <w:t>完善信用网站信用信息异议和行政处罚信息信用修复协同处理机制，保障信息主体权益。</w:t>
      </w:r>
      <w:r>
        <w:rPr>
          <w:rFonts w:hint="eastAsia" w:ascii="楷体" w:hAnsi="楷体" w:eastAsia="楷体"/>
          <w:szCs w:val="32"/>
        </w:rPr>
        <w:t>（区发改局负责）</w:t>
      </w:r>
      <w:r>
        <w:rPr>
          <w:szCs w:val="32"/>
        </w:rPr>
        <w:t>加强对市场主体的关怀引导，持续推进“失信被执行人”“海关失信企业”“重大税收违法当事人”“严重拖欠农民工工资黑名单”“安全生产黑名单”“经营异常名录（状态）”“严重违法失信企业”等各类主体的信用修复工作。</w:t>
      </w:r>
      <w:r>
        <w:rPr>
          <w:rFonts w:hint="eastAsia" w:ascii="楷体" w:hAnsi="楷体" w:eastAsia="楷体"/>
          <w:szCs w:val="32"/>
        </w:rPr>
        <w:t>（区法院、番禺海关、区税务局、区人社局、区应急管理局、区市场监管局负责）</w:t>
      </w:r>
      <w:r>
        <w:rPr>
          <w:szCs w:val="32"/>
        </w:rPr>
        <w:t>引导产业园区和“规上企业”开展园区企业信用体系建设，组织开展面向监管对象的信用培训，提升企业信用风险意识和信用管理能力。</w:t>
      </w:r>
      <w:r>
        <w:rPr>
          <w:rFonts w:hint="eastAsia" w:ascii="楷体" w:hAnsi="楷体" w:eastAsia="楷体"/>
          <w:szCs w:val="32"/>
        </w:rPr>
        <w:t>（各镇街、各行业主管部门负责）</w:t>
      </w:r>
    </w:p>
    <w:p>
      <w:pPr>
        <w:spacing w:line="560" w:lineRule="exact"/>
        <w:ind w:firstLine="632" w:firstLineChars="200"/>
        <w:rPr>
          <w:rFonts w:eastAsia="黑体"/>
          <w:szCs w:val="32"/>
        </w:rPr>
      </w:pPr>
      <w:r>
        <w:rPr>
          <w:rFonts w:eastAsia="黑体"/>
          <w:szCs w:val="32"/>
        </w:rPr>
        <w:t>三、夯实信用建设平台和数据基础</w:t>
      </w:r>
    </w:p>
    <w:p>
      <w:pPr>
        <w:spacing w:line="560" w:lineRule="exact"/>
        <w:ind w:firstLine="632" w:firstLineChars="200"/>
        <w:rPr>
          <w:rFonts w:ascii="楷体" w:hAnsi="楷体" w:eastAsia="楷体"/>
          <w:szCs w:val="32"/>
        </w:rPr>
      </w:pPr>
      <w:r>
        <w:rPr>
          <w:rFonts w:hint="eastAsia" w:eastAsia="楷体_GB2312"/>
          <w:szCs w:val="32"/>
        </w:rPr>
        <w:t>（十一）</w:t>
      </w:r>
      <w:r>
        <w:rPr>
          <w:rFonts w:eastAsia="楷体_GB2312"/>
          <w:szCs w:val="32"/>
        </w:rPr>
        <w:t>加强和规范信用信息归集共享。</w:t>
      </w:r>
      <w:r>
        <w:rPr>
          <w:szCs w:val="32"/>
        </w:rPr>
        <w:t>持续做好统一社会信用代码赋码，重错码查验和纠错，确保各类社会主体统一代码全覆盖，重错码率不超过0.005%。</w:t>
      </w:r>
      <w:r>
        <w:rPr>
          <w:rFonts w:hint="eastAsia" w:ascii="楷体" w:hAnsi="楷体" w:eastAsia="楷体"/>
          <w:szCs w:val="32"/>
        </w:rPr>
        <w:t>（区市场监管局、区委编办、区司法局、区民政局、区委统战部、区农业农村局、区总工会负责）</w:t>
      </w:r>
      <w:r>
        <w:rPr>
          <w:rFonts w:hint="eastAsia"/>
          <w:szCs w:val="32"/>
        </w:rPr>
        <w:t>落实《广</w:t>
      </w:r>
      <w:r>
        <w:rPr>
          <w:rFonts w:hint="eastAsia" w:ascii="仿宋_GB2312" w:hAnsi="仿宋_GB2312" w:cs="仿宋_GB2312"/>
          <w:szCs w:val="32"/>
        </w:rPr>
        <w:t>州市公共信用信息资源目录（2021）》，</w:t>
      </w:r>
      <w:r>
        <w:rPr>
          <w:rFonts w:hint="eastAsia"/>
          <w:szCs w:val="32"/>
        </w:rPr>
        <w:t>对政府部门、具有管理公共事务职能的组织掌握的“双公示”数据、市场监管、社保、公积金、水电气等信息“应归尽归”。</w:t>
      </w:r>
      <w:r>
        <w:rPr>
          <w:rFonts w:hint="eastAsia" w:ascii="楷体" w:hAnsi="楷体" w:eastAsia="楷体"/>
          <w:szCs w:val="32"/>
        </w:rPr>
        <w:t>（区发改局、区政务数据局负责，各数据责任部门具体落实）</w:t>
      </w:r>
      <w:r>
        <w:rPr>
          <w:szCs w:val="32"/>
        </w:rPr>
        <w:t>以国家和省“双公示”指标评估为导向，定期通报“双公示”数据归集情况，开展区级“双公示”质量评估，提升数据</w:t>
      </w:r>
      <w:r>
        <w:rPr>
          <w:rFonts w:hint="eastAsia"/>
          <w:szCs w:val="32"/>
        </w:rPr>
        <w:t>“合规率”</w:t>
      </w:r>
      <w:r>
        <w:rPr>
          <w:szCs w:val="32"/>
        </w:rPr>
        <w:t>，着力降低数据“迟报率”“瞒报率”。</w:t>
      </w:r>
      <w:r>
        <w:rPr>
          <w:rFonts w:hint="eastAsia" w:ascii="楷体" w:hAnsi="楷体" w:eastAsia="楷体"/>
          <w:szCs w:val="32"/>
        </w:rPr>
        <w:t>（区发改局、区政务数据局牵头，各镇街、各部门负责）</w:t>
      </w:r>
    </w:p>
    <w:p>
      <w:pPr>
        <w:spacing w:line="560" w:lineRule="exact"/>
        <w:ind w:firstLine="632" w:firstLineChars="200"/>
        <w:rPr>
          <w:rFonts w:ascii="楷体" w:hAnsi="楷体" w:eastAsia="楷体"/>
          <w:b/>
          <w:szCs w:val="32"/>
        </w:rPr>
      </w:pPr>
      <w:r>
        <w:rPr>
          <w:rFonts w:hint="eastAsia" w:eastAsia="楷体_GB2312"/>
          <w:szCs w:val="32"/>
        </w:rPr>
        <w:t>（十二）</w:t>
      </w:r>
      <w:r>
        <w:rPr>
          <w:rFonts w:eastAsia="楷体_GB2312"/>
          <w:szCs w:val="32"/>
        </w:rPr>
        <w:t>建立信用信息治理应用机制。</w:t>
      </w:r>
      <w:r>
        <w:rPr>
          <w:rFonts w:hint="eastAsia"/>
          <w:szCs w:val="32"/>
        </w:rPr>
        <w:t>落实市</w:t>
      </w:r>
      <w:r>
        <w:rPr>
          <w:szCs w:val="32"/>
        </w:rPr>
        <w:t>公共信用信息清洗、校核、入库、核查工作机制，加强常态化数据质量监管，重点提升“双公示”数据、市场监管、社保、公积金、水电气数据质量。</w:t>
      </w:r>
      <w:r>
        <w:rPr>
          <w:rFonts w:hint="eastAsia" w:ascii="楷体" w:hAnsi="楷体" w:eastAsia="楷体"/>
          <w:szCs w:val="32"/>
        </w:rPr>
        <w:t>（区政务数据局负责，各数据源单位配合）</w:t>
      </w:r>
      <w:r>
        <w:rPr>
          <w:rFonts w:hint="eastAsia"/>
          <w:szCs w:val="32"/>
        </w:rPr>
        <w:t>利用“数据安全屋”、多方安全计算、联邦学习、匿踪查询等技术，探索信用数据可见不可用的安全应用方式。</w:t>
      </w:r>
      <w:r>
        <w:rPr>
          <w:rFonts w:hint="eastAsia" w:ascii="楷体" w:hAnsi="楷体" w:eastAsia="楷体"/>
          <w:szCs w:val="32"/>
        </w:rPr>
        <w:t>（区政务数据局、区发改局负责）</w:t>
      </w:r>
    </w:p>
    <w:p>
      <w:pPr>
        <w:spacing w:line="560" w:lineRule="exact"/>
        <w:ind w:firstLine="632" w:firstLineChars="200"/>
        <w:rPr>
          <w:rFonts w:eastAsia="黑体"/>
          <w:szCs w:val="32"/>
        </w:rPr>
      </w:pPr>
      <w:r>
        <w:rPr>
          <w:rFonts w:eastAsia="黑体"/>
          <w:szCs w:val="32"/>
        </w:rPr>
        <w:t>四、增强信用建设服务实体经济能力</w:t>
      </w:r>
    </w:p>
    <w:p>
      <w:pPr>
        <w:spacing w:line="560" w:lineRule="exact"/>
        <w:ind w:firstLine="632" w:firstLineChars="200"/>
        <w:rPr>
          <w:rFonts w:ascii="楷体" w:hAnsi="楷体" w:eastAsia="楷体"/>
          <w:b/>
          <w:szCs w:val="32"/>
        </w:rPr>
      </w:pPr>
      <w:r>
        <w:rPr>
          <w:rFonts w:hint="eastAsia" w:eastAsia="楷体_GB2312"/>
          <w:szCs w:val="32"/>
        </w:rPr>
        <w:t>（十三）</w:t>
      </w:r>
      <w:r>
        <w:rPr>
          <w:rFonts w:eastAsia="楷体_GB2312"/>
          <w:szCs w:val="32"/>
        </w:rPr>
        <w:t>大力推进“信易贷”。</w:t>
      </w:r>
      <w:r>
        <w:rPr>
          <w:szCs w:val="32"/>
        </w:rPr>
        <w:t>制定进一步推进</w:t>
      </w:r>
      <w:r>
        <w:rPr>
          <w:rFonts w:hint="eastAsia"/>
          <w:szCs w:val="32"/>
        </w:rPr>
        <w:t>“</w:t>
      </w:r>
      <w:r>
        <w:rPr>
          <w:szCs w:val="32"/>
        </w:rPr>
        <w:t>信易贷</w:t>
      </w:r>
      <w:r>
        <w:rPr>
          <w:rFonts w:hint="eastAsia"/>
          <w:szCs w:val="32"/>
        </w:rPr>
        <w:t>”</w:t>
      </w:r>
      <w:r>
        <w:rPr>
          <w:szCs w:val="32"/>
        </w:rPr>
        <w:t>工作的政策措施</w:t>
      </w:r>
      <w:r>
        <w:rPr>
          <w:rFonts w:hint="eastAsia"/>
          <w:szCs w:val="32"/>
        </w:rPr>
        <w:t>。</w:t>
      </w:r>
      <w:r>
        <w:rPr>
          <w:rFonts w:hint="eastAsia" w:ascii="楷体" w:hAnsi="楷体" w:eastAsia="楷体"/>
          <w:szCs w:val="32"/>
        </w:rPr>
        <w:t>（区发改局负责）</w:t>
      </w:r>
      <w:r>
        <w:rPr>
          <w:szCs w:val="32"/>
        </w:rPr>
        <w:t>持续加强广州</w:t>
      </w:r>
      <w:r>
        <w:rPr>
          <w:rFonts w:hint="eastAsia"/>
          <w:szCs w:val="32"/>
        </w:rPr>
        <w:t>“</w:t>
      </w:r>
      <w:r>
        <w:rPr>
          <w:szCs w:val="32"/>
        </w:rPr>
        <w:t>信易贷</w:t>
      </w:r>
      <w:r>
        <w:rPr>
          <w:rFonts w:hint="eastAsia"/>
          <w:szCs w:val="32"/>
        </w:rPr>
        <w:t>”</w:t>
      </w:r>
      <w:r>
        <w:rPr>
          <w:szCs w:val="32"/>
        </w:rPr>
        <w:t>平台的宣传推广，积极发动辖区、行业领域中小企业在平台注册。</w:t>
      </w:r>
      <w:r>
        <w:rPr>
          <w:rFonts w:hint="eastAsia" w:ascii="楷体" w:hAnsi="楷体" w:eastAsia="楷体"/>
          <w:szCs w:val="32"/>
        </w:rPr>
        <w:t>（各镇街，区科工商信局等行业主管部门负责）</w:t>
      </w:r>
    </w:p>
    <w:p>
      <w:pPr>
        <w:spacing w:line="560" w:lineRule="exact"/>
        <w:ind w:firstLine="632" w:firstLineChars="200"/>
        <w:rPr>
          <w:rFonts w:ascii="楷体" w:hAnsi="楷体" w:eastAsia="楷体"/>
          <w:b/>
          <w:szCs w:val="32"/>
        </w:rPr>
      </w:pPr>
      <w:r>
        <w:rPr>
          <w:rFonts w:hint="eastAsia" w:eastAsia="楷体_GB2312"/>
          <w:szCs w:val="32"/>
        </w:rPr>
        <w:t>（十四）</w:t>
      </w:r>
      <w:r>
        <w:rPr>
          <w:rFonts w:eastAsia="楷体_GB2312"/>
          <w:szCs w:val="32"/>
        </w:rPr>
        <w:t>探索推进信用数据要素改革。</w:t>
      </w:r>
      <w:r>
        <w:rPr>
          <w:szCs w:val="32"/>
        </w:rPr>
        <w:t>探索依据个人公共信用信息开展个人守信激励应用，开展信用+医疗、信用+交通、信用+家政、信用+租赁、信用+旅游等惠民创新。</w:t>
      </w:r>
      <w:r>
        <w:rPr>
          <w:rFonts w:hint="eastAsia" w:ascii="楷体" w:hAnsi="楷体" w:eastAsia="楷体"/>
          <w:szCs w:val="32"/>
        </w:rPr>
        <w:t>（区发改局、区政务数据局牵头，各镇街、各有关部门配合）</w:t>
      </w:r>
    </w:p>
    <w:p>
      <w:pPr>
        <w:spacing w:line="560" w:lineRule="exact"/>
        <w:ind w:firstLine="632" w:firstLineChars="200"/>
        <w:rPr>
          <w:rFonts w:ascii="楷体" w:hAnsi="楷体" w:eastAsia="楷体"/>
          <w:szCs w:val="32"/>
        </w:rPr>
      </w:pPr>
      <w:r>
        <w:rPr>
          <w:rFonts w:hint="eastAsia" w:eastAsia="楷体_GB2312"/>
          <w:szCs w:val="32"/>
        </w:rPr>
        <w:t>（十五）</w:t>
      </w:r>
      <w:r>
        <w:rPr>
          <w:rFonts w:eastAsia="楷体_GB2312"/>
          <w:szCs w:val="32"/>
        </w:rPr>
        <w:t>创新发展信用应用场景。</w:t>
      </w:r>
      <w:r>
        <w:rPr>
          <w:szCs w:val="32"/>
        </w:rPr>
        <w:t>深化完善互联网司法信用报告制度，进一步拓宽互联网司法信用评价应用范围。</w:t>
      </w:r>
      <w:r>
        <w:rPr>
          <w:rFonts w:hint="eastAsia" w:ascii="楷体" w:hAnsi="楷体" w:eastAsia="楷体"/>
          <w:szCs w:val="32"/>
        </w:rPr>
        <w:t>（区法院负责）</w:t>
      </w:r>
      <w:r>
        <w:rPr>
          <w:szCs w:val="32"/>
        </w:rPr>
        <w:t>加强海关高级认证企业培育和引导，充分释放政策红利。</w:t>
      </w:r>
      <w:r>
        <w:rPr>
          <w:rFonts w:hint="eastAsia" w:ascii="楷体" w:hAnsi="楷体" w:eastAsia="楷体"/>
          <w:szCs w:val="32"/>
        </w:rPr>
        <w:t>（番禺海关负责）</w:t>
      </w:r>
      <w:r>
        <w:rPr>
          <w:szCs w:val="32"/>
        </w:rPr>
        <w:t>深入推进 “一站式信用修复平台”</w:t>
      </w:r>
      <w:r>
        <w:rPr>
          <w:rFonts w:hint="eastAsia"/>
          <w:szCs w:val="32"/>
        </w:rPr>
        <w:t>、</w:t>
      </w:r>
      <w:r>
        <w:rPr>
          <w:szCs w:val="32"/>
        </w:rPr>
        <w:t>“信用产业园区”</w:t>
      </w:r>
      <w:r>
        <w:rPr>
          <w:rFonts w:hint="eastAsia"/>
          <w:szCs w:val="32"/>
        </w:rPr>
        <w:t>等</w:t>
      </w:r>
      <w:r>
        <w:rPr>
          <w:szCs w:val="32"/>
        </w:rPr>
        <w:t>系列应用场景建设，打造信用便企惠民服务的亮点示范。</w:t>
      </w:r>
      <w:r>
        <w:rPr>
          <w:rFonts w:hint="eastAsia" w:ascii="楷体" w:hAnsi="楷体" w:eastAsia="楷体"/>
          <w:szCs w:val="32"/>
        </w:rPr>
        <w:t>（各镇街、各部门负责）</w:t>
      </w:r>
    </w:p>
    <w:p>
      <w:pPr>
        <w:spacing w:line="560" w:lineRule="exact"/>
        <w:ind w:firstLine="632" w:firstLineChars="200"/>
        <w:rPr>
          <w:rFonts w:eastAsia="黑体"/>
          <w:szCs w:val="32"/>
        </w:rPr>
      </w:pPr>
      <w:r>
        <w:rPr>
          <w:rFonts w:hint="eastAsia" w:eastAsia="黑体"/>
          <w:szCs w:val="32"/>
        </w:rPr>
        <w:t>五</w:t>
      </w:r>
      <w:r>
        <w:rPr>
          <w:rFonts w:eastAsia="黑体"/>
          <w:szCs w:val="32"/>
        </w:rPr>
        <w:t>、增强“信用广州”城市品牌影响力</w:t>
      </w:r>
    </w:p>
    <w:p>
      <w:pPr>
        <w:spacing w:line="560" w:lineRule="exact"/>
        <w:ind w:firstLine="632" w:firstLineChars="200"/>
        <w:rPr>
          <w:rFonts w:ascii="楷体" w:hAnsi="楷体" w:eastAsia="楷体"/>
          <w:szCs w:val="32"/>
          <w:shd w:val="clear" w:color="auto" w:fill="FFFFFF"/>
        </w:rPr>
      </w:pPr>
      <w:bookmarkStart w:id="0" w:name="OLE_LINK1"/>
      <w:r>
        <w:rPr>
          <w:rFonts w:hint="eastAsia" w:eastAsia="楷体_GB2312"/>
          <w:szCs w:val="32"/>
        </w:rPr>
        <w:t>（十六）</w:t>
      </w:r>
      <w:r>
        <w:rPr>
          <w:rFonts w:eastAsia="楷体_GB2312"/>
          <w:szCs w:val="32"/>
        </w:rPr>
        <w:t>开展信用试点示范</w:t>
      </w:r>
      <w:bookmarkEnd w:id="0"/>
      <w:r>
        <w:rPr>
          <w:rFonts w:eastAsia="楷体_GB2312"/>
          <w:szCs w:val="32"/>
        </w:rPr>
        <w:t>。</w:t>
      </w:r>
      <w:r>
        <w:rPr>
          <w:rFonts w:hint="eastAsia"/>
          <w:szCs w:val="32"/>
        </w:rPr>
        <w:t>落实</w:t>
      </w:r>
      <w:r>
        <w:rPr>
          <w:szCs w:val="32"/>
        </w:rPr>
        <w:t>《广州市迎接第三批社会信用体系建设示范城市评</w:t>
      </w:r>
      <w:r>
        <w:rPr>
          <w:rFonts w:hint="eastAsia"/>
          <w:szCs w:val="32"/>
        </w:rPr>
        <w:t>审</w:t>
      </w:r>
      <w:r>
        <w:rPr>
          <w:szCs w:val="32"/>
        </w:rPr>
        <w:t>工作方案》各项指标任务，扎实做好迎检准备工作。</w:t>
      </w:r>
      <w:r>
        <w:rPr>
          <w:rFonts w:hint="eastAsia" w:ascii="楷体" w:hAnsi="楷体" w:eastAsia="楷体"/>
          <w:szCs w:val="32"/>
        </w:rPr>
        <w:t>（区发改局牵头，各镇街、各部门负责）</w:t>
      </w:r>
      <w:r>
        <w:rPr>
          <w:rFonts w:hint="eastAsia"/>
          <w:szCs w:val="32"/>
        </w:rPr>
        <w:t>借鉴复制</w:t>
      </w:r>
      <w:r>
        <w:rPr>
          <w:szCs w:val="32"/>
        </w:rPr>
        <w:t>越秀区创建以信用为基础的新型监管机制先行示范区、广州开发区开展广东省信用建设服务实体经济发展试点、南沙区创建信用治理创新先行区</w:t>
      </w:r>
      <w:r>
        <w:rPr>
          <w:szCs w:val="32"/>
          <w:shd w:val="clear" w:color="auto" w:fill="FFFFFF"/>
        </w:rPr>
        <w:t>，在信用优化支撑营商环境、信用服务发展应用、信用信息基础支撑等方面先行先试经验举措。</w:t>
      </w:r>
      <w:r>
        <w:rPr>
          <w:rFonts w:hint="eastAsia" w:ascii="楷体" w:hAnsi="楷体" w:eastAsia="楷体"/>
          <w:szCs w:val="32"/>
          <w:shd w:val="clear" w:color="auto" w:fill="FFFFFF"/>
        </w:rPr>
        <w:t>（各镇街、各部门负责）</w:t>
      </w:r>
    </w:p>
    <w:p>
      <w:pPr>
        <w:spacing w:line="560" w:lineRule="exact"/>
        <w:ind w:firstLine="632" w:firstLineChars="200"/>
        <w:rPr>
          <w:rFonts w:ascii="楷体" w:hAnsi="楷体" w:eastAsia="楷体"/>
          <w:szCs w:val="32"/>
          <w:shd w:val="clear" w:color="auto" w:fill="FFFFFF"/>
        </w:rPr>
      </w:pPr>
      <w:r>
        <w:rPr>
          <w:rFonts w:hint="eastAsia" w:eastAsia="楷体_GB2312"/>
          <w:szCs w:val="32"/>
        </w:rPr>
        <w:t>（十七）</w:t>
      </w:r>
      <w:r>
        <w:rPr>
          <w:rFonts w:eastAsia="楷体_GB2312"/>
          <w:szCs w:val="32"/>
        </w:rPr>
        <w:t>加大诚信</w:t>
      </w:r>
      <w:r>
        <w:rPr>
          <w:rFonts w:hint="eastAsia" w:eastAsia="楷体_GB2312"/>
          <w:szCs w:val="32"/>
        </w:rPr>
        <w:t>品牌</w:t>
      </w:r>
      <w:r>
        <w:rPr>
          <w:rFonts w:eastAsia="楷体_GB2312"/>
          <w:szCs w:val="32"/>
        </w:rPr>
        <w:t>宣传力度。</w:t>
      </w:r>
      <w:r>
        <w:rPr>
          <w:szCs w:val="32"/>
        </w:rPr>
        <w:t>健全完善信用建设宣传工作机制，藉“开学第一课”“诚信宣传月”“诚信兴商宣传月”“信用记录关爱日”“消费者权益日”等重要节点加强诚信价值、信用理念宣传，推动诚信进学校、进企业、进社区。</w:t>
      </w:r>
      <w:r>
        <w:rPr>
          <w:rFonts w:hint="eastAsia" w:ascii="楷体" w:hAnsi="楷体" w:eastAsia="楷体"/>
          <w:szCs w:val="32"/>
        </w:rPr>
        <w:t>（区发改局、区委宣传部牵头，各镇街，区教育局、区科工商信局、区市场监管局负责）</w:t>
      </w:r>
      <w:r>
        <w:rPr>
          <w:szCs w:val="32"/>
        </w:rPr>
        <w:t>开展“守合同重信用”企业、“诚信示范中小企业”和“信用创新案例”评选，发挥典型示范引领作用。</w:t>
      </w:r>
      <w:r>
        <w:rPr>
          <w:rFonts w:hint="eastAsia" w:ascii="楷体" w:hAnsi="楷体" w:eastAsia="楷体"/>
          <w:szCs w:val="32"/>
        </w:rPr>
        <w:t>（区市场监管局、区发改局负责）</w:t>
      </w:r>
      <w:r>
        <w:rPr>
          <w:szCs w:val="32"/>
        </w:rPr>
        <w:t>鼓励各</w:t>
      </w:r>
      <w:r>
        <w:rPr>
          <w:rFonts w:hint="eastAsia"/>
          <w:szCs w:val="32"/>
        </w:rPr>
        <w:t>镇街</w:t>
      </w:r>
      <w:r>
        <w:rPr>
          <w:szCs w:val="32"/>
        </w:rPr>
        <w:t>、各部门挖掘更多信用创新应用案例，总结提炼经验做法，宣传推介信用建设“</w:t>
      </w:r>
      <w:r>
        <w:rPr>
          <w:rFonts w:hint="eastAsia"/>
          <w:szCs w:val="32"/>
        </w:rPr>
        <w:t>番禺</w:t>
      </w:r>
      <w:r>
        <w:rPr>
          <w:szCs w:val="32"/>
        </w:rPr>
        <w:t>经验”。</w:t>
      </w:r>
      <w:r>
        <w:rPr>
          <w:rFonts w:hint="eastAsia" w:ascii="楷体" w:hAnsi="楷体" w:eastAsia="楷体"/>
          <w:szCs w:val="32"/>
          <w:shd w:val="clear" w:color="auto" w:fill="FFFFFF"/>
        </w:rPr>
        <w:t>（各镇街、各部门负责）</w:t>
      </w:r>
    </w:p>
    <w:p>
      <w:pPr>
        <w:spacing w:line="560" w:lineRule="exact"/>
        <w:ind w:firstLine="632" w:firstLineChars="200"/>
        <w:rPr>
          <w:rFonts w:ascii="楷体" w:hAnsi="楷体" w:eastAsia="楷体"/>
          <w:bCs/>
          <w:szCs w:val="32"/>
        </w:rPr>
      </w:pPr>
      <w:r>
        <w:rPr>
          <w:rFonts w:hint="eastAsia" w:eastAsia="楷体_GB2312"/>
          <w:szCs w:val="32"/>
        </w:rPr>
        <w:t>（十八）</w:t>
      </w:r>
      <w:r>
        <w:rPr>
          <w:rFonts w:eastAsia="楷体_GB2312"/>
          <w:szCs w:val="32"/>
        </w:rPr>
        <w:t>持续优化城市信用状况。</w:t>
      </w:r>
      <w:r>
        <w:rPr>
          <w:szCs w:val="32"/>
        </w:rPr>
        <w:t>落实</w:t>
      </w:r>
      <w:r>
        <w:rPr>
          <w:rFonts w:hint="eastAsia"/>
          <w:szCs w:val="32"/>
        </w:rPr>
        <w:t>国家</w:t>
      </w:r>
      <w:r>
        <w:rPr>
          <w:szCs w:val="32"/>
        </w:rPr>
        <w:t>城市信用状况监测预警指标，强化任务分工和责任落实，推动我</w:t>
      </w:r>
      <w:r>
        <w:rPr>
          <w:rFonts w:hint="eastAsia"/>
          <w:szCs w:val="32"/>
        </w:rPr>
        <w:t>区</w:t>
      </w:r>
      <w:r>
        <w:rPr>
          <w:szCs w:val="32"/>
        </w:rPr>
        <w:t>信用状况持续优化</w:t>
      </w:r>
      <w:r>
        <w:rPr>
          <w:rFonts w:hint="eastAsia"/>
          <w:szCs w:val="32"/>
        </w:rPr>
        <w:t>，在全市各区中争取</w:t>
      </w:r>
      <w:r>
        <w:rPr>
          <w:szCs w:val="32"/>
        </w:rPr>
        <w:t>前列。</w:t>
      </w:r>
      <w:r>
        <w:rPr>
          <w:bCs/>
          <w:szCs w:val="32"/>
        </w:rPr>
        <w:t>定期通报</w:t>
      </w:r>
      <w:r>
        <w:rPr>
          <w:rFonts w:hint="eastAsia"/>
          <w:bCs/>
          <w:szCs w:val="32"/>
        </w:rPr>
        <w:t>区信用</w:t>
      </w:r>
      <w:r>
        <w:rPr>
          <w:bCs/>
          <w:szCs w:val="32"/>
        </w:rPr>
        <w:t>监测结果，促进信用建设水平提升。</w:t>
      </w:r>
      <w:r>
        <w:rPr>
          <w:rFonts w:hint="eastAsia" w:ascii="楷体" w:hAnsi="楷体" w:eastAsia="楷体"/>
          <w:bCs/>
          <w:szCs w:val="32"/>
        </w:rPr>
        <w:t>（</w:t>
      </w:r>
      <w:r>
        <w:rPr>
          <w:rFonts w:hint="eastAsia" w:ascii="楷体" w:hAnsi="楷体" w:eastAsia="楷体"/>
          <w:szCs w:val="32"/>
        </w:rPr>
        <w:t>区发改局</w:t>
      </w:r>
      <w:r>
        <w:rPr>
          <w:rFonts w:hint="eastAsia" w:ascii="楷体" w:hAnsi="楷体" w:eastAsia="楷体"/>
          <w:bCs/>
          <w:szCs w:val="32"/>
        </w:rPr>
        <w:t>牵头，各镇街、各有关部门负责）</w:t>
      </w:r>
    </w:p>
    <w:p>
      <w:pPr>
        <w:spacing w:line="560" w:lineRule="exact"/>
        <w:ind w:firstLine="632" w:firstLineChars="200"/>
        <w:rPr>
          <w:bCs/>
          <w:szCs w:val="32"/>
        </w:rPr>
      </w:pPr>
    </w:p>
    <w:p>
      <w:pPr>
        <w:spacing w:line="560" w:lineRule="exact"/>
        <w:ind w:firstLine="632" w:firstLineChars="200"/>
        <w:rPr>
          <w:bCs/>
          <w:szCs w:val="32"/>
        </w:rPr>
      </w:pPr>
      <w:r>
        <w:rPr>
          <w:bCs/>
          <w:szCs w:val="32"/>
        </w:rPr>
        <w:t>附件：</w:t>
      </w:r>
      <w:r>
        <w:rPr>
          <w:rFonts w:hint="eastAsia"/>
          <w:bCs/>
          <w:szCs w:val="32"/>
        </w:rPr>
        <w:t>番禺区</w:t>
      </w:r>
      <w:r>
        <w:rPr>
          <w:bCs/>
          <w:szCs w:val="32"/>
        </w:rPr>
        <w:t>建立完善信用监管约束机制职责分工表</w:t>
      </w:r>
    </w:p>
    <w:p>
      <w:pPr>
        <w:spacing w:line="560" w:lineRule="exact"/>
        <w:ind w:left="2224" w:leftChars="304" w:hanging="1264" w:hangingChars="400"/>
        <w:rPr>
          <w:bCs/>
          <w:szCs w:val="32"/>
        </w:rPr>
      </w:pPr>
      <w:r>
        <w:rPr>
          <w:rFonts w:hint="eastAsia"/>
          <w:bCs/>
          <w:szCs w:val="32"/>
        </w:rPr>
        <w:t xml:space="preserve">      </w:t>
      </w:r>
    </w:p>
    <w:p>
      <w:pPr>
        <w:spacing w:line="520" w:lineRule="exact"/>
        <w:rPr>
          <w:rFonts w:ascii="仿宋_GB2312" w:hAnsi="宋体"/>
          <w:szCs w:val="32"/>
        </w:rPr>
      </w:pPr>
    </w:p>
    <w:p>
      <w:pPr>
        <w:spacing w:line="660" w:lineRule="exact"/>
        <w:jc w:val="center"/>
        <w:rPr>
          <w:rFonts w:ascii="方正小标宋简体" w:eastAsia="方正小标宋简体"/>
          <w:sz w:val="44"/>
          <w:szCs w:val="44"/>
        </w:rPr>
      </w:pPr>
    </w:p>
    <w:p>
      <w:pPr>
        <w:spacing w:line="660" w:lineRule="exact"/>
        <w:jc w:val="center"/>
        <w:rPr>
          <w:rFonts w:ascii="方正小标宋简体" w:eastAsia="方正小标宋简体"/>
          <w:sz w:val="44"/>
          <w:szCs w:val="44"/>
        </w:rPr>
      </w:pPr>
    </w:p>
    <w:p>
      <w:pPr>
        <w:spacing w:line="660" w:lineRule="exact"/>
        <w:jc w:val="center"/>
        <w:rPr>
          <w:rFonts w:ascii="方正小标宋简体" w:eastAsia="方正小标宋简体"/>
          <w:sz w:val="44"/>
          <w:szCs w:val="44"/>
        </w:rPr>
      </w:pPr>
    </w:p>
    <w:p>
      <w:pPr>
        <w:spacing w:line="660" w:lineRule="exact"/>
        <w:jc w:val="center"/>
        <w:rPr>
          <w:rFonts w:ascii="方正小标宋简体" w:eastAsia="方正小标宋简体"/>
          <w:sz w:val="44"/>
          <w:szCs w:val="44"/>
        </w:rPr>
      </w:pPr>
    </w:p>
    <w:p>
      <w:pPr>
        <w:spacing w:line="660" w:lineRule="exact"/>
        <w:jc w:val="center"/>
        <w:rPr>
          <w:rFonts w:ascii="方正小标宋简体" w:eastAsia="方正小标宋简体"/>
          <w:sz w:val="44"/>
          <w:szCs w:val="44"/>
        </w:rPr>
      </w:pPr>
    </w:p>
    <w:p>
      <w:pPr>
        <w:spacing w:line="660" w:lineRule="exact"/>
        <w:jc w:val="center"/>
        <w:rPr>
          <w:rFonts w:ascii="方正小标宋简体" w:eastAsia="方正小标宋简体"/>
          <w:sz w:val="44"/>
          <w:szCs w:val="44"/>
        </w:rPr>
      </w:pPr>
    </w:p>
    <w:p>
      <w:pPr>
        <w:spacing w:line="520" w:lineRule="exact"/>
        <w:rPr>
          <w:rFonts w:ascii="仿宋_GB2312" w:hAnsi="宋体"/>
          <w:szCs w:val="32"/>
        </w:rPr>
      </w:pPr>
    </w:p>
    <w:p>
      <w:pPr>
        <w:spacing w:line="520" w:lineRule="exact"/>
        <w:rPr>
          <w:rFonts w:ascii="仿宋_GB2312" w:hAnsi="宋体"/>
          <w:szCs w:val="32"/>
        </w:rPr>
      </w:pPr>
    </w:p>
    <w:p>
      <w:pPr>
        <w:spacing w:line="520" w:lineRule="exact"/>
        <w:rPr>
          <w:rFonts w:ascii="仿宋_GB2312" w:hAnsi="宋体"/>
          <w:szCs w:val="32"/>
        </w:rPr>
      </w:pPr>
    </w:p>
    <w:p/>
    <w:sectPr>
      <w:footerReference r:id="rId3" w:type="default"/>
      <w:pgSz w:w="11906" w:h="16838"/>
      <w:pgMar w:top="2098" w:right="1474" w:bottom="1984" w:left="1588" w:header="1418" w:footer="1588"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8887513"/>
    </w:sdtPr>
    <w:sdtEndPr>
      <w:rPr>
        <w:rFonts w:hint="eastAsia" w:ascii="仿宋_GB2312"/>
        <w:sz w:val="28"/>
        <w:szCs w:val="28"/>
      </w:rPr>
    </w:sdtEndPr>
    <w:sdtContent>
      <w:p>
        <w:pPr>
          <w:pStyle w:val="3"/>
          <w:ind w:left="7040" w:leftChars="2200"/>
          <w:jc w:val="center"/>
          <w:rPr>
            <w:rFonts w:ascii="仿宋_GB2312"/>
            <w:sz w:val="28"/>
            <w:szCs w:val="28"/>
          </w:rPr>
        </w:pP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2 -</w:t>
        </w:r>
        <w:r>
          <w:rPr>
            <w:rFonts w:hint="eastAsia" w:ascii="仿宋_GB2312"/>
            <w:sz w:val="28"/>
            <w:szCs w:val="28"/>
          </w:rPr>
          <w:fldChar w:fldCharType="end"/>
        </w:r>
      </w:p>
    </w:sdtContent>
  </w:sdt>
  <w:p>
    <w:pPr>
      <w:pStyle w:val="3"/>
      <w:ind w:right="360" w:firstLine="360"/>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43F"/>
    <w:rsid w:val="00006D3F"/>
    <w:rsid w:val="00010983"/>
    <w:rsid w:val="00075604"/>
    <w:rsid w:val="00077E35"/>
    <w:rsid w:val="000D53F2"/>
    <w:rsid w:val="0011439E"/>
    <w:rsid w:val="001A420E"/>
    <w:rsid w:val="00212758"/>
    <w:rsid w:val="00233E16"/>
    <w:rsid w:val="0024004C"/>
    <w:rsid w:val="002D64E1"/>
    <w:rsid w:val="002E7A87"/>
    <w:rsid w:val="00347995"/>
    <w:rsid w:val="00391BFE"/>
    <w:rsid w:val="003C7A0A"/>
    <w:rsid w:val="0040150B"/>
    <w:rsid w:val="00403B43"/>
    <w:rsid w:val="0041219C"/>
    <w:rsid w:val="004240AD"/>
    <w:rsid w:val="00483C12"/>
    <w:rsid w:val="004B58E2"/>
    <w:rsid w:val="00524B8C"/>
    <w:rsid w:val="00542FC2"/>
    <w:rsid w:val="0054754B"/>
    <w:rsid w:val="00655A4D"/>
    <w:rsid w:val="00671D31"/>
    <w:rsid w:val="006945DC"/>
    <w:rsid w:val="00731710"/>
    <w:rsid w:val="00907FA8"/>
    <w:rsid w:val="0092253E"/>
    <w:rsid w:val="0093008C"/>
    <w:rsid w:val="0099006D"/>
    <w:rsid w:val="0099490A"/>
    <w:rsid w:val="00A736EA"/>
    <w:rsid w:val="00A758B5"/>
    <w:rsid w:val="00AB7631"/>
    <w:rsid w:val="00B13B7D"/>
    <w:rsid w:val="00B5144F"/>
    <w:rsid w:val="00B51779"/>
    <w:rsid w:val="00BC7AEE"/>
    <w:rsid w:val="00BE345E"/>
    <w:rsid w:val="00C0443F"/>
    <w:rsid w:val="00C04A17"/>
    <w:rsid w:val="00C21A24"/>
    <w:rsid w:val="00C21A53"/>
    <w:rsid w:val="00C5245B"/>
    <w:rsid w:val="00C846B6"/>
    <w:rsid w:val="00C93BE6"/>
    <w:rsid w:val="00CA393A"/>
    <w:rsid w:val="00D42DC7"/>
    <w:rsid w:val="00D45C36"/>
    <w:rsid w:val="00E46E75"/>
    <w:rsid w:val="00E5371A"/>
    <w:rsid w:val="00E539B4"/>
    <w:rsid w:val="00E54124"/>
    <w:rsid w:val="00E5627C"/>
    <w:rsid w:val="00E91EA3"/>
    <w:rsid w:val="00EE4709"/>
    <w:rsid w:val="00EF57EB"/>
    <w:rsid w:val="00F16F46"/>
    <w:rsid w:val="00F17469"/>
    <w:rsid w:val="00F406BA"/>
    <w:rsid w:val="00F970AE"/>
    <w:rsid w:val="00FF44FF"/>
    <w:rsid w:val="09DB5389"/>
    <w:rsid w:val="12912D8F"/>
    <w:rsid w:val="18514B99"/>
    <w:rsid w:val="188555D8"/>
    <w:rsid w:val="1C480AE0"/>
    <w:rsid w:val="1DC71D8F"/>
    <w:rsid w:val="1E2C7D78"/>
    <w:rsid w:val="21055854"/>
    <w:rsid w:val="2217335D"/>
    <w:rsid w:val="28D90548"/>
    <w:rsid w:val="2A972C44"/>
    <w:rsid w:val="2BD96E3C"/>
    <w:rsid w:val="2CD85894"/>
    <w:rsid w:val="2D934E33"/>
    <w:rsid w:val="2F133DA7"/>
    <w:rsid w:val="2F733F6E"/>
    <w:rsid w:val="2F983C1F"/>
    <w:rsid w:val="3F3552D8"/>
    <w:rsid w:val="3F696BEB"/>
    <w:rsid w:val="421B6ABF"/>
    <w:rsid w:val="44895419"/>
    <w:rsid w:val="4A7D601F"/>
    <w:rsid w:val="56414935"/>
    <w:rsid w:val="58034284"/>
    <w:rsid w:val="5C8C3C4D"/>
    <w:rsid w:val="60FF0EA9"/>
    <w:rsid w:val="630B5988"/>
    <w:rsid w:val="63AD4E27"/>
    <w:rsid w:val="6CBB5343"/>
    <w:rsid w:val="6D4C7610"/>
    <w:rsid w:val="70805BB1"/>
    <w:rsid w:val="739C1383"/>
    <w:rsid w:val="74152DEB"/>
    <w:rsid w:val="795337AD"/>
    <w:rsid w:val="7B0E6104"/>
    <w:rsid w:val="7ED86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默认段落字体 Para Char Char Char Char"/>
    <w:basedOn w:val="1"/>
    <w:qFormat/>
    <w:uiPriority w:val="0"/>
  </w:style>
  <w:style w:type="character" w:customStyle="1" w:styleId="8">
    <w:name w:val="页眉 Char"/>
    <w:basedOn w:val="5"/>
    <w:link w:val="4"/>
    <w:qFormat/>
    <w:uiPriority w:val="0"/>
    <w:rPr>
      <w:rFonts w:eastAsia="仿宋_GB2312"/>
      <w:kern w:val="2"/>
      <w:sz w:val="18"/>
      <w:szCs w:val="18"/>
    </w:rPr>
  </w:style>
  <w:style w:type="character" w:customStyle="1" w:styleId="9">
    <w:name w:val="页脚 Char"/>
    <w:basedOn w:val="5"/>
    <w:link w:val="3"/>
    <w:qFormat/>
    <w:uiPriority w:val="99"/>
    <w:rPr>
      <w:rFonts w:eastAsia="仿宋_GB2312"/>
      <w:kern w:val="2"/>
      <w:sz w:val="18"/>
      <w:szCs w:val="18"/>
    </w:rPr>
  </w:style>
  <w:style w:type="paragraph" w:customStyle="1" w:styleId="10">
    <w:name w:val="Char Char2"/>
    <w:basedOn w:val="1"/>
    <w:qFormat/>
    <w:uiPriority w:val="0"/>
    <w:pPr>
      <w:tabs>
        <w:tab w:val="left" w:pos="425"/>
      </w:tabs>
      <w:ind w:left="425" w:hanging="425"/>
    </w:pPr>
  </w:style>
  <w:style w:type="paragraph" w:customStyle="1" w:styleId="11">
    <w:name w:val="Char Char21"/>
    <w:basedOn w:val="1"/>
    <w:qFormat/>
    <w:uiPriority w:val="0"/>
    <w:pPr>
      <w:tabs>
        <w:tab w:val="left" w:pos="425"/>
      </w:tabs>
      <w:ind w:left="425" w:hanging="425"/>
    </w:pPr>
  </w:style>
  <w:style w:type="character" w:customStyle="1" w:styleId="12">
    <w:name w:val="批注框文本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704</Words>
  <Characters>4014</Characters>
  <Lines>33</Lines>
  <Paragraphs>9</Paragraphs>
  <TotalTime>31</TotalTime>
  <ScaleCrop>false</ScaleCrop>
  <LinksUpToDate>false</LinksUpToDate>
  <CharactersWithSpaces>4709</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2021-05-31T02:26:00Z</dcterms:created>
  <dc:creator>王明月</dc:creator>
  <cp:lastModifiedBy>王嘉</cp:lastModifiedBy>
  <cp:lastPrinted>2021-06-06T07:05:00Z</cp:lastPrinted>
  <dcterms:modified xsi:type="dcterms:W3CDTF">2021-06-12T09:36:36Z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6BFD9CC12CD7443B833509534065B406</vt:lpwstr>
  </property>
</Properties>
</file>