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ind w:firstLine="3520" w:firstLineChars="80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图片及数据分析</w:t>
      </w:r>
    </w:p>
    <w:p>
      <w:pPr>
        <w:numPr>
          <w:ilvl w:val="0"/>
          <w:numId w:val="1"/>
        </w:numPr>
        <w:ind w:firstLine="560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图片分析</w:t>
      </w: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经过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检查，发现有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如下诸多问题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如高强度螺栓选用、连接和销轴连接缺陷，附着固定缺陷，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起重臂前端缓冲装置缺失，钢丝绳局部断丝聚集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缺陷等，这些隐患项目非常危险，甚至在使用过程中很大可能引发塔吊倒塌等严重安全事故。遇到此种情况，在现场检验时已及时上报并建议停止使用，直至整改完毕。还有如直立爬梯无安全护圈或安全护圈断裂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color w:val="000000"/>
          <w:sz w:val="32"/>
          <w:szCs w:val="32"/>
          <w:u w:val="none"/>
          <w:lang w:eastAsia="zh-CN"/>
        </w:rPr>
        <w:t>爬</w:t>
      </w:r>
      <w:r>
        <w:rPr>
          <w:rFonts w:hint="eastAsia" w:ascii="仿宋_GB2312" w:hAnsi="仿宋_GB2312" w:eastAsia="仿宋_GB2312" w:cs="仿宋_GB2312"/>
          <w:i w:val="0"/>
          <w:color w:val="000000"/>
          <w:sz w:val="32"/>
          <w:szCs w:val="32"/>
          <w:u w:val="none"/>
        </w:rPr>
        <w:t>升装置无防脱保护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电气元件缺陷等，这些问题虽不会立即造成事故，但如果不及时进行整改，让设备一直带有安全隐患进行工作，也将对设备本身和相关人员造成威胁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。下面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图表1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列举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相关案例。</w:t>
      </w:r>
    </w:p>
    <w:p>
      <w:pPr>
        <w:ind w:firstLine="560"/>
        <w:rPr>
          <w:rFonts w:hint="eastAsia" w:ascii="宋体" w:hAnsi="宋体"/>
          <w:color w:val="auto"/>
          <w:sz w:val="28"/>
          <w:szCs w:val="28"/>
        </w:rPr>
      </w:pPr>
    </w:p>
    <w:tbl>
      <w:tblPr>
        <w:tblStyle w:val="7"/>
        <w:tblW w:w="104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6"/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42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spacing w:line="420" w:lineRule="exact"/>
              <w:rPr>
                <w:rFonts w:hint="eastAsia" w:ascii="宋体" w:eastAsia="宋体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图表1：列举一些现场发现的具有代表性的问题。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2592070" cy="2155825"/>
                  <wp:effectExtent l="0" t="0" r="17780" b="15875"/>
                  <wp:wrapSquare wrapText="bothSides"/>
                  <wp:docPr id="9" name="图片 23" descr="第6项：1.部分标准节直梯无护圈，部分固定直梯横杆未固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3" descr="第6项：1.部分标准节直梯无护圈，部分固定直梯横杆未固定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2592070" cy="2139315"/>
                  <wp:effectExtent l="0" t="0" r="17780" b="13335"/>
                  <wp:wrapSquare wrapText="bothSides"/>
                  <wp:docPr id="11" name="图片 22" descr="第7项：休息小平台设置间距不符合要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2" descr="第7项：休息小平台设置间距不符合要求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标准节直梯无护圈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休息小平台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设置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间距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不符合要求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both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2592070" cy="2202180"/>
                  <wp:effectExtent l="0" t="0" r="17780" b="7620"/>
                  <wp:wrapSquare wrapText="bothSides"/>
                  <wp:docPr id="10" name="图片 14" descr="第8项：平衡重空缺处无防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第8项：平衡重空缺处无防护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2592070" cy="2186940"/>
                  <wp:effectExtent l="0" t="0" r="17780" b="3810"/>
                  <wp:wrapSquare wrapText="bothSides"/>
                  <wp:docPr id="12" name="图片 21" descr="第13项：塔身标准节无可追溯制造日期的永久性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1" descr="第13项：塔身标准节无可追溯制造日期的永久性标志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平衡重空缺处未可靠防护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标准节无可追溯标志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2592070" cy="2115820"/>
                  <wp:effectExtent l="0" t="0" r="17780" b="17780"/>
                  <wp:wrapSquare wrapText="bothSides"/>
                  <wp:docPr id="13" name="图片 13" descr="第15项：塔身底部易于观察处无产品标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第15项：塔身底部易于观察处无产品标牌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2592070" cy="2139315"/>
                  <wp:effectExtent l="0" t="0" r="17780" b="13335"/>
                  <wp:wrapSquare wrapText="bothSides"/>
                  <wp:docPr id="14" name="图片 32" descr="第16项：司机室未见对应臂长的起重特性曲线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2" descr="第16项：司机室未见对应臂长的起重特性曲线表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塔身底部产品铭牌缺失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司机室缺少起重特性曲线表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both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2592070" cy="2114550"/>
                  <wp:effectExtent l="0" t="0" r="17780" b="0"/>
                  <wp:wrapSquare wrapText="bothSides"/>
                  <wp:docPr id="15" name="图片 16" descr="第20项：塔顶障碍灯缺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 descr="第20项：塔顶障碍灯缺失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120650</wp:posOffset>
                  </wp:positionV>
                  <wp:extent cx="2592070" cy="2115185"/>
                  <wp:effectExtent l="0" t="0" r="17780" b="18415"/>
                  <wp:wrapSquare wrapText="bothSides"/>
                  <wp:docPr id="16" name="图片 25" descr="第22项：电气柜无布线原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第22项：电气柜无布线原理图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塔顶障碍灯缺失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eastAsia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电气柜无布线原理图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3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136525</wp:posOffset>
                  </wp:positionV>
                  <wp:extent cx="2592070" cy="2139315"/>
                  <wp:effectExtent l="0" t="0" r="17780" b="13335"/>
                  <wp:wrapSquare wrapText="bothSides"/>
                  <wp:docPr id="17" name="图片 29" descr="第23项：司机室操作杆零位自锁功能失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9" descr="第23项：司机室操作杆零位自锁功能失效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9207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136525</wp:posOffset>
                  </wp:positionV>
                  <wp:extent cx="2592070" cy="2162175"/>
                  <wp:effectExtent l="0" t="0" r="17780" b="9525"/>
                  <wp:wrapSquare wrapText="bothSides"/>
                  <wp:docPr id="18" name="图片 9" descr="第38项：液压油表未见标定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 descr="第38项：液压油表未见标定证书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联动台无零位保护功能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液压油表无标定信息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6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2592070" cy="2219325"/>
                  <wp:effectExtent l="0" t="0" r="17780" b="9525"/>
                  <wp:wrapSquare wrapText="bothSides"/>
                  <wp:docPr id="19" name="图片 27" descr="第40项：爬升装置无防脱保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7" descr="第40项：爬升装置无防脱保护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2592070" cy="2218055"/>
                  <wp:effectExtent l="0" t="0" r="17780" b="10795"/>
                  <wp:wrapSquare wrapText="bothSides"/>
                  <wp:docPr id="20" name="图片 17" descr="第48项：基础积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 descr="第48项：基础积水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1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爬升装置无防脱保护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基础有积水现象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135890</wp:posOffset>
                  </wp:positionV>
                  <wp:extent cx="2592070" cy="2043430"/>
                  <wp:effectExtent l="0" t="0" r="17780" b="13970"/>
                  <wp:wrapSquare wrapText="bothSides"/>
                  <wp:docPr id="21" name="图片 18" descr="第52项：平衡重重量标识不清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第52项：平衡重重量标识不清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2592070" cy="2083435"/>
                  <wp:effectExtent l="0" t="0" r="17780" b="12065"/>
                  <wp:wrapSquare wrapText="bothSides"/>
                  <wp:docPr id="22" name="图片 24" descr="第53项：★塔机最高附着点以上垂直度超标（一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4" descr="第53项：★塔机最高附着点以上垂直度超标（一侧）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平衡重重量标识</w:t>
            </w:r>
            <w:r>
              <w:rPr>
                <w:rFonts w:hint="eastAsia" w:ascii="宋体" w:hAnsi="宋体" w:cs="宋体"/>
                <w:color w:val="auto"/>
                <w:szCs w:val="21"/>
                <w:vertAlign w:val="baseline"/>
              </w:rPr>
              <w:t>不清晰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标准节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垂直度偏差超标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9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144145</wp:posOffset>
                  </wp:positionV>
                  <wp:extent cx="2621915" cy="2266950"/>
                  <wp:effectExtent l="0" t="0" r="6985" b="0"/>
                  <wp:wrapSquare wrapText="bothSides"/>
                  <wp:docPr id="23" name="图片 10" descr="E:\办公\总结\广州番禺\番禺抽检（6月份）\番禺抽检（6月份）\照片修剪\塔吊\第55项：★回转下支座与标准节连接螺栓松动.jpg第55项：★回转下支座与标准节连接螺栓松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E:\办公\总结\广州番禺\番禺抽检（6月份）\番禺抽检（6月份）\照片修剪\塔吊\第55项：★回转下支座与标准节连接螺栓松动.jpg第55项：★回转下支座与标准节连接螺栓松动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144145</wp:posOffset>
                  </wp:positionV>
                  <wp:extent cx="2592070" cy="2258695"/>
                  <wp:effectExtent l="0" t="0" r="17780" b="8255"/>
                  <wp:wrapSquare wrapText="bothSides"/>
                  <wp:docPr id="24" name="图片 11" descr="第60项：★现场附着杆件形式在方案上未体现，无验证校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 descr="第60项：★现场附着杆件形式在方案上未体现，无验证校核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5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vertAlign w:val="baseline"/>
                <w:lang w:eastAsia="zh-CN"/>
              </w:rPr>
              <w:t>回转下支座与标准节连接螺栓松动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现场附着杆件形式在方案上未体现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8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168275</wp:posOffset>
                  </wp:positionV>
                  <wp:extent cx="2592070" cy="1964690"/>
                  <wp:effectExtent l="0" t="0" r="17780" b="16510"/>
                  <wp:wrapSquare wrapText="bothSides"/>
                  <wp:docPr id="25" name="图片 12" descr="第61项：★附着框架（现场）与提供合格制造编号不一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 descr="第61项：★附着框架（现场）与提供合格制造编号不一致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2592070" cy="1948180"/>
                  <wp:effectExtent l="0" t="0" r="17780" b="13970"/>
                  <wp:wrapSquare wrapText="bothSides"/>
                  <wp:docPr id="26" name="图片 31" descr="第62项：★附着杆与建筑物之间采用焊接连接，未提供相应的无损探伤结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1" descr="第62项：★附着杆与建筑物之间采用焊接连接，未提供相应的无损探伤结果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附着框架与提供合格制造编号不一致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耳板与预埋板之间采用焊接连接，未提供相应的无损探伤结果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1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96520</wp:posOffset>
                  </wp:positionV>
                  <wp:extent cx="2592070" cy="2210435"/>
                  <wp:effectExtent l="0" t="0" r="17780" b="18415"/>
                  <wp:wrapSquare wrapText="bothSides"/>
                  <wp:docPr id="27" name="图片 33" descr="第85项：司机室照明失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 descr="第85项：司机室照明失效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112395</wp:posOffset>
                  </wp:positionV>
                  <wp:extent cx="2592070" cy="2193925"/>
                  <wp:effectExtent l="0" t="0" r="17780" b="15875"/>
                  <wp:wrapSquare wrapText="bothSides"/>
                  <wp:docPr id="28" name="图片 28" descr="第81项：电缆线悬挂措施不符合要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第81项：电缆线悬挂措施不符合要求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司机室照明失效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电缆线悬挂措施不符合要求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8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135890</wp:posOffset>
                  </wp:positionV>
                  <wp:extent cx="2592070" cy="2193925"/>
                  <wp:effectExtent l="0" t="0" r="17780" b="15875"/>
                  <wp:wrapSquare wrapText="bothSides"/>
                  <wp:docPr id="29" name="图片 19" descr="第68项：起升钢丝绳在卷筒上排列不整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9" descr="第68项：起升钢丝绳在卷筒上排列不整齐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2592070" cy="2195195"/>
                  <wp:effectExtent l="0" t="0" r="17780" b="14605"/>
                  <wp:wrapSquare wrapText="bothSides"/>
                  <wp:docPr id="30" name="图片 26" descr="第70项：★2.起升钢丝绳在卷筒上和起重臂15米处有断丝现象，已超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6" descr="第70项：★2.起升钢丝绳在卷筒上和起重臂15米处有断丝现象，已超标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9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vertAlign w:val="baseline"/>
              </w:rPr>
              <w:t>起升</w:t>
            </w:r>
            <w:r>
              <w:rPr>
                <w:rFonts w:hint="eastAsia" w:ascii="宋体" w:hAnsi="宋体" w:cs="宋体"/>
                <w:color w:val="auto"/>
                <w:szCs w:val="21"/>
                <w:vertAlign w:val="baseline"/>
                <w:lang w:eastAsia="zh-CN"/>
              </w:rPr>
              <w:t>机构</w:t>
            </w:r>
            <w:r>
              <w:rPr>
                <w:rFonts w:hint="eastAsia" w:ascii="宋体" w:hAnsi="宋体" w:cs="宋体"/>
                <w:color w:val="auto"/>
                <w:szCs w:val="21"/>
                <w:vertAlign w:val="baseline"/>
              </w:rPr>
              <w:t>钢丝绳排绳不整齐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钢丝绳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局部断丝聚集，达报废标准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5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592070" cy="2131060"/>
                  <wp:effectExtent l="0" t="0" r="17780" b="2540"/>
                  <wp:wrapSquare wrapText="bothSides"/>
                  <wp:docPr id="31" name="图片 30" descr="第90项：★起重臂前端终端缓冲装置缺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第90项：★起重臂前端终端缓冲装置缺失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color w:val="auto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184150</wp:posOffset>
                  </wp:positionV>
                  <wp:extent cx="2592070" cy="2084070"/>
                  <wp:effectExtent l="0" t="0" r="17780" b="11430"/>
                  <wp:wrapSquare wrapText="bothSides"/>
                  <wp:docPr id="32" name="图片 20" descr="第98项：无风速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0" descr="第98项：无风速仪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ind w:firstLine="630" w:firstLineChars="300"/>
              <w:rPr>
                <w:rFonts w:hint="eastAsia" w:eastAsia="宋体"/>
                <w:color w:val="auto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vertAlign w:val="baseline"/>
                <w:lang w:eastAsia="zh-CN"/>
              </w:rPr>
              <w:t>起重臂前端缓冲装置缺失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ind w:firstLine="720" w:firstLineChars="300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塔机上部风速仪未安装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6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2592070" cy="2139950"/>
                  <wp:effectExtent l="0" t="0" r="17780" b="12700"/>
                  <wp:wrapSquare wrapText="bothSides"/>
                  <wp:docPr id="33" name="图片 34" descr="第62项：★2.最上一道附着调节螺杆松动，自上往下第二道附着框连接螺栓未露丝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4" descr="第62项：★2.最上一道附着调节螺杆松动，自上往下第二道附着框连接螺栓未露丝扣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2592070" cy="2162810"/>
                  <wp:effectExtent l="0" t="0" r="17780" b="8890"/>
                  <wp:wrapSquare wrapText="bothSides"/>
                  <wp:docPr id="34" name="图片 35" descr="第62项：★1.最上一道附着调节螺杆松动，自上往下第二道附着框连接螺栓未露丝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5" descr="第62项：★1.最上一道附着调节螺杆松动，自上往下第二道附着框连接螺栓未露丝扣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附着框连接螺栓未露丝扣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eastAsia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附着调节螺杆松动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1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175895</wp:posOffset>
                  </wp:positionV>
                  <wp:extent cx="2592070" cy="2202180"/>
                  <wp:effectExtent l="0" t="0" r="17780" b="7620"/>
                  <wp:wrapSquare wrapText="bothSides"/>
                  <wp:docPr id="35" name="图片 36" descr="第55项：★起升机构与平衡臂连接高强度螺栓松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6" descr="第55项：★起升机构与平衡臂连接高强度螺栓松动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2592070" cy="2210435"/>
                  <wp:effectExtent l="0" t="0" r="17780" b="18415"/>
                  <wp:wrapSquare wrapText="bothSides"/>
                  <wp:docPr id="36" name="图片 37" descr="第8项：平衡臂护栏变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7" descr="第8项：平衡臂护栏变形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起升机构与平衡臂连接高强度螺栓松动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平衡臂护栏变形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严重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175895</wp:posOffset>
                  </wp:positionV>
                  <wp:extent cx="2525395" cy="2202180"/>
                  <wp:effectExtent l="0" t="0" r="8255" b="7620"/>
                  <wp:wrapSquare wrapText="bothSides"/>
                  <wp:docPr id="37" name="图片 3" descr="E:\办公\总结\广州番禺\番禺抽检（6月份）\番禺抽检（6月份）\照片修剪\塔吊\第1项：★起重臂拉杆有变形.jpg第1项：★起重臂拉杆有变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 descr="E:\办公\总结\广州番禺\番禺抽检（6月份）\番禺抽检（6月份）\照片修剪\塔吊\第1项：★起重臂拉杆有变形.jpg第1项：★起重臂拉杆有变形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160020</wp:posOffset>
                  </wp:positionV>
                  <wp:extent cx="2592070" cy="2210435"/>
                  <wp:effectExtent l="0" t="0" r="17780" b="18415"/>
                  <wp:wrapSquare wrapText="bothSides"/>
                  <wp:docPr id="38" name="图片 4" descr="E:\办公\总结\广州番禺\番禺抽检（6月份）\番禺抽检（6月份）\照片修剪\塔吊\第60项：★第二道附墙安装角度不合理，无相关专项方案和计算书.jpg第60项：★第二道附墙安装角度不合理，无相关专项方案和计算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" descr="E:\办公\总结\广州番禺\番禺抽检（6月份）\番禺抽检（6月份）\照片修剪\塔吊\第60项：★第二道附墙安装角度不合理，无相关专项方案和计算书.jpg第60项：★第二道附墙安装角度不合理，无相关专项方案和计算书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起重臂拉杆塑性变形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附墙安装角度不合理，无相关专项方案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计算书和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专家论证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159385</wp:posOffset>
                  </wp:positionV>
                  <wp:extent cx="2592070" cy="2127250"/>
                  <wp:effectExtent l="0" t="0" r="17780" b="6350"/>
                  <wp:wrapSquare wrapText="bothSides"/>
                  <wp:docPr id="39" name="图片 49" descr="第13项：部分标准节未见可识别其生产日期的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9" descr="第13项：部分标准节未见可识别其生产日期的标志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2592070" cy="2131060"/>
                  <wp:effectExtent l="0" t="0" r="17780" b="2540"/>
                  <wp:wrapSquare wrapText="bothSides"/>
                  <wp:docPr id="40" name="图片 48" descr="第1项：★从上往下第三道附墙架非原厂，有“GJJ”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8" descr="第1项：★从上往下第三道附墙架非原厂，有“GJJ”标识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部分标准节未见可识别其生产日期的标志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附墙架非原厂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1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vertAlign w:val="baseline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122555</wp:posOffset>
                  </wp:positionV>
                  <wp:extent cx="2561590" cy="2166620"/>
                  <wp:effectExtent l="0" t="0" r="10160" b="5080"/>
                  <wp:wrapSquare wrapText="bothSides"/>
                  <wp:docPr id="41" name="图片 40" descr="第48项：吊笼门边缘与登机平台边缘之间的距离大于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 descr="第48项：吊笼门边缘与登机平台边缘之间的距离大于50mm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135890</wp:posOffset>
                  </wp:positionV>
                  <wp:extent cx="2592070" cy="2139950"/>
                  <wp:effectExtent l="0" t="0" r="17780" b="12700"/>
                  <wp:wrapSquare wrapText="bothSides"/>
                  <wp:docPr id="42" name="图片 39" descr="第46项：★2.第一层处层站入口未装设层门；部分层门之间间隙过大，可从楼层内人员开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9" descr="第46项：★2.第一层处层站入口未装设层门；部分层门之间间隙过大，可从楼层内人员开启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第一层处层站入口未装设层门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部分层门之间间隙过大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3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2592070" cy="2078355"/>
                  <wp:effectExtent l="0" t="0" r="17780" b="17145"/>
                  <wp:wrapSquare wrapText="bothSides"/>
                  <wp:docPr id="3" name="图片 36" descr="第47项：层门下部间隙大于3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6" descr="第47项：层门下部间隙大于35mm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151765</wp:posOffset>
                  </wp:positionV>
                  <wp:extent cx="2592070" cy="2087880"/>
                  <wp:effectExtent l="0" t="0" r="17780" b="7620"/>
                  <wp:wrapSquare wrapText="bothSides"/>
                  <wp:docPr id="2" name="图片 42" descr="第45项：部分附墙架与水平面夹角大于8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2" descr="第45项：部分附墙架与水平面夹角大于8度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层门下部间隙大于35mm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部分附墙架与水平面夹角大于8度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7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159385</wp:posOffset>
                  </wp:positionV>
                  <wp:extent cx="2560320" cy="2150745"/>
                  <wp:effectExtent l="0" t="0" r="1905" b="11430"/>
                  <wp:wrapSquare wrapText="bothSides"/>
                  <wp:docPr id="6" name="图片 43" descr="第36项：垂直度一侧超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3" descr="第36项：垂直度一侧超标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320" cy="21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bidi w:val="0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tabs>
                <w:tab w:val="left" w:pos="1192"/>
              </w:tabs>
              <w:bidi w:val="0"/>
              <w:jc w:val="left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inline distT="0" distB="0" distL="114300" distR="114300">
                  <wp:extent cx="2592070" cy="2122170"/>
                  <wp:effectExtent l="0" t="0" r="17780" b="11430"/>
                  <wp:docPr id="5" name="图片 1" descr="第66项：电缆线未设置机械防护措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第66项：电缆线未设置机械防护措施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ind w:firstLine="1470" w:firstLineChars="700"/>
              <w:rPr>
                <w:rFonts w:hint="eastAsia" w:eastAsia="宋体"/>
                <w:color w:val="auto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vertAlign w:val="baseline"/>
                <w:lang w:eastAsia="zh-CN"/>
              </w:rPr>
              <w:t>垂直度超标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tabs>
                <w:tab w:val="left" w:pos="1192"/>
              </w:tabs>
              <w:bidi w:val="0"/>
              <w:ind w:firstLine="840" w:firstLineChars="400"/>
              <w:jc w:val="left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电缆线未设置机械防护措施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184150</wp:posOffset>
                  </wp:positionV>
                  <wp:extent cx="2592070" cy="2099310"/>
                  <wp:effectExtent l="0" t="0" r="17780" b="15240"/>
                  <wp:wrapSquare wrapText="bothSides"/>
                  <wp:docPr id="4" name="图片 44" descr="第43项：★①第18层处附墙抱箍连接螺栓无防松措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 descr="第43项：★①第18层处附墙抱箍连接螺栓无防松措施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200025</wp:posOffset>
                  </wp:positionV>
                  <wp:extent cx="2592070" cy="2083435"/>
                  <wp:effectExtent l="0" t="0" r="17780" b="12065"/>
                  <wp:wrapSquare wrapText="bothSides"/>
                  <wp:docPr id="7" name="图片 45" descr="第48项：吊笼门与登机平台间距大于50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5" descr="第48项：吊笼门与登机平台间距大于50㎜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附墙抱箍连接螺栓无防松措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吊笼门与登机平台间距大于50㎜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8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2592070" cy="1920875"/>
                  <wp:effectExtent l="0" t="0" r="17780" b="3175"/>
                  <wp:wrapSquare wrapText="bothSides"/>
                  <wp:docPr id="1" name="图片 46" descr="第49项：★第19层登机平台未独立搭设，与脚手架相连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6" descr="第49项：★第19层登机平台未独立搭设，与脚手架相连接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2592070" cy="1920875"/>
                  <wp:effectExtent l="0" t="0" r="17780" b="3175"/>
                  <wp:wrapSquare wrapText="bothSides"/>
                  <wp:docPr id="8" name="图片 47" descr="第64项：未设置专用开关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7" descr="第64项：未设置专用开关箱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登机平台未独立搭设，与脚手架相连接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未设置专用开关箱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3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2592070" cy="2123440"/>
                  <wp:effectExtent l="0" t="0" r="17780" b="10160"/>
                  <wp:wrapSquare wrapText="bothSides"/>
                  <wp:docPr id="43" name="图片 50" descr="第35项：基础有积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0" descr="第35项：基础有积水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96520</wp:posOffset>
                  </wp:positionV>
                  <wp:extent cx="2592070" cy="2155190"/>
                  <wp:effectExtent l="0" t="0" r="17780" b="16510"/>
                  <wp:wrapSquare wrapText="bothSides"/>
                  <wp:docPr id="44" name="图片 51" descr="第40项：★右笼笼顶超载传感销螺栓无垫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1" descr="第40项：★右笼笼顶超载传感销螺栓无垫片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5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基础有积水现象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笼顶超载传感销螺栓无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防松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垫片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0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2592070" cy="2130425"/>
                  <wp:effectExtent l="0" t="0" r="17780" b="3175"/>
                  <wp:wrapSquare wrapText="bothSides"/>
                  <wp:docPr id="45" name="图片 53" descr="第51项：吊笼下方缓冲器未固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3" descr="第51项：吊笼下方缓冲器未固定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2592070" cy="2139950"/>
                  <wp:effectExtent l="0" t="0" r="17780" b="12700"/>
                  <wp:wrapSquare wrapText="bothSides"/>
                  <wp:docPr id="46" name="图片 54" descr="第42项：★现场附墙为非标附墙架，无相关制造合格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4" descr="第42项：★现场附墙为非标附墙架，无相关制造合格证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吊笼下方缓冲器未固定.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附墙为非标附墙架，无相关制造合格证.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8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120650</wp:posOffset>
                  </wp:positionV>
                  <wp:extent cx="2592070" cy="2165985"/>
                  <wp:effectExtent l="0" t="0" r="17780" b="5715"/>
                  <wp:wrapSquare wrapText="bothSides"/>
                  <wp:docPr id="47" name="图片 55" descr="第4项：左笼笼顶防护栏杆有变形（一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5" descr="第4项：左笼笼顶防护栏杆有变形（一侧）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6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135890</wp:posOffset>
                  </wp:positionV>
                  <wp:extent cx="2592070" cy="2155190"/>
                  <wp:effectExtent l="0" t="0" r="17780" b="16510"/>
                  <wp:wrapSquare wrapText="bothSides"/>
                  <wp:docPr id="48" name="图片 56" descr="第17项：部分楼层无停层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6" descr="第17项：部分楼层无停层标志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5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笼顶防护栏杆有变形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部分楼层无停层标志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  <w:jc w:val="center"/>
        </w:trPr>
        <w:tc>
          <w:tcPr>
            <w:tcW w:w="180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现场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不合格项目   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</w:rPr>
              <w:t>图片</w:t>
            </w:r>
            <w:r>
              <w:rPr>
                <w:rFonts w:hint="eastAsia" w:ascii="宋体"/>
                <w:color w:val="auto"/>
                <w:kern w:val="0"/>
                <w:sz w:val="24"/>
                <w:szCs w:val="24"/>
                <w:lang w:val="en-US" w:eastAsia="zh-CN"/>
              </w:rPr>
              <w:t>及描述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184150</wp:posOffset>
                  </wp:positionV>
                  <wp:extent cx="2592070" cy="2082800"/>
                  <wp:effectExtent l="0" t="0" r="17780" b="12700"/>
                  <wp:wrapSquare wrapText="bothSides"/>
                  <wp:docPr id="49" name="图片 57" descr="第17项：第17层未设置层门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7" descr="第17项：第17层未设置层门标识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175895</wp:posOffset>
                  </wp:positionV>
                  <wp:extent cx="2592070" cy="2139950"/>
                  <wp:effectExtent l="0" t="0" r="17780" b="12700"/>
                  <wp:wrapSquare wrapText="bothSides"/>
                  <wp:docPr id="50" name="图片 59" descr="第43项：★②第4层处附墙抱箍连接螺栓未固定可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9" descr="第43项：★②第4层处附墙抱箍连接螺栓未固定可靠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8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未设置层门标识</w:t>
            </w:r>
          </w:p>
        </w:tc>
        <w:tc>
          <w:tcPr>
            <w:tcW w:w="4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附墙抱箍连接螺栓未固定可靠</w:t>
            </w:r>
          </w:p>
        </w:tc>
      </w:tr>
    </w:tbl>
    <w:p>
      <w:pPr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数据统计分析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本次检查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完成后，通过对所有被检查设备出现的不合格项目进行统计分析，我们获得很多共性和规律性的认识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能够发现问题集中出现的方面，可以从中获得解决问题的方法。</w:t>
      </w:r>
    </w:p>
    <w:p>
      <w:pPr>
        <w:rPr>
          <w:sz w:val="24"/>
          <w:szCs w:val="24"/>
        </w:rPr>
      </w:pPr>
    </w:p>
    <w:tbl>
      <w:tblPr>
        <w:tblStyle w:val="6"/>
        <w:tblW w:w="102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450"/>
        <w:gridCol w:w="464"/>
        <w:gridCol w:w="4800"/>
        <w:gridCol w:w="982"/>
        <w:gridCol w:w="968"/>
        <w:gridCol w:w="1063"/>
        <w:gridCol w:w="100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塔式起重机安全隐患问题分析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主控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项目序号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不合格项目内容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存在该类问题设备数量（台）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该类问题占问题总数量百分比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该类问题占设备总数量百分比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该类问题占比排名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标准节直梯无护圈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22.22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休息小平台设置不符合要求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平衡重空缺处无防护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结构件可追溯标志等缺陷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38.89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FF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塔身底部产品铭牌缺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失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司机室未见起重特性曲线表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塔顶障碍灯缺失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电气设备元件缺陷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22.22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9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联动操纵台零位自锁和自动复位功能等缺陷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顶升液压油表未按周期进行标定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爬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升装置无防脱保护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12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基础制作与排水设施等缺陷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平衡重安装与标志等缺陷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22.22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附着点以上悬臂高度垂直度超标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高强度连接螺栓选用与设置等缺陷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16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附着方案与现场附着方式不一致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FF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17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61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附着框架（现场）与提供合格制造编号不一致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18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62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附着装置连接固定等缺陷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19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钢丝绳在卷筒上的安装与设置等缺陷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4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20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钢丝绳局部断丝聚集，已达报废标准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7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21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供电电缆敷设与防护等缺陷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司机室照明失效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</w:trPr>
        <w:tc>
          <w:tcPr>
            <w:tcW w:w="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23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起重臂前端终端缓冲装置缺失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48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风速仪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未安装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9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6.25%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27.78%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表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</w:tr>
    </w:tbl>
    <w:p>
      <w:pPr>
        <w:rPr>
          <w:sz w:val="24"/>
          <w:szCs w:val="24"/>
        </w:rPr>
      </w:pPr>
    </w:p>
    <w:tbl>
      <w:tblPr>
        <w:tblStyle w:val="7"/>
        <w:tblW w:w="104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0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6477000" cy="5048250"/>
                  <wp:effectExtent l="4445" t="4445" r="14605" b="14605"/>
                  <wp:docPr id="51" name="图表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0" w:type="dxa"/>
            <w:tcBorders>
              <w:tl2br w:val="nil"/>
              <w:tr2bl w:val="nil"/>
            </w:tcBorders>
            <w:vAlign w:val="top"/>
          </w:tcPr>
          <w:p>
            <w:pPr>
              <w:ind w:firstLine="480"/>
              <w:jc w:val="center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图1</w:t>
            </w:r>
          </w:p>
        </w:tc>
      </w:tr>
    </w:tbl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根据表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2和图1统计数据可知，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在塔式起重机方面，不合格项目种类共计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24种，涉及80条，其中主控类项目7种，涉及19条；平均每台设备就出现2.67条不合格项目，其中主控项目约0.63条。这些数据反映出该批次被查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塔式起重机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设备的总体安全状况一般。</w:t>
      </w:r>
    </w:p>
    <w:p>
      <w:pPr>
        <w:rPr>
          <w:rFonts w:hint="eastAsia"/>
          <w:sz w:val="24"/>
          <w:szCs w:val="24"/>
        </w:rPr>
      </w:pPr>
    </w:p>
    <w:tbl>
      <w:tblPr>
        <w:tblStyle w:val="6"/>
        <w:tblW w:w="102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5"/>
        <w:gridCol w:w="559"/>
        <w:gridCol w:w="546"/>
        <w:gridCol w:w="4554"/>
        <w:gridCol w:w="982"/>
        <w:gridCol w:w="1023"/>
        <w:gridCol w:w="995"/>
        <w:gridCol w:w="103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施工升降机安全隐患问题分析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主控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项目序号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不合格项目内容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存在该类问题设备数量（台）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该类问题占问题总数量百分比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该类问题占设备总数量百分比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该类问题占比排名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附墙架非原厂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制造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笼顶防护栏杆有变形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标准节未见可识别其生产日期的标志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6.56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停层标志缺失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地面防护围栏有效高度不足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35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基础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有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积水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现象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垂直度超标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4.93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40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螺栓连接缺陷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9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非标附墙架缺陷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附着装置安装固定缺陷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4.93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附墙架安装角度超标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4.93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层门及其锁紧装置的设置等缺陷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9.84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FF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层门尺寸及其防护缺陷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5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5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55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吊笼门与平台间距不符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4.93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49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登机平台搭设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16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51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吊笼下方缓冲器未固定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17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64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未设置专用开关箱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8.33%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18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66</w:t>
            </w:r>
          </w:p>
        </w:tc>
        <w:tc>
          <w:tcPr>
            <w:tcW w:w="4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供电电缆安装及其防护措施缺陷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12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19.67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FF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表3</w:t>
            </w:r>
          </w:p>
        </w:tc>
      </w:tr>
    </w:tbl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tbl>
      <w:tblPr>
        <w:tblStyle w:val="7"/>
        <w:tblW w:w="1042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5581650" cy="4114800"/>
                  <wp:effectExtent l="4445" t="4445" r="14605" b="14605"/>
                  <wp:docPr id="52" name="图表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tcBorders>
              <w:tl2br w:val="nil"/>
              <w:tr2bl w:val="nil"/>
            </w:tcBorders>
            <w:vAlign w:val="top"/>
          </w:tcPr>
          <w:p>
            <w:pPr>
              <w:ind w:firstLine="480"/>
              <w:jc w:val="center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图2</w:t>
            </w:r>
          </w:p>
        </w:tc>
      </w:tr>
    </w:tbl>
    <w:p>
      <w:pPr>
        <w:rPr>
          <w:rFonts w:hint="eastAsia"/>
          <w:sz w:val="24"/>
          <w:szCs w:val="24"/>
          <w:vertAlign w:val="baseline"/>
        </w:rPr>
      </w:pPr>
    </w:p>
    <w:p>
      <w:pPr>
        <w:ind w:firstLine="560" w:firstLineChars="200"/>
        <w:rPr>
          <w:rFonts w:hint="eastAsia" w:ascii="宋体" w:hAnsi="宋体"/>
          <w:color w:val="auto"/>
          <w:sz w:val="28"/>
          <w:szCs w:val="28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根据表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3和图2统计数据可知，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在施工升降机方面，不合格项目种类共计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18种，涉及61条，主控类项目6种，涉及17条；平均每台设备就出现5.08条不合格项目，其中主控项目约1.42条。这些数据反映出该批次被查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施工升降机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设备的总体安全状况很差。</w:t>
      </w:r>
    </w:p>
    <w:p>
      <w:pPr>
        <w:jc w:val="left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jc w:val="left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102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"/>
        <w:gridCol w:w="3123"/>
        <w:gridCol w:w="3081"/>
        <w:gridCol w:w="464"/>
        <w:gridCol w:w="1486"/>
        <w:gridCol w:w="696"/>
        <w:gridCol w:w="655"/>
        <w:gridCol w:w="36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2021年番禺区第一批建筑起重机械监督抽检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项目得分汇总表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安装（维保）单位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设备类型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登记编号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不合格一般项目数量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不合格保证项目数量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总得分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商业楼4幢（自编名盛龙安置区（二期）练溪村项目L1-L4]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肇庆市成一机电工程有限公司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粤AC-T00104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3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盛龙安置区（二期）安置房项目【5＃及地下室】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广州恒富设备安装有限公司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粤AD-T00240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3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31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广州建沃机械设备有限公司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粤AE-S10788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华盛大学城酒店项目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广州市能诚建筑机械设备有限公司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粤A-T01365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华南理工大学广州国际校区二期工程G5教师宿舍及地下室工程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广州速捷机电设备工程有限公司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粤AE-S11128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市头村经济发展留用地项目1#、2#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广州市广旺机电安装工程有限公司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粤AE-S11103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33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商业、住宅楼工程5幢（自编金海岸花园二期八组团27-31栋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中山市康华建筑机械工程设备有限公司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粤TT-T00370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33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  <w:tc>
          <w:tcPr>
            <w:tcW w:w="31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广州骏晨建筑机械有限公司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粤AP-S00316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9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云星商业大厦A、B栋工程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广州羽粤建筑机械租赁有限公司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粤EC-T04734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番禺区市桥街东郊村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（北基大街）安置区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广州明大建筑机械安装有限公司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粤SA-T04294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东湖阁1号楼</w:t>
            </w:r>
          </w:p>
        </w:tc>
        <w:tc>
          <w:tcPr>
            <w:tcW w:w="30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广州魁高机械有限公司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粤AE-T02696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12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龙美汽配城1号厂房及地下室</w:t>
            </w:r>
          </w:p>
        </w:tc>
        <w:tc>
          <w:tcPr>
            <w:tcW w:w="30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佛山市顺德区顺恒建设集团有限公司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粤EC-T02199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广州亚运城H地块住宅楼H2-6~H2-13幢及地下室工程</w:t>
            </w:r>
          </w:p>
        </w:tc>
        <w:tc>
          <w:tcPr>
            <w:tcW w:w="30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广州精伟机电安装有限公司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粤AE-T11027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312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08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粤AE-S11267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  <w:t>中核华辰利凯新城二期总承包工程（西标段）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广东庞源工程机械有限公司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粤AH-S10196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利凯新城自编15、16栋住宅及二期地下车库B段，自编25、26栋住宅，自编27栋、28栋、29栋住宅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东莞市毅新庆江机械制造有限公司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塔吊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粤SA-T03703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312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广州亚运城项目自编号H地块住宅楼H1-1幢、H1-2幢、H1-3幢及地下室工程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广东恒树铭机械有限公司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粤BE-S05591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3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广东庞源工程机械有限公司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粤AH-T10096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3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3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番禺区亚运大道北侧石楼镇新城地块一项目</w:t>
            </w:r>
          </w:p>
        </w:tc>
        <w:tc>
          <w:tcPr>
            <w:tcW w:w="30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广州市宏升建筑机械服务有限公司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粤AG-S00143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3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汽车小镇地块一项目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广州速捷机电设备工程有限公司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粤AF-T10076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广州恒大足球场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射阳县广厦机械租赁有限公司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苏JJ-T00201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312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南站核心区（地块6）南站6号地酒店、商业、展览中心工程项目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广州骏晨建筑机械有限公司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粤AE-T03351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312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佛山市三瀛起重机电设备安装有限公司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粤AP-S00711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广州市番禺区石壁街道南站核心区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东莞市川航建筑安装工程有限公司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粤SA-T04309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地铁22号线陈头岗停车场场站综合体19#、20#、21#住宅楼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珠海市诚顺建筑工程有限公司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粤CA-T02264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汉溪项目【办公、商业（自编号汉溪项目1#、3#、8#）】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中科美科技工程有限公司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粤AE-S10379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番禺区汉溪大道北BA0902107、BA0902111地块及变电站、绿地、道路BA0902107地块项目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中山市安帮机电安装有限公司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粤TT-S30010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厦滘村商业办公综合楼及附属配套设施工程-体育工程（自编厦滘文体楼）、酒店工程1幢（自编名厦滘快捷酒店）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佛山云志机械租赁有限公司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粤AP-T00167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洛溪大厦外立面升级改造项目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广东恒树铭机械有限公司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塔吊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粤AE-T04469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33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12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番禺区兴学路地块项目（1栋、2栋、3栋、5栋、11栋、12栋及地下室）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广州市铭顺建筑设备有限公司</w:t>
            </w:r>
          </w:p>
        </w:tc>
        <w:tc>
          <w:tcPr>
            <w:tcW w:w="4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粤AP-S00433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注：总分数计算说明：总分数=10*A + 1*B  (分数越低，设备状况越好，分数越高，设备状况差)     A:主控项目不合格数量  B:一般项目不合格数量。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20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表</w:t>
            </w: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</w:tr>
    </w:tbl>
    <w:p>
      <w:pPr>
        <w:ind w:firstLine="640" w:firstLineChars="200"/>
        <w:jc w:val="left"/>
        <w:rPr>
          <w:rFonts w:hint="eastAsia" w:cs="Times New Roman"/>
          <w:kern w:val="2"/>
          <w:sz w:val="21"/>
          <w:szCs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通过表4可以较为明显的看到，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商业楼4幢（自编名盛龙安置区（二期）练溪村项目L1-L4]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市头村经济发展留用地项目1#、2#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商业、住宅楼工程5幢（自编金海岸花园二期八组团27-31栋、利凯新城自编15、16栋住宅及二期地下车库B段，自编25、26栋住宅，自编27栋、28栋、29栋住宅、南站核心区（地块6）南站6号地酒店、商业、展览中心工程项目、广州市番禺区石壁街道南站核心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等项目的被抽查设备安全状况很差，主要是存在能使设备随时发生安全事故的隐患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；其他工程项目的设备状况均较好；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对于安全隐患比较严重的工程项目及设备，应加强监督管理并要求其进行全面整改，以消除安全隐患。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cs="Times New Roman"/>
          <w:kern w:val="2"/>
          <w:sz w:val="21"/>
          <w:szCs w:val="21"/>
          <w:lang w:val="en-US" w:eastAsia="zh-CN" w:bidi="ar-SA"/>
        </w:rPr>
        <w:t xml:space="preserve">  </w:t>
      </w:r>
    </w:p>
    <w:p/>
    <w:p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ql5&#10;uc8AAAAFAQAADwAAAAAAAAABACAAAAAiAAAAZHJzL2Rvd25yZXYueG1sUEsBAhQAFAAAAAgAh07i&#10;QGpJOIG5AQAAVgMAAA4AAAAAAAAAAQAgAAAAHgEAAGRycy9lMm9Eb2MueG1sUEsFBgAAAAAGAAYA&#10;WQEAAEk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DC3D"/>
    <w:multiLevelType w:val="singleLevel"/>
    <w:tmpl w:val="1039DC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35EE9"/>
    <w:rsid w:val="19235EE9"/>
    <w:rsid w:val="33983C29"/>
    <w:rsid w:val="4BA4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Monotype Corsiva" w:hAnsi="Monotype Corsiva" w:eastAsia="方正小标宋简体"/>
      <w:sz w:val="4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1大标题"/>
    <w:basedOn w:val="1"/>
    <w:qFormat/>
    <w:uiPriority w:val="0"/>
    <w:rPr>
      <w:rFonts w:ascii="Times New Roman" w:hAnsi="Times New Roman" w:eastAsia="方正小标宋简体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0" Type="http://schemas.openxmlformats.org/officeDocument/2006/relationships/fontTable" Target="fontTable.xml"/><Relationship Id="rId6" Type="http://schemas.openxmlformats.org/officeDocument/2006/relationships/image" Target="media/image1.jpe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chart" Target="charts/chart2.xml"/><Relationship Id="rId56" Type="http://schemas.openxmlformats.org/officeDocument/2006/relationships/chart" Target="charts/chart1.xml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24635;&#32467;\&#32599;&#28246;&#12289;&#28023;&#29664;&#21306;&#30417;&#30563;&#25277;&#26597;&#24635;&#32467;\2019&#24180;&#32599;&#28246;&#25277;&#26597;&#24037;&#20316;&#23436;&#25104;&#24773;&#20917;&#27719;&#24635;%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24635;&#32467;\&#32599;&#28246;&#12289;&#28023;&#29664;&#21306;&#30417;&#30563;&#25277;&#26597;&#24635;&#32467;\2019&#24180;&#32599;&#28246;&#25277;&#26597;&#24037;&#20316;&#23436;&#25104;&#24773;&#20917;&#27719;&#24635;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t>塔式起重机安全隐患问题分析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'[2019年罗湖抽查工作完成情况汇总 .xlsx]塔吊隐患分析'!$AI$2</c:f>
              <c:strCache>
                <c:ptCount val="1"/>
                <c:pt idx="0">
                  <c:v>该类问题占设备总数量百分比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rgbClr val="404040">
                        <a:lumMod val="75000"/>
                        <a:lumOff val="25000"/>
                      </a:srgb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rgbClr val="A6A6A6">
                          <a:lumMod val="35000"/>
                          <a:lumOff val="65000"/>
                        </a:srgb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'[2019年罗湖抽查工作完成情况汇总 .xlsx]塔吊隐患分析'!$D$3:$D$26</c:f>
              <c:strCache>
                <c:ptCount val="24"/>
                <c:pt idx="0">
                  <c:v>标准节直梯无护圈</c:v>
                </c:pt>
                <c:pt idx="1">
                  <c:v>休息小平台设置不符合要求</c:v>
                </c:pt>
                <c:pt idx="2">
                  <c:v>平衡重空缺处无防护</c:v>
                </c:pt>
                <c:pt idx="3">
                  <c:v>结构件可追溯标志等缺陷</c:v>
                </c:pt>
                <c:pt idx="4">
                  <c:v>塔身底部产品铭牌缺失</c:v>
                </c:pt>
                <c:pt idx="5">
                  <c:v>司机室未见起重特性曲线表</c:v>
                </c:pt>
                <c:pt idx="6">
                  <c:v>塔顶障碍灯缺失</c:v>
                </c:pt>
                <c:pt idx="7">
                  <c:v>电气设备元件缺陷</c:v>
                </c:pt>
                <c:pt idx="8">
                  <c:v>联动操纵台零位自锁和自动复位功能等缺陷</c:v>
                </c:pt>
                <c:pt idx="9">
                  <c:v>顶升液压油表未按周期进行标定</c:v>
                </c:pt>
                <c:pt idx="10">
                  <c:v>爬升装置无防脱保护</c:v>
                </c:pt>
                <c:pt idx="11">
                  <c:v>基础制作与排水设施等缺陷</c:v>
                </c:pt>
                <c:pt idx="12">
                  <c:v>平衡重安装与标志等缺陷</c:v>
                </c:pt>
                <c:pt idx="13">
                  <c:v>附着点以上悬臂高度垂直度超标</c:v>
                </c:pt>
                <c:pt idx="14">
                  <c:v>高强度连接螺栓选用与设置等缺陷</c:v>
                </c:pt>
                <c:pt idx="15">
                  <c:v>附着方案与现场附着方式不一致</c:v>
                </c:pt>
                <c:pt idx="16">
                  <c:v>附着框架（现场）与提供合格制造编号不一致</c:v>
                </c:pt>
                <c:pt idx="17">
                  <c:v>附着装置连接固定等缺陷</c:v>
                </c:pt>
                <c:pt idx="18">
                  <c:v>钢丝绳在卷筒上的安装与设置等缺陷</c:v>
                </c:pt>
                <c:pt idx="19">
                  <c:v>钢丝绳局部断丝聚集，已达报废标准</c:v>
                </c:pt>
                <c:pt idx="20">
                  <c:v>供电电缆敷设与防护等缺陷</c:v>
                </c:pt>
                <c:pt idx="21">
                  <c:v>司机室照明失效</c:v>
                </c:pt>
                <c:pt idx="22">
                  <c:v>起重臂前端终端缓冲装置缺失</c:v>
                </c:pt>
                <c:pt idx="23">
                  <c:v>风速仪未安装</c:v>
                </c:pt>
              </c:strCache>
            </c:strRef>
          </c:cat>
          <c:val>
            <c:numRef>
              <c:f>'[2019年罗湖抽查工作完成情况汇总 .xlsx]塔吊隐患分析'!$AI$3:$AI$26</c:f>
              <c:numCache>
                <c:formatCode>0.00%</c:formatCode>
                <c:ptCount val="24"/>
                <c:pt idx="0">
                  <c:v>0.2222</c:v>
                </c:pt>
                <c:pt idx="1">
                  <c:v>0.0556</c:v>
                </c:pt>
                <c:pt idx="2">
                  <c:v>0.1111</c:v>
                </c:pt>
                <c:pt idx="3">
                  <c:v>0.3889</c:v>
                </c:pt>
                <c:pt idx="4">
                  <c:v>0.1667</c:v>
                </c:pt>
                <c:pt idx="5">
                  <c:v>0.0556</c:v>
                </c:pt>
                <c:pt idx="6">
                  <c:v>0.0556</c:v>
                </c:pt>
                <c:pt idx="7">
                  <c:v>0.2222</c:v>
                </c:pt>
                <c:pt idx="8">
                  <c:v>0.1111</c:v>
                </c:pt>
                <c:pt idx="9">
                  <c:v>0.8333</c:v>
                </c:pt>
                <c:pt idx="10">
                  <c:v>0.1111</c:v>
                </c:pt>
                <c:pt idx="11">
                  <c:v>0.1667</c:v>
                </c:pt>
                <c:pt idx="12">
                  <c:v>0.2222</c:v>
                </c:pt>
                <c:pt idx="13">
                  <c:v>0.0556</c:v>
                </c:pt>
                <c:pt idx="14">
                  <c:v>0.3333</c:v>
                </c:pt>
                <c:pt idx="15">
                  <c:v>0.3333</c:v>
                </c:pt>
                <c:pt idx="16">
                  <c:v>0.0556</c:v>
                </c:pt>
                <c:pt idx="17">
                  <c:v>0.1111</c:v>
                </c:pt>
                <c:pt idx="18">
                  <c:v>0.1111</c:v>
                </c:pt>
                <c:pt idx="19">
                  <c:v>0.1111</c:v>
                </c:pt>
                <c:pt idx="20">
                  <c:v>0.1667</c:v>
                </c:pt>
                <c:pt idx="21">
                  <c:v>0.1111</c:v>
                </c:pt>
                <c:pt idx="22">
                  <c:v>0.0556</c:v>
                </c:pt>
                <c:pt idx="23">
                  <c:v>0.2778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85864305"/>
        <c:axId val="871946205"/>
      </c:barChart>
      <c:catAx>
        <c:axId val="585864305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rgbClr val="D9D9D9">
                <a:lumMod val="15000"/>
                <a:lumOff val="85000"/>
              </a:srgb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871946205"/>
        <c:crosses val="autoZero"/>
        <c:auto val="1"/>
        <c:lblAlgn val="ctr"/>
        <c:lblOffset val="100"/>
        <c:noMultiLvlLbl val="0"/>
      </c:catAx>
      <c:valAx>
        <c:axId val="871946205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58586430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rgbClr val="595959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9525" cap="flat" cmpd="sng" algn="ctr">
      <a:solidFill>
        <a:srgbClr val="D9D9D9">
          <a:lumMod val="15000"/>
          <a:lumOff val="85000"/>
        </a:srgb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t>施工升降机安全隐患问题分析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'[2019年罗湖抽查工作完成情况汇总 .xlsx]电梯隐患分析'!$P$2</c:f>
              <c:strCache>
                <c:ptCount val="1"/>
                <c:pt idx="0">
                  <c:v>该类问题占设备总数量百分比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rgbClr val="404040">
                        <a:lumMod val="75000"/>
                        <a:lumOff val="25000"/>
                      </a:srgb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rgbClr val="A6A6A6">
                          <a:lumMod val="35000"/>
                          <a:lumOff val="65000"/>
                        </a:srgb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'[2019年罗湖抽查工作完成情况汇总 .xlsx]电梯隐患分析'!$D$3:$D$20</c:f>
              <c:strCache>
                <c:ptCount val="18"/>
                <c:pt idx="0">
                  <c:v>附墙架非原厂制造</c:v>
                </c:pt>
                <c:pt idx="1">
                  <c:v>笼顶防护栏杆有变形缺陷</c:v>
                </c:pt>
                <c:pt idx="2">
                  <c:v>标准节未见可识别其生产日期的标志</c:v>
                </c:pt>
                <c:pt idx="3">
                  <c:v>停层标志缺失</c:v>
                </c:pt>
                <c:pt idx="4">
                  <c:v>地面防护围栏有效高度不足</c:v>
                </c:pt>
                <c:pt idx="5">
                  <c:v>基础有积水现象</c:v>
                </c:pt>
                <c:pt idx="6">
                  <c:v>垂直度超标</c:v>
                </c:pt>
                <c:pt idx="7">
                  <c:v>螺栓连接缺陷</c:v>
                </c:pt>
                <c:pt idx="8">
                  <c:v>非标附墙架缺陷</c:v>
                </c:pt>
                <c:pt idx="9">
                  <c:v>附着装置安装固定缺陷</c:v>
                </c:pt>
                <c:pt idx="10">
                  <c:v>附墙架安装角度超标</c:v>
                </c:pt>
                <c:pt idx="11">
                  <c:v>层门及其锁紧装置的设置等缺陷</c:v>
                </c:pt>
                <c:pt idx="12">
                  <c:v>层门尺寸及其防护缺陷</c:v>
                </c:pt>
                <c:pt idx="13">
                  <c:v>吊笼门与平台间距不符</c:v>
                </c:pt>
                <c:pt idx="14">
                  <c:v>登机平台搭设缺陷</c:v>
                </c:pt>
                <c:pt idx="15">
                  <c:v>吊笼下方缓冲器未固定</c:v>
                </c:pt>
                <c:pt idx="16">
                  <c:v>未设置专用开关箱</c:v>
                </c:pt>
                <c:pt idx="17">
                  <c:v>供电电缆安装及其防护措施缺陷</c:v>
                </c:pt>
              </c:strCache>
            </c:strRef>
          </c:cat>
          <c:val>
            <c:numRef>
              <c:f>'[2019年罗湖抽查工作完成情况汇总 .xlsx]电梯隐患分析'!$P$3:$P$20</c:f>
              <c:numCache>
                <c:formatCode>0.00%</c:formatCode>
                <c:ptCount val="18"/>
                <c:pt idx="0">
                  <c:v>0.0833</c:v>
                </c:pt>
                <c:pt idx="1">
                  <c:v>0.0833</c:v>
                </c:pt>
                <c:pt idx="2">
                  <c:v>0.3333</c:v>
                </c:pt>
                <c:pt idx="3">
                  <c:v>0.1667</c:v>
                </c:pt>
                <c:pt idx="4">
                  <c:v>0.0833</c:v>
                </c:pt>
                <c:pt idx="5">
                  <c:v>0.1667</c:v>
                </c:pt>
                <c:pt idx="6">
                  <c:v>0.25</c:v>
                </c:pt>
                <c:pt idx="7">
                  <c:v>0.0833</c:v>
                </c:pt>
                <c:pt idx="8">
                  <c:v>0.0833</c:v>
                </c:pt>
                <c:pt idx="9">
                  <c:v>0.25</c:v>
                </c:pt>
                <c:pt idx="10">
                  <c:v>0.25</c:v>
                </c:pt>
                <c:pt idx="11">
                  <c:v>0.5</c:v>
                </c:pt>
                <c:pt idx="12">
                  <c:v>0.9167</c:v>
                </c:pt>
                <c:pt idx="13">
                  <c:v>0.25</c:v>
                </c:pt>
                <c:pt idx="14">
                  <c:v>0.4167</c:v>
                </c:pt>
                <c:pt idx="15">
                  <c:v>0.0833</c:v>
                </c:pt>
                <c:pt idx="16">
                  <c:v>0.0833</c:v>
                </c:pt>
                <c:pt idx="17" c:formatCode="0%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3735584"/>
        <c:axId val="110082944"/>
      </c:barChart>
      <c:catAx>
        <c:axId val="143735584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rgbClr val="D9D9D9">
                <a:lumMod val="15000"/>
                <a:lumOff val="85000"/>
              </a:srgb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110082944"/>
        <c:crosses val="autoZero"/>
        <c:auto val="1"/>
        <c:lblAlgn val="ctr"/>
        <c:lblOffset val="100"/>
        <c:noMultiLvlLbl val="0"/>
      </c:catAx>
      <c:valAx>
        <c:axId val="110082944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14373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rgbClr val="595959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9525" cap="flat" cmpd="sng" algn="ctr">
      <a:solidFill>
        <a:srgbClr val="D9D9D9">
          <a:lumMod val="15000"/>
          <a:lumOff val="85000"/>
        </a:srgb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rgbClr val="5B9BD5"/>
  <a:srgbClr val="ED7D31"/>
  <a:srgbClr val="A5A5A5"/>
  <a:srgbClr val="FFC000"/>
  <a:srgbClr val="4472C4"/>
  <a:srgbClr val="70AD47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rgbClr val="5B9BD5"/>
  <a:srgbClr val="ED7D31"/>
  <a:srgbClr val="A5A5A5"/>
  <a:srgbClr val="FFC000"/>
  <a:srgbClr val="4472C4"/>
  <a:srgbClr val="70AD47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rgbClr val="595959">
        <a:lumMod val="65000"/>
        <a:lumOff val="35000"/>
      </a:srgbClr>
    </cs:fontRef>
    <cs:defRPr sz="1000" kern="1200"/>
  </cs:axisTitle>
  <cs:categoryAxis>
    <cs:lnRef idx="0"/>
    <cs:fillRef idx="0"/>
    <cs:effectRef idx="0"/>
    <cs:fontRef idx="minor">
      <a:srgbClr val="595959">
        <a:lumMod val="65000"/>
        <a:lumOff val="35000"/>
      </a:srgbClr>
    </cs:fontRef>
    <cs:spPr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1000" kern="1200"/>
  </cs:chartArea>
  <cs:dataLabel>
    <cs:lnRef idx="0"/>
    <cs:fillRef idx="0"/>
    <cs:effectRef idx="0"/>
    <cs:fontRef idx="minor">
      <a:srgbClr val="404040">
        <a:lumMod val="75000"/>
        <a:lumOff val="25000"/>
      </a:srgbClr>
    </cs:fontRef>
    <cs:defRPr sz="900" kern="1200"/>
  </cs:dataLabel>
  <cs:dataLabelCallout>
    <cs:lnRef idx="0"/>
    <cs:fillRef idx="0"/>
    <cs:effectRef idx="0"/>
    <cs:fontRef idx="minor">
      <a:srgbClr val="595959">
        <a:lumMod val="65000"/>
        <a:lumOff val="35000"/>
      </a:srgbClr>
    </cs:fontRef>
    <cs:spPr>
      <a:solidFill>
        <a:srgbClr val="FFFFFF"/>
      </a:solidFill>
      <a:ln>
        <a:solidFill>
          <a:srgbClr val="BFBFBF">
            <a:lumMod val="25000"/>
            <a:lumOff val="75000"/>
          </a:srgb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rgbClr val="000000"/>
    </cs:fontRef>
  </cs:dataPoint>
  <cs:dataPoint3D>
    <cs:lnRef idx="0"/>
    <cs:fillRef idx="1">
      <cs:styleClr val="auto"/>
    </cs:fillRef>
    <cs:effectRef idx="0"/>
    <cs:fontRef idx="minor">
      <a:srgbClr val="000000"/>
    </cs:fontRef>
  </cs:dataPoint3D>
  <cs:dataPointLine>
    <cs:lnRef idx="0">
      <cs:styleClr val="auto"/>
    </cs:lnRef>
    <cs:fillRef idx="1"/>
    <cs:effectRef idx="0"/>
    <cs:fontRef idx="minor">
      <a:srgbClr val="000000"/>
    </cs:fontRef>
    <cs:spPr>
      <a:ln w="28575" cap="rnd">
        <a:solidFill>
          <a:srgbClr val="FFFFFF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rgbClr val="000000"/>
    </cs:fontRef>
    <cs:spPr>
      <a:ln w="9525">
        <a:solidFill>
          <a:srgbClr val="FFFFFF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rgbClr val="000000"/>
    </cs:fontRef>
    <cs:spPr>
      <a:ln w="9525" cap="rnd">
        <a:solidFill>
          <a:srgbClr val="FFFFFF"/>
        </a:solidFill>
        <a:round/>
      </a:ln>
    </cs:spPr>
  </cs:dataPointWireframe>
  <cs:dataTable>
    <cs:lnRef idx="0"/>
    <cs:fillRef idx="0"/>
    <cs:effectRef idx="0"/>
    <cs:fontRef idx="minor">
      <a:srgbClr val="595959">
        <a:lumMod val="65000"/>
        <a:lumOff val="35000"/>
      </a:srgbClr>
    </cs:fontRef>
    <cs:spPr>
      <a:noFill/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dataTable>
  <cs:downBar>
    <cs:lnRef idx="0"/>
    <cs:fillRef idx="0"/>
    <cs:effectRef idx="0"/>
    <cs:fontRef idx="minor">
      <a:srgbClr val="000000"/>
    </cs:fontRef>
    <cs:spPr>
      <a:solidFill>
        <a:srgbClr val="404040">
          <a:lumMod val="75000"/>
          <a:lumOff val="25000"/>
        </a:srgbClr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downBar>
  <cs:drop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dropLine>
  <cs:errorBar>
    <cs:lnRef idx="0"/>
    <cs:fillRef idx="0"/>
    <cs:effectRef idx="0"/>
    <cs:fontRef idx="minor">
      <a:srgbClr val="000000"/>
    </cs:fontRef>
    <cs:spPr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errorBar>
  <cs:floor>
    <cs:lnRef idx="0"/>
    <cs:fillRef idx="0"/>
    <cs:effectRef idx="0"/>
    <cs:fontRef idx="minor">
      <a:srgbClr val="000000"/>
    </cs:fontRef>
    <cs:spPr>
      <a:noFill/>
      <a:ln>
        <a:noFill/>
      </a:ln>
    </cs:spPr>
  </cs:floor>
  <cs:gridlineMajor>
    <cs:lnRef idx="0"/>
    <cs:fillRef idx="0"/>
    <cs:effectRef idx="0"/>
    <cs:fontRef idx="minor">
      <a:srgbClr val="000000"/>
    </cs:fontRef>
    <cs:spPr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</cs:gridlineMajor>
  <cs:gridlineMinor>
    <cs:lnRef idx="0"/>
    <cs:fillRef idx="0"/>
    <cs:effectRef idx="0"/>
    <cs:fontRef idx="minor">
      <a:srgbClr val="000000"/>
    </cs:fontRef>
    <cs:spPr>
      <a:ln w="9525" cap="flat" cmpd="sng" algn="ctr">
        <a:solidFill>
          <a:srgbClr val="F2F2F2">
            <a:lumMod val="5000"/>
            <a:lumOff val="95000"/>
          </a:srgbClr>
        </a:solidFill>
        <a:round/>
      </a:ln>
    </cs:spPr>
  </cs:gridlineMinor>
  <cs:hiLo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7F7F7F">
            <a:lumMod val="50000"/>
            <a:lumOff val="50000"/>
          </a:srgbClr>
        </a:solidFill>
        <a:round/>
      </a:ln>
    </cs:spPr>
  </cs:hiLoLine>
  <cs:leader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leaderLine>
  <cs:legend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legend>
  <cs:plotArea mods="allowNoFillOverride allowNoLineOverride">
    <cs:lnRef idx="0"/>
    <cs:fillRef idx="0"/>
    <cs:effectRef idx="0"/>
    <cs:fontRef idx="minor">
      <a:srgbClr val="000000"/>
    </cs:fontRef>
  </cs:plotArea>
  <cs:plotArea3D mods="allowNoFillOverride allowNoLineOverride">
    <cs:lnRef idx="0"/>
    <cs:fillRef idx="0"/>
    <cs:effectRef idx="0"/>
    <cs:fontRef idx="minor">
      <a:srgbClr val="000000"/>
    </cs:fontRef>
  </cs:plotArea3D>
  <cs:series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seriesAxis>
  <cs:series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seriesLine>
  <cs:title>
    <cs:lnRef idx="0"/>
    <cs:fillRef idx="0"/>
    <cs:effectRef idx="0"/>
    <cs:fontRef idx="minor">
      <a:srgbClr val="595959">
        <a:lumMod val="65000"/>
        <a:lumOff val="35000"/>
      </a:srgb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rgbClr val="000000"/>
    </cs:fontRef>
    <cs:spPr>
      <a:ln w="19050" cap="rnd">
        <a:solidFill>
          <a:srgbClr val="FFFFFF"/>
        </a:solidFill>
        <a:prstDash val="sysDot"/>
      </a:ln>
    </cs:spPr>
  </cs:trendline>
  <cs:trendlineLabel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trendlineLabel>
  <cs:upBar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upBar>
  <cs:value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valueAxis>
  <cs:wall>
    <cs:lnRef idx="0"/>
    <cs:fillRef idx="0"/>
    <cs:effectRef idx="0"/>
    <cs:fontRef idx="minor">
      <a:srgbClr val="000000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rgbClr val="595959">
        <a:lumMod val="65000"/>
        <a:lumOff val="35000"/>
      </a:srgbClr>
    </cs:fontRef>
    <cs:defRPr sz="1000" kern="1200"/>
  </cs:axisTitle>
  <cs:categoryAxis>
    <cs:lnRef idx="0"/>
    <cs:fillRef idx="0"/>
    <cs:effectRef idx="0"/>
    <cs:fontRef idx="minor">
      <a:srgbClr val="595959">
        <a:lumMod val="65000"/>
        <a:lumOff val="35000"/>
      </a:srgbClr>
    </cs:fontRef>
    <cs:spPr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1000" kern="1200"/>
  </cs:chartArea>
  <cs:dataLabel>
    <cs:lnRef idx="0"/>
    <cs:fillRef idx="0"/>
    <cs:effectRef idx="0"/>
    <cs:fontRef idx="minor">
      <a:srgbClr val="404040">
        <a:lumMod val="75000"/>
        <a:lumOff val="25000"/>
      </a:srgbClr>
    </cs:fontRef>
    <cs:defRPr sz="900" kern="1200"/>
  </cs:dataLabel>
  <cs:dataLabelCallout>
    <cs:lnRef idx="0"/>
    <cs:fillRef idx="0"/>
    <cs:effectRef idx="0"/>
    <cs:fontRef idx="minor">
      <a:srgbClr val="595959">
        <a:lumMod val="65000"/>
        <a:lumOff val="35000"/>
      </a:srgbClr>
    </cs:fontRef>
    <cs:spPr>
      <a:solidFill>
        <a:srgbClr val="FFFFFF"/>
      </a:solidFill>
      <a:ln>
        <a:solidFill>
          <a:srgbClr val="BFBFBF">
            <a:lumMod val="25000"/>
            <a:lumOff val="75000"/>
          </a:srgb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rgbClr val="000000"/>
    </cs:fontRef>
  </cs:dataPoint>
  <cs:dataPoint3D>
    <cs:lnRef idx="0"/>
    <cs:fillRef idx="1">
      <cs:styleClr val="auto"/>
    </cs:fillRef>
    <cs:effectRef idx="0"/>
    <cs:fontRef idx="minor">
      <a:srgbClr val="000000"/>
    </cs:fontRef>
  </cs:dataPoint3D>
  <cs:dataPointLine>
    <cs:lnRef idx="0">
      <cs:styleClr val="auto"/>
    </cs:lnRef>
    <cs:fillRef idx="1"/>
    <cs:effectRef idx="0"/>
    <cs:fontRef idx="minor">
      <a:srgbClr val="000000"/>
    </cs:fontRef>
    <cs:spPr>
      <a:ln w="28575" cap="rnd">
        <a:solidFill>
          <a:srgbClr val="FFFFFF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rgbClr val="000000"/>
    </cs:fontRef>
    <cs:spPr>
      <a:ln w="9525">
        <a:solidFill>
          <a:srgbClr val="FFFFFF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rgbClr val="000000"/>
    </cs:fontRef>
    <cs:spPr>
      <a:ln w="9525" cap="rnd">
        <a:solidFill>
          <a:srgbClr val="FFFFFF"/>
        </a:solidFill>
        <a:round/>
      </a:ln>
    </cs:spPr>
  </cs:dataPointWireframe>
  <cs:dataTable>
    <cs:lnRef idx="0"/>
    <cs:fillRef idx="0"/>
    <cs:effectRef idx="0"/>
    <cs:fontRef idx="minor">
      <a:srgbClr val="595959">
        <a:lumMod val="65000"/>
        <a:lumOff val="35000"/>
      </a:srgbClr>
    </cs:fontRef>
    <cs:spPr>
      <a:noFill/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dataTable>
  <cs:downBar>
    <cs:lnRef idx="0"/>
    <cs:fillRef idx="0"/>
    <cs:effectRef idx="0"/>
    <cs:fontRef idx="minor">
      <a:srgbClr val="000000"/>
    </cs:fontRef>
    <cs:spPr>
      <a:solidFill>
        <a:srgbClr val="404040">
          <a:lumMod val="75000"/>
          <a:lumOff val="25000"/>
        </a:srgbClr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downBar>
  <cs:drop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dropLine>
  <cs:errorBar>
    <cs:lnRef idx="0"/>
    <cs:fillRef idx="0"/>
    <cs:effectRef idx="0"/>
    <cs:fontRef idx="minor">
      <a:srgbClr val="000000"/>
    </cs:fontRef>
    <cs:spPr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errorBar>
  <cs:floor>
    <cs:lnRef idx="0"/>
    <cs:fillRef idx="0"/>
    <cs:effectRef idx="0"/>
    <cs:fontRef idx="minor">
      <a:srgbClr val="000000"/>
    </cs:fontRef>
    <cs:spPr>
      <a:noFill/>
      <a:ln>
        <a:noFill/>
      </a:ln>
    </cs:spPr>
  </cs:floor>
  <cs:gridlineMajor>
    <cs:lnRef idx="0"/>
    <cs:fillRef idx="0"/>
    <cs:effectRef idx="0"/>
    <cs:fontRef idx="minor">
      <a:srgbClr val="000000"/>
    </cs:fontRef>
    <cs:spPr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</cs:gridlineMajor>
  <cs:gridlineMinor>
    <cs:lnRef idx="0"/>
    <cs:fillRef idx="0"/>
    <cs:effectRef idx="0"/>
    <cs:fontRef idx="minor">
      <a:srgbClr val="000000"/>
    </cs:fontRef>
    <cs:spPr>
      <a:ln w="9525" cap="flat" cmpd="sng" algn="ctr">
        <a:solidFill>
          <a:srgbClr val="F2F2F2">
            <a:lumMod val="5000"/>
            <a:lumOff val="95000"/>
          </a:srgbClr>
        </a:solidFill>
        <a:round/>
      </a:ln>
    </cs:spPr>
  </cs:gridlineMinor>
  <cs:hiLo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7F7F7F">
            <a:lumMod val="50000"/>
            <a:lumOff val="50000"/>
          </a:srgbClr>
        </a:solidFill>
        <a:round/>
      </a:ln>
    </cs:spPr>
  </cs:hiLoLine>
  <cs:leader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leaderLine>
  <cs:legend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legend>
  <cs:plotArea mods="allowNoFillOverride allowNoLineOverride">
    <cs:lnRef idx="0"/>
    <cs:fillRef idx="0"/>
    <cs:effectRef idx="0"/>
    <cs:fontRef idx="minor">
      <a:srgbClr val="000000"/>
    </cs:fontRef>
  </cs:plotArea>
  <cs:plotArea3D mods="allowNoFillOverride allowNoLineOverride">
    <cs:lnRef idx="0"/>
    <cs:fillRef idx="0"/>
    <cs:effectRef idx="0"/>
    <cs:fontRef idx="minor">
      <a:srgbClr val="000000"/>
    </cs:fontRef>
  </cs:plotArea3D>
  <cs:series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seriesAxis>
  <cs:series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seriesLine>
  <cs:title>
    <cs:lnRef idx="0"/>
    <cs:fillRef idx="0"/>
    <cs:effectRef idx="0"/>
    <cs:fontRef idx="minor">
      <a:srgbClr val="595959">
        <a:lumMod val="65000"/>
        <a:lumOff val="35000"/>
      </a:srgb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rgbClr val="000000"/>
    </cs:fontRef>
    <cs:spPr>
      <a:ln w="19050" cap="rnd">
        <a:solidFill>
          <a:srgbClr val="FFFFFF"/>
        </a:solidFill>
        <a:prstDash val="sysDot"/>
      </a:ln>
    </cs:spPr>
  </cs:trendline>
  <cs:trendlineLabel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trendlineLabel>
  <cs:upBar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upBar>
  <cs:value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valueAxis>
  <cs:wall>
    <cs:lnRef idx="0"/>
    <cs:fillRef idx="0"/>
    <cs:effectRef idx="0"/>
    <cs:fontRef idx="minor">
      <a:srgbClr val="000000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区住房和建设局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2021-07-09T07:06:00Z</dcterms:created>
  <dc:creator>QINGQUEEN</dc:creator>
  <cp:lastModifiedBy>QINGQUEEN</cp:lastModifiedBy>
  <dcterms:modified xsi:type="dcterms:W3CDTF">2021-07-09T07:07:18Z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