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color w:val="000000" w:themeColor="text1"/>
          <w:spacing w:val="56"/>
          <w:kern w:val="0"/>
          <w:sz w:val="72"/>
          <w:szCs w:val="72"/>
        </w:rPr>
      </w:pPr>
    </w:p>
    <w:p>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000000" w:themeColor="text1"/>
        </w:rPr>
      </w:pPr>
      <w:r>
        <w:rPr>
          <w:rFonts w:hint="eastAsia" w:ascii="仿宋_GB2312"/>
          <w:color w:val="000000" w:themeColor="text1"/>
        </w:rPr>
        <w:t xml:space="preserve">                                       </w:t>
      </w:r>
      <w:r>
        <w:rPr>
          <w:rFonts w:hint="eastAsia" w:ascii="仿宋_GB2312" w:eastAsia="仿宋_GB2312"/>
          <w:color w:val="000000" w:themeColor="text1"/>
          <w:sz w:val="32"/>
          <w:szCs w:val="32"/>
        </w:rPr>
        <w:t>穗（番）环管影〔20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112</w:t>
      </w:r>
      <w:bookmarkStart w:id="0" w:name="_GoBack"/>
      <w:bookmarkEnd w:id="0"/>
      <w:r>
        <w:rPr>
          <w:rFonts w:hint="eastAsia" w:ascii="仿宋_GB2312" w:eastAsia="仿宋_GB2312"/>
          <w:color w:val="000000" w:themeColor="text1"/>
          <w:sz w:val="32"/>
          <w:szCs w:val="32"/>
        </w:rPr>
        <w:t>号</w:t>
      </w:r>
    </w:p>
    <w:p>
      <w:pPr>
        <w:keepNext w:val="0"/>
        <w:keepLines w:val="0"/>
        <w:pageBreakBefore w:val="0"/>
        <w:kinsoku/>
        <w:overflowPunct/>
        <w:topLinePunct w:val="0"/>
        <w:autoSpaceDE/>
        <w:autoSpaceDN/>
        <w:bidi w:val="0"/>
        <w:spacing w:line="560" w:lineRule="exact"/>
        <w:textAlignment w:val="auto"/>
        <w:rPr>
          <w:rFonts w:ascii="黑体" w:eastAsia="黑体"/>
          <w:color w:val="000000" w:themeColor="text1"/>
        </w:rPr>
      </w:pP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000000" w:themeColor="text1"/>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广州市生态环境局关于广州隼韵思体育用品</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有限公司年产运动服装30万件建设项目</w:t>
      </w:r>
    </w:p>
    <w:p>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环境影响报告表的批复</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广州隼韵思体育用品有限公司</w:t>
      </w:r>
      <w:r>
        <w:rPr>
          <w:rFonts w:hint="eastAsia" w:ascii="仿宋_GB2312" w:eastAsia="仿宋_GB2312"/>
          <w:color w:val="000000" w:themeColor="text1"/>
          <w:sz w:val="32"/>
          <w:szCs w:val="32"/>
        </w:rPr>
        <w:t>（</w:t>
      </w:r>
      <w:r>
        <w:rPr>
          <w:rFonts w:hint="eastAsia" w:ascii="仿宋_GB2312" w:eastAsia="仿宋_GB2312"/>
          <w:bCs/>
          <w:color w:val="000000" w:themeColor="text1"/>
          <w:sz w:val="32"/>
          <w:szCs w:val="32"/>
        </w:rPr>
        <w:t>91440</w:t>
      </w:r>
      <w:r>
        <w:rPr>
          <w:rFonts w:hint="eastAsia" w:ascii="仿宋_GB2312" w:eastAsia="仿宋_GB2312"/>
          <w:bCs/>
          <w:color w:val="000000" w:themeColor="text1"/>
          <w:sz w:val="32"/>
          <w:szCs w:val="32"/>
          <w:lang w:val="en-US" w:eastAsia="zh-CN"/>
        </w:rPr>
        <w:t>10158952990XX</w:t>
      </w:r>
      <w:r>
        <w:rPr>
          <w:rFonts w:hint="eastAsia" w:ascii="仿宋_GB2312" w:eastAsia="仿宋_GB2312"/>
          <w:color w:val="000000" w:themeColor="text1"/>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你单位报送的《广州隼韵思体育用品有限公司年产运动服装30万件建设项目环境影响报告表》（以下简称“《报告表》”）及附送资料收悉。经研究，现批复如下：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一、广州隼韵思体育用品有限公司年产运动服装30万件建设项目（以下简称“该项目”）位于广州市番禺区大龙街新桥新兴路2号之二十三二栋401，申报内容为</w:t>
      </w:r>
      <w:r>
        <w:rPr>
          <w:rFonts w:hint="eastAsia" w:ascii="仿宋_GB2312" w:eastAsia="仿宋_GB2312"/>
          <w:color w:val="000000" w:themeColor="text1"/>
          <w:sz w:val="32"/>
          <w:szCs w:val="32"/>
          <w:lang w:eastAsia="zh-CN"/>
        </w:rPr>
        <w:t>从事</w:t>
      </w:r>
      <w:r>
        <w:rPr>
          <w:rFonts w:hint="eastAsia" w:ascii="仿宋_GB2312" w:eastAsia="仿宋_GB2312"/>
          <w:color w:val="000000" w:themeColor="text1"/>
          <w:sz w:val="32"/>
          <w:szCs w:val="32"/>
          <w:lang w:val="en-US" w:eastAsia="zh-CN"/>
        </w:rPr>
        <w:t>30万件运动服装生产</w:t>
      </w:r>
      <w:r>
        <w:rPr>
          <w:rFonts w:hint="eastAsia" w:ascii="仿宋_GB2312" w:eastAsia="仿宋_GB2312"/>
          <w:color w:val="000000" w:themeColor="text1"/>
          <w:sz w:val="32"/>
          <w:szCs w:val="32"/>
        </w:rPr>
        <w:t>。该项目占地面积</w:t>
      </w:r>
      <w:r>
        <w:rPr>
          <w:rFonts w:hint="eastAsia" w:ascii="仿宋_GB2312" w:eastAsia="仿宋_GB2312"/>
          <w:color w:val="000000" w:themeColor="text1"/>
          <w:sz w:val="32"/>
          <w:szCs w:val="32"/>
          <w:lang w:val="en-US" w:eastAsia="zh-CN"/>
        </w:rPr>
        <w:t>1740</w:t>
      </w:r>
      <w:r>
        <w:rPr>
          <w:rFonts w:hint="eastAsia" w:ascii="仿宋_GB2312" w:eastAsia="仿宋_GB2312"/>
          <w:color w:val="000000" w:themeColor="text1"/>
          <w:sz w:val="32"/>
          <w:szCs w:val="32"/>
        </w:rPr>
        <w:t>平方米，总建筑面积</w:t>
      </w:r>
      <w:r>
        <w:rPr>
          <w:rFonts w:hint="eastAsia" w:ascii="仿宋_GB2312" w:eastAsia="仿宋_GB2312"/>
          <w:color w:val="000000" w:themeColor="text1"/>
          <w:sz w:val="32"/>
          <w:szCs w:val="32"/>
          <w:lang w:val="en-US" w:eastAsia="zh-CN"/>
        </w:rPr>
        <w:t>1740</w:t>
      </w:r>
      <w:r>
        <w:rPr>
          <w:rFonts w:hint="eastAsia" w:ascii="仿宋_GB2312" w:eastAsia="仿宋_GB2312"/>
          <w:color w:val="000000" w:themeColor="text1"/>
          <w:sz w:val="32"/>
          <w:szCs w:val="32"/>
        </w:rPr>
        <w:t>平方米，主要建筑物有</w:t>
      </w:r>
      <w:r>
        <w:rPr>
          <w:rFonts w:hint="eastAsia" w:ascii="仿宋_GB2312" w:eastAsia="仿宋_GB2312"/>
          <w:color w:val="000000" w:themeColor="text1"/>
          <w:sz w:val="32"/>
          <w:szCs w:val="32"/>
          <w:lang w:val="en-US" w:eastAsia="zh-CN"/>
        </w:rPr>
        <w:t>1栋五层厂房（本项目租用第四层）</w:t>
      </w:r>
      <w:r>
        <w:rPr>
          <w:rFonts w:hint="eastAsia" w:ascii="仿宋_GB2312" w:eastAsia="仿宋_GB2312"/>
          <w:color w:val="000000" w:themeColor="text1"/>
          <w:sz w:val="32"/>
          <w:szCs w:val="32"/>
        </w:rPr>
        <w:t>；主要设备有电脑裁床</w:t>
      </w:r>
      <w:r>
        <w:rPr>
          <w:rFonts w:hint="eastAsia" w:ascii="仿宋_GB2312" w:eastAsia="仿宋_GB2312"/>
          <w:color w:val="000000" w:themeColor="text1"/>
          <w:sz w:val="32"/>
          <w:szCs w:val="32"/>
          <w:lang w:val="en-US" w:eastAsia="zh-CN"/>
        </w:rPr>
        <w:t>2台、打印机8台、热转印机3台、过胶机3台、压胶机5台、空压机1台、储气罐1台、平车32台、锁边车14台、冚车22台、四针六线机6台、双针车1台、人字车2台、熨床3台</w:t>
      </w:r>
      <w:r>
        <w:rPr>
          <w:rFonts w:hint="eastAsia" w:ascii="仿宋_GB2312" w:eastAsia="仿宋_GB2312"/>
          <w:color w:val="000000" w:themeColor="text1"/>
          <w:sz w:val="32"/>
          <w:szCs w:val="32"/>
        </w:rPr>
        <w:t>；员工</w:t>
      </w:r>
      <w:r>
        <w:rPr>
          <w:rFonts w:hint="eastAsia" w:ascii="仿宋_GB2312" w:eastAsia="仿宋_GB2312"/>
          <w:color w:val="000000" w:themeColor="text1"/>
          <w:sz w:val="32"/>
          <w:szCs w:val="32"/>
          <w:lang w:val="en-US" w:eastAsia="zh-CN"/>
        </w:rPr>
        <w:t>65</w:t>
      </w:r>
      <w:r>
        <w:rPr>
          <w:rFonts w:hint="eastAsia" w:ascii="仿宋_GB2312" w:eastAsia="仿宋_GB2312"/>
          <w:color w:val="000000" w:themeColor="text1"/>
          <w:sz w:val="32"/>
          <w:szCs w:val="32"/>
        </w:rPr>
        <w:t>名，内部不安排食宿。</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二、该项目各类污染物排放控制要求如下：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w:t>
      </w:r>
      <w:r>
        <w:rPr>
          <w:rFonts w:hint="eastAsia" w:ascii="仿宋_GB2312" w:eastAsia="仿宋_GB2312"/>
          <w:color w:val="000000" w:themeColor="text1"/>
          <w:sz w:val="32"/>
          <w:szCs w:val="32"/>
          <w:lang w:eastAsia="zh-CN"/>
        </w:rPr>
        <w:t>水污染物</w:t>
      </w:r>
      <w:r>
        <w:rPr>
          <w:rFonts w:hint="eastAsia" w:ascii="仿宋_GB2312" w:eastAsia="仿宋_GB2312"/>
          <w:color w:val="000000" w:themeColor="text1"/>
          <w:sz w:val="32"/>
          <w:szCs w:val="32"/>
        </w:rPr>
        <w:t>排放执行广东省《水污染物排放限值》（DB44/26-2001）第二时段三级标准。生活污水排放量不超过</w:t>
      </w:r>
      <w:r>
        <w:rPr>
          <w:rFonts w:hint="eastAsia" w:ascii="仿宋_GB2312" w:eastAsia="仿宋_GB2312"/>
          <w:color w:val="000000" w:themeColor="text1"/>
          <w:sz w:val="32"/>
          <w:szCs w:val="32"/>
          <w:lang w:val="en-US" w:eastAsia="zh-CN"/>
        </w:rPr>
        <w:t>585</w:t>
      </w:r>
      <w:r>
        <w:rPr>
          <w:rFonts w:hint="eastAsia" w:ascii="仿宋_GB2312" w:eastAsia="仿宋_GB2312"/>
          <w:color w:val="000000" w:themeColor="text1"/>
          <w:sz w:val="32"/>
          <w:szCs w:val="32"/>
        </w:rPr>
        <w:t>吨/年。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（二）</w:t>
      </w:r>
      <w:r>
        <w:rPr>
          <w:rFonts w:hint="eastAsia" w:ascii="仿宋_GB2312" w:eastAsia="仿宋_GB2312"/>
          <w:color w:val="000000" w:themeColor="text1"/>
          <w:sz w:val="32"/>
          <w:szCs w:val="32"/>
          <w:lang w:eastAsia="zh-CN"/>
        </w:rPr>
        <w:t>有机废气排放执行广东省《印刷行业挥发性有机化合物排放标准》（DB44/815-2010）中表2平版印刷（不含以金属、陶瓷、玻璃为承印物的平版印刷）、柔性版印刷Ⅱ时段排放限值及表3无组织排放监控点浓度限值。</w:t>
      </w:r>
      <w:r>
        <w:rPr>
          <w:rFonts w:hint="eastAsia" w:ascii="仿宋_GB2312" w:eastAsia="仿宋_GB2312"/>
          <w:color w:val="000000" w:themeColor="text1"/>
          <w:sz w:val="32"/>
          <w:szCs w:val="32"/>
        </w:rPr>
        <w:t>臭气浓度排放执行《恶臭污染物排放标准》（GB14554-93）表1厂界新扩改建二级标准限值</w:t>
      </w:r>
      <w:r>
        <w:rPr>
          <w:rFonts w:hint="eastAsia" w:ascii="仿宋_GB2312" w:eastAsia="仿宋_GB2312"/>
          <w:color w:val="000000" w:themeColor="text1"/>
          <w:sz w:val="32"/>
          <w:szCs w:val="32"/>
          <w:lang w:eastAsia="zh-CN"/>
        </w:rPr>
        <w:t>及</w:t>
      </w:r>
      <w:r>
        <w:rPr>
          <w:rFonts w:hint="eastAsia" w:ascii="仿宋_GB2312" w:eastAsia="仿宋_GB2312"/>
          <w:color w:val="000000" w:themeColor="text1"/>
          <w:sz w:val="32"/>
          <w:szCs w:val="32"/>
        </w:rPr>
        <w:t>表2排放标准值</w:t>
      </w:r>
      <w:r>
        <w:rPr>
          <w:rFonts w:hint="eastAsia" w:ascii="仿宋_GB2312" w:eastAsia="仿宋_GB2312"/>
          <w:color w:val="000000" w:themeColor="text1"/>
          <w:sz w:val="32"/>
          <w:szCs w:val="32"/>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（三）边界噪声排放执行《工业企业厂界环境噪声排放标准》（GB12348-2008）3类区限值，即：昼间≤65</w:t>
      </w:r>
      <w:r>
        <w:rPr>
          <w:rFonts w:hint="eastAsia" w:ascii="仿宋_GB2312" w:eastAsia="仿宋_GB2312"/>
          <w:color w:val="000000" w:themeColor="text1"/>
          <w:sz w:val="32"/>
          <w:szCs w:val="32"/>
          <w:lang w:val="en-US" w:eastAsia="zh-CN"/>
        </w:rPr>
        <w:t>dB（A）</w:t>
      </w:r>
      <w:r>
        <w:rPr>
          <w:rFonts w:hint="eastAsia" w:ascii="仿宋_GB2312" w:eastAsia="仿宋_GB2312"/>
          <w:color w:val="000000" w:themeColor="text1"/>
          <w:sz w:val="32"/>
          <w:szCs w:val="32"/>
        </w:rPr>
        <w:t>，夜间≤55</w:t>
      </w:r>
      <w:r>
        <w:rPr>
          <w:rFonts w:hint="eastAsia" w:ascii="仿宋_GB2312" w:eastAsia="仿宋_GB2312"/>
          <w:color w:val="000000" w:themeColor="text1"/>
          <w:sz w:val="32"/>
          <w:szCs w:val="32"/>
          <w:lang w:val="en-US" w:eastAsia="zh-CN"/>
        </w:rPr>
        <w:t>dB（A）</w:t>
      </w:r>
      <w:r>
        <w:rPr>
          <w:rFonts w:hint="eastAsia" w:ascii="仿宋_GB2312" w:eastAsia="仿宋_GB2312"/>
          <w:color w:val="000000" w:themeColor="text1"/>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三、该项目应当认真落实《报告表》提出的各项环境保护措施，重点做好以下工作：</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（一）项目排水系统采用雨污分流。</w:t>
      </w:r>
      <w:r>
        <w:rPr>
          <w:rFonts w:hint="eastAsia" w:ascii="仿宋_GB2312" w:hAnsi="仿宋_GB2312" w:eastAsia="仿宋_GB2312" w:cs="仿宋_GB2312"/>
          <w:color w:val="000000" w:themeColor="text1"/>
          <w:sz w:val="32"/>
          <w:szCs w:val="32"/>
        </w:rPr>
        <w:t>水喷漆装置产生的</w:t>
      </w:r>
      <w:r>
        <w:rPr>
          <w:rFonts w:hint="eastAsia" w:ascii="仿宋_GB2312" w:hAnsi="仿宋_GB2312" w:eastAsia="仿宋_GB2312" w:cs="仿宋_GB2312"/>
          <w:color w:val="000000" w:themeColor="text1"/>
          <w:sz w:val="32"/>
          <w:szCs w:val="32"/>
          <w:lang w:eastAsia="zh-CN"/>
        </w:rPr>
        <w:t>喷淋</w:t>
      </w:r>
      <w:r>
        <w:rPr>
          <w:rFonts w:hint="eastAsia" w:ascii="仿宋_GB2312" w:hAnsi="仿宋_GB2312" w:eastAsia="仿宋_GB2312" w:cs="仿宋_GB2312"/>
          <w:color w:val="000000" w:themeColor="text1"/>
          <w:sz w:val="32"/>
          <w:szCs w:val="32"/>
        </w:rPr>
        <w:t>废水循环使用</w:t>
      </w:r>
      <w:r>
        <w:rPr>
          <w:rFonts w:hint="eastAsia" w:ascii="仿宋_GB2312" w:hAnsi="仿宋_GB2312" w:eastAsia="仿宋_GB2312" w:cs="仿宋_GB2312"/>
          <w:color w:val="000000" w:themeColor="text1"/>
          <w:sz w:val="32"/>
          <w:szCs w:val="32"/>
          <w:lang w:eastAsia="zh-CN"/>
        </w:rPr>
        <w:t>，不外排</w:t>
      </w:r>
      <w:r>
        <w:rPr>
          <w:rFonts w:hint="eastAsia" w:ascii="仿宋_GB2312" w:hAnsi="仿宋_GB2312" w:eastAsia="仿宋_GB2312" w:cs="仿宋_GB2312"/>
          <w:color w:val="000000" w:themeColor="text1"/>
          <w:sz w:val="32"/>
          <w:szCs w:val="32"/>
        </w:rPr>
        <w:t>，更换时交有能力处理的单位处理；</w:t>
      </w:r>
      <w:r>
        <w:rPr>
          <w:rFonts w:hint="eastAsia" w:ascii="仿宋_GB2312" w:eastAsia="仿宋_GB2312"/>
          <w:color w:val="000000" w:themeColor="text1"/>
          <w:sz w:val="32"/>
          <w:szCs w:val="32"/>
        </w:rPr>
        <w:t>生活污水</w:t>
      </w:r>
      <w:r>
        <w:rPr>
          <w:rFonts w:hint="eastAsia" w:ascii="仿宋_GB2312" w:eastAsia="仿宋_GB2312"/>
          <w:color w:val="000000" w:themeColor="text1"/>
          <w:sz w:val="32"/>
          <w:szCs w:val="32"/>
          <w:lang w:eastAsia="zh-CN"/>
        </w:rPr>
        <w:t>经三级化粪池预处理后</w:t>
      </w:r>
      <w:r>
        <w:rPr>
          <w:rFonts w:hint="eastAsia" w:ascii="仿宋_GB2312" w:eastAsia="仿宋_GB2312"/>
          <w:color w:val="000000" w:themeColor="text1"/>
          <w:sz w:val="32"/>
          <w:szCs w:val="32"/>
        </w:rPr>
        <w:t>排入市政集污管网，送</w:t>
      </w:r>
      <w:r>
        <w:rPr>
          <w:rFonts w:hint="eastAsia" w:ascii="仿宋_GB2312" w:eastAsia="仿宋_GB2312"/>
          <w:color w:val="000000" w:themeColor="text1"/>
          <w:sz w:val="32"/>
          <w:szCs w:val="32"/>
          <w:lang w:eastAsia="zh-CN"/>
        </w:rPr>
        <w:t>前锋</w:t>
      </w:r>
      <w:r>
        <w:rPr>
          <w:rFonts w:hint="eastAsia" w:ascii="仿宋_GB2312" w:eastAsia="仿宋_GB2312"/>
          <w:color w:val="000000" w:themeColor="text1"/>
          <w:sz w:val="32"/>
          <w:szCs w:val="32"/>
        </w:rPr>
        <w:t>净水厂处理。项目设置</w:t>
      </w:r>
      <w:r>
        <w:rPr>
          <w:rFonts w:hint="eastAsia" w:ascii="仿宋_GB2312" w:eastAsia="仿宋_GB2312"/>
          <w:color w:val="000000" w:themeColor="text1"/>
          <w:sz w:val="32"/>
          <w:szCs w:val="32"/>
          <w:lang w:eastAsia="zh-CN"/>
        </w:rPr>
        <w:t>生活污</w:t>
      </w:r>
      <w:r>
        <w:rPr>
          <w:rFonts w:hint="eastAsia" w:ascii="仿宋_GB2312" w:eastAsia="仿宋_GB2312"/>
          <w:color w:val="000000" w:themeColor="text1"/>
          <w:sz w:val="32"/>
          <w:szCs w:val="32"/>
        </w:rPr>
        <w:t>水排放口</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（二）项目应严格执行《挥发性有机物无组织排放控制标准》（GB37822-2019）的各项控制要求</w:t>
      </w:r>
      <w:r>
        <w:rPr>
          <w:rFonts w:hint="eastAsia" w:ascii="仿宋_GB2312" w:eastAsia="仿宋_GB2312"/>
          <w:color w:val="000000" w:themeColor="text1"/>
          <w:sz w:val="32"/>
          <w:szCs w:val="32"/>
          <w:lang w:eastAsia="zh-CN"/>
        </w:rPr>
        <w:t>。生产车间密闭，打印、热转印和过胶工序配套废气收集</w:t>
      </w:r>
      <w:r>
        <w:rPr>
          <w:rFonts w:hint="eastAsia" w:ascii="仿宋_GB2312" w:eastAsia="仿宋_GB2312"/>
          <w:color w:val="000000" w:themeColor="text1"/>
          <w:sz w:val="32"/>
          <w:szCs w:val="32"/>
          <w:lang w:val="en-US" w:eastAsia="zh-CN"/>
        </w:rPr>
        <w:t>+“水喷淋+除雾器+二级活性炭吸附装置”处理，废气经处理达标后，</w:t>
      </w:r>
      <w:r>
        <w:rPr>
          <w:rFonts w:hint="eastAsia" w:ascii="仿宋_GB2312" w:eastAsia="仿宋_GB2312"/>
          <w:color w:val="000000" w:themeColor="text1"/>
          <w:sz w:val="32"/>
          <w:szCs w:val="32"/>
        </w:rPr>
        <w:t>通过专用管道引至所在建筑物楼顶高空排放，排放口高度不低于</w:t>
      </w:r>
      <w:r>
        <w:rPr>
          <w:rFonts w:hint="eastAsia" w:ascii="仿宋_GB2312" w:eastAsia="仿宋_GB2312"/>
          <w:color w:val="000000" w:themeColor="text1"/>
          <w:sz w:val="32"/>
          <w:szCs w:val="32"/>
          <w:lang w:val="en-US" w:eastAsia="zh-CN"/>
        </w:rPr>
        <w:t>15</w:t>
      </w:r>
      <w:r>
        <w:rPr>
          <w:rFonts w:hint="eastAsia" w:ascii="仿宋_GB2312" w:eastAsia="仿宋_GB2312"/>
          <w:color w:val="000000" w:themeColor="text1"/>
          <w:sz w:val="32"/>
          <w:szCs w:val="32"/>
        </w:rPr>
        <w:t>米。项目设置废气排放口</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加强</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废气的监控，确保</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监控点的废气达到相应标准限值的要求，监测超标时应对无组织排放废气进行收集、净化处理。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（三）选用低噪声设备，合理布设生产车间，对噪声源采取隔声、减振等措施，定期检修设备。</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（四）废活性炭、废油墨瓶及废机油桶</w:t>
      </w:r>
      <w:r>
        <w:rPr>
          <w:rFonts w:hint="eastAsia" w:ascii="仿宋_GB2312" w:eastAsia="仿宋_GB2312"/>
          <w:color w:val="000000" w:themeColor="text1"/>
          <w:sz w:val="32"/>
          <w:szCs w:val="32"/>
          <w:lang w:eastAsia="zh-CN"/>
        </w:rPr>
        <w:t>、废抹布及手套、废油墨、废机油</w:t>
      </w:r>
      <w:r>
        <w:rPr>
          <w:rFonts w:hint="eastAsia" w:ascii="仿宋_GB2312" w:eastAsia="仿宋_GB2312"/>
          <w:color w:val="000000" w:themeColor="text1"/>
          <w:sz w:val="32"/>
          <w:szCs w:val="32"/>
        </w:rPr>
        <w:t>等</w:t>
      </w:r>
      <w:r>
        <w:rPr>
          <w:rFonts w:hint="eastAsia" w:ascii="仿宋_GB2312" w:eastAsia="仿宋_GB2312"/>
          <w:color w:val="000000" w:themeColor="text1"/>
          <w:sz w:val="32"/>
          <w:szCs w:val="32"/>
          <w:lang w:eastAsia="zh-CN"/>
        </w:rPr>
        <w:t>属于</w:t>
      </w:r>
      <w:r>
        <w:rPr>
          <w:rFonts w:hint="eastAsia" w:ascii="仿宋_GB2312" w:eastAsia="仿宋_GB2312"/>
          <w:color w:val="000000" w:themeColor="text1"/>
          <w:sz w:val="32"/>
          <w:szCs w:val="32"/>
        </w:rPr>
        <w:t>危险废物</w:t>
      </w:r>
      <w:r>
        <w:rPr>
          <w:rFonts w:hint="eastAsia" w:ascii="仿宋_GB2312" w:eastAsia="仿宋_GB2312"/>
          <w:color w:val="000000" w:themeColor="text1"/>
          <w:sz w:val="32"/>
          <w:szCs w:val="32"/>
          <w:lang w:eastAsia="zh-CN"/>
        </w:rPr>
        <w:t>的</w:t>
      </w:r>
      <w:r>
        <w:rPr>
          <w:rFonts w:hint="eastAsia" w:ascii="仿宋_GB2312" w:eastAsia="仿宋_GB2312"/>
          <w:color w:val="000000" w:themeColor="text1"/>
          <w:sz w:val="32"/>
          <w:szCs w:val="32"/>
        </w:rPr>
        <w:t>须设置符合《危险废物贮存污染控制标准》（GB18597-2001）要求的专用贮存场所存放并委托具备危险废物处理资质的机构处理。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五</w:t>
      </w:r>
      <w:r>
        <w:rPr>
          <w:rFonts w:hint="eastAsia" w:ascii="仿宋_GB2312" w:eastAsia="仿宋_GB2312"/>
          <w:color w:val="000000" w:themeColor="text1"/>
          <w:sz w:val="32"/>
          <w:szCs w:val="32"/>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（一）项目竣工后，建设单位应当按照国务院生态环境行政主管部门规定的标准和程序</w:t>
      </w:r>
      <w:r>
        <w:rPr>
          <w:rFonts w:hint="eastAsia" w:ascii="仿宋_GB2312" w:eastAsia="仿宋_GB2312"/>
          <w:color w:val="000000" w:themeColor="text1"/>
          <w:sz w:val="32"/>
          <w:szCs w:val="32"/>
          <w:lang w:eastAsia="zh-CN"/>
        </w:rPr>
        <w:t>、时限</w:t>
      </w:r>
      <w:r>
        <w:rPr>
          <w:rFonts w:hint="eastAsia" w:ascii="仿宋_GB2312" w:eastAsia="仿宋_GB2312"/>
          <w:color w:val="000000" w:themeColor="text1"/>
          <w:sz w:val="32"/>
          <w:szCs w:val="32"/>
        </w:rPr>
        <w:t>，对配套建设的环境保护设施进行验收，编制验收报告，依法向社会公开。</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（二）项目配套建设的环境保护设施经验收合格后，方可投入生产或者使用。</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六</w:t>
      </w:r>
      <w:r>
        <w:rPr>
          <w:rFonts w:hint="eastAsia" w:ascii="仿宋_GB2312" w:eastAsia="仿宋_GB2312"/>
          <w:color w:val="000000" w:themeColor="text1"/>
          <w:sz w:val="32"/>
          <w:szCs w:val="32"/>
        </w:rPr>
        <w:t>、该项目建设和运行过程中如涉及规划、土地利用、建设、水务、消防、安全等问题，应遵照相关法律法规要求到相应的行政主管部门办理有关手续。</w:t>
      </w:r>
    </w:p>
    <w:p>
      <w:pPr>
        <w:pStyle w:val="19"/>
        <w:ind w:firstLine="636"/>
        <w:rPr>
          <w:rFonts w:hint="eastAsia" w:eastAsia="仿宋_GB2312"/>
          <w:color w:val="000000" w:themeColor="text1"/>
          <w:sz w:val="32"/>
          <w:szCs w:val="32"/>
        </w:rPr>
      </w:pPr>
      <w:r>
        <w:rPr>
          <w:rFonts w:hint="eastAsia" w:ascii="仿宋_GB2312" w:eastAsia="仿宋_GB2312"/>
          <w:color w:val="000000" w:themeColor="text1"/>
          <w:sz w:val="32"/>
          <w:szCs w:val="32"/>
          <w:lang w:eastAsia="zh-CN"/>
        </w:rPr>
        <w:t>七</w:t>
      </w:r>
      <w:r>
        <w:rPr>
          <w:rFonts w:hint="eastAsia" w:ascii="仿宋_GB2312" w:eastAsia="仿宋_GB2312"/>
          <w:color w:val="000000" w:themeColor="text1"/>
          <w:sz w:val="32"/>
          <w:szCs w:val="32"/>
        </w:rPr>
        <w:t>、</w:t>
      </w:r>
      <w:r>
        <w:rPr>
          <w:rFonts w:hint="eastAsia" w:ascii="仿宋_GB2312" w:hAnsi="仿宋" w:eastAsia="仿宋_GB2312"/>
          <w:color w:val="000000" w:themeColor="text1"/>
          <w:sz w:val="32"/>
        </w:rPr>
        <w:t>如不服本行政许可决定，你单位可在接到本行政许可决定之日起60日内向</w:t>
      </w:r>
      <w:r>
        <w:rPr>
          <w:rFonts w:hint="eastAsia" w:ascii="仿宋_GB2312" w:eastAsia="仿宋_GB2312"/>
          <w:color w:val="000000" w:themeColor="text1"/>
          <w:sz w:val="32"/>
          <w:szCs w:val="32"/>
        </w:rPr>
        <w:t>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p>
    <w:p>
      <w:pPr>
        <w:pStyle w:val="19"/>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000000" w:themeColor="text1"/>
          <w:sz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广州市生态环境局</w:t>
      </w:r>
    </w:p>
    <w:p>
      <w:pPr>
        <w:keepNext w:val="0"/>
        <w:keepLines w:val="0"/>
        <w:pageBreakBefore w:val="0"/>
        <w:kinsoku/>
        <w:overflowPunct/>
        <w:topLinePunct w:val="0"/>
        <w:autoSpaceDE/>
        <w:autoSpaceDN/>
        <w:bidi w:val="0"/>
        <w:spacing w:line="560" w:lineRule="exact"/>
        <w:ind w:firstLine="5440" w:firstLineChars="17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日</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黑体" w:eastAsia="黑体"/>
          <w:color w:val="000000" w:themeColor="text1"/>
          <w:sz w:val="32"/>
          <w:szCs w:val="32"/>
        </w:rPr>
        <w:t>公开方式：</w:t>
      </w:r>
      <w:r>
        <w:rPr>
          <w:rFonts w:hint="eastAsia" w:ascii="仿宋_GB2312" w:eastAsia="仿宋_GB2312"/>
          <w:color w:val="000000" w:themeColor="text1"/>
          <w:sz w:val="32"/>
          <w:szCs w:val="32"/>
        </w:rPr>
        <w:t>主动公开</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抄送：广州市生态环境局番禺分局执法大队、第</w:t>
      </w:r>
      <w:r>
        <w:rPr>
          <w:rFonts w:hint="eastAsia" w:ascii="仿宋_GB2312" w:eastAsia="仿宋_GB2312"/>
          <w:color w:val="000000" w:themeColor="text1"/>
          <w:sz w:val="28"/>
          <w:szCs w:val="28"/>
          <w:lang w:eastAsia="zh-CN"/>
        </w:rPr>
        <w:t>四</w:t>
      </w:r>
      <w:r>
        <w:rPr>
          <w:rFonts w:hint="eastAsia" w:ascii="仿宋_GB2312" w:eastAsia="仿宋_GB2312"/>
          <w:color w:val="000000" w:themeColor="text1"/>
          <w:sz w:val="28"/>
          <w:szCs w:val="28"/>
        </w:rPr>
        <w:t>环境保护所，</w:t>
      </w:r>
      <w:r>
        <w:rPr>
          <w:rFonts w:hint="eastAsia" w:ascii="仿宋_GB2312" w:eastAsia="仿宋_GB2312"/>
          <w:color w:val="000000" w:themeColor="text1"/>
          <w:sz w:val="28"/>
          <w:szCs w:val="28"/>
          <w:lang w:eastAsia="zh-CN"/>
        </w:rPr>
        <w:t>广东本创环保顾问有限公司</w:t>
      </w:r>
      <w:r>
        <w:rPr>
          <w:rFonts w:hint="eastAsia" w:ascii="仿宋_GB2312" w:eastAsia="仿宋_GB2312"/>
          <w:color w:val="000000" w:themeColor="text1"/>
          <w:sz w:val="28"/>
          <w:szCs w:val="28"/>
        </w:rPr>
        <w:t>。</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w:t>
    </w:r>
    <w:r>
      <w:rPr>
        <w:rStyle w:val="10"/>
        <w:rFonts w:ascii="宋体" w:hAnsi="宋体"/>
        <w:sz w:val="28"/>
        <w:szCs w:val="28"/>
      </w:rPr>
      <w:fldChar w:fldCharType="end"/>
    </w:r>
    <w:r>
      <w:rPr>
        <w:rStyle w:val="10"/>
        <w:rFonts w:hint="eastAsia" w:ascii="宋体" w:hAnsi="宋体"/>
        <w:sz w:val="28"/>
        <w:szCs w:val="28"/>
      </w:rPr>
      <w:t xml:space="preserve"> —</w:t>
    </w:r>
  </w:p>
  <w:p>
    <w:pPr>
      <w:pStyle w:val="5"/>
      <w:ind w:right="360" w:firstLine="360"/>
      <w:jc w:val="center"/>
      <w:rPr>
        <w:rFonts w:ascii="Times New Roman" w:hAnsi="Times New Roman"/>
        <w:sz w:val="28"/>
        <w:szCs w:val="28"/>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58"/>
  <w:drawingGridVerticalSpacing w:val="6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CA51DC9"/>
    <w:rsid w:val="10864A25"/>
    <w:rsid w:val="10BF38FB"/>
    <w:rsid w:val="12737E91"/>
    <w:rsid w:val="12DA5DA1"/>
    <w:rsid w:val="20CF4E76"/>
    <w:rsid w:val="307C5365"/>
    <w:rsid w:val="30A22B85"/>
    <w:rsid w:val="38EB77CC"/>
    <w:rsid w:val="3AE822E0"/>
    <w:rsid w:val="3CC7607D"/>
    <w:rsid w:val="3DF1489B"/>
    <w:rsid w:val="3F9B3FC1"/>
    <w:rsid w:val="41171C7F"/>
    <w:rsid w:val="49887604"/>
    <w:rsid w:val="4AE22D88"/>
    <w:rsid w:val="4EB11A7C"/>
    <w:rsid w:val="4F586ABA"/>
    <w:rsid w:val="4F9C166D"/>
    <w:rsid w:val="58272CFA"/>
    <w:rsid w:val="59F57B8E"/>
    <w:rsid w:val="62973EAF"/>
    <w:rsid w:val="670A7A3E"/>
    <w:rsid w:val="6B2F71CC"/>
    <w:rsid w:val="73417714"/>
    <w:rsid w:val="77A5337F"/>
    <w:rsid w:val="7F7F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napToGrid w:val="0"/>
      <w:spacing w:before="60" w:after="160" w:line="259" w:lineRule="auto"/>
      <w:ind w:right="113"/>
    </w:pPr>
    <w:rPr>
      <w:kern w:val="0"/>
      <w:sz w:val="18"/>
      <w:szCs w:val="20"/>
    </w:rPr>
  </w:style>
  <w:style w:type="paragraph" w:styleId="3">
    <w:name w:val="annotation text"/>
    <w:basedOn w:val="1"/>
    <w:link w:val="15"/>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semiHidden/>
    <w:qFormat/>
    <w:uiPriority w:val="99"/>
    <w:rPr>
      <w:kern w:val="2"/>
      <w:sz w:val="18"/>
      <w:szCs w:val="18"/>
    </w:rPr>
  </w:style>
  <w:style w:type="character" w:customStyle="1" w:styleId="13">
    <w:name w:val="页脚 Char"/>
    <w:basedOn w:val="9"/>
    <w:link w:val="5"/>
    <w:qFormat/>
    <w:uiPriority w:val="99"/>
    <w:rPr>
      <w:kern w:val="2"/>
      <w:sz w:val="18"/>
      <w:szCs w:val="18"/>
    </w:rPr>
  </w:style>
  <w:style w:type="paragraph" w:customStyle="1" w:styleId="14">
    <w:name w:val="Char1"/>
    <w:basedOn w:val="1"/>
    <w:qFormat/>
    <w:uiPriority w:val="0"/>
    <w:pPr>
      <w:tabs>
        <w:tab w:val="left" w:pos="840"/>
      </w:tabs>
      <w:ind w:left="840" w:hanging="420"/>
    </w:pPr>
    <w:rPr>
      <w:rFonts w:ascii="Times New Roman" w:hAnsi="Times New Roman"/>
      <w:sz w:val="24"/>
      <w:szCs w:val="24"/>
    </w:rPr>
  </w:style>
  <w:style w:type="character" w:customStyle="1" w:styleId="15">
    <w:name w:val="批注文字 Char"/>
    <w:basedOn w:val="9"/>
    <w:link w:val="3"/>
    <w:semiHidden/>
    <w:qFormat/>
    <w:uiPriority w:val="99"/>
    <w:rPr>
      <w:kern w:val="2"/>
      <w:sz w:val="21"/>
      <w:szCs w:val="22"/>
    </w:rPr>
  </w:style>
  <w:style w:type="character" w:customStyle="1" w:styleId="16">
    <w:name w:val="批注主题 Char"/>
    <w:basedOn w:val="15"/>
    <w:link w:val="7"/>
    <w:semiHidden/>
    <w:qFormat/>
    <w:uiPriority w:val="99"/>
    <w:rPr>
      <w:b/>
      <w:bCs/>
    </w:rPr>
  </w:style>
  <w:style w:type="character" w:customStyle="1" w:styleId="17">
    <w:name w:val="批注框文本 Char"/>
    <w:basedOn w:val="9"/>
    <w:link w:val="4"/>
    <w:semiHidden/>
    <w:qFormat/>
    <w:uiPriority w:val="99"/>
    <w:rPr>
      <w:kern w:val="2"/>
      <w:sz w:val="18"/>
      <w:szCs w:val="18"/>
    </w:r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6</Pages>
  <Words>414</Words>
  <Characters>2364</Characters>
  <Lines>19</Lines>
  <Paragraphs>5</Paragraphs>
  <TotalTime>31</TotalTime>
  <ScaleCrop>false</ScaleCrop>
  <LinksUpToDate>false</LinksUpToDate>
  <CharactersWithSpaces>2773</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2012-12-06T03:13:00Z</cp:lastPrinted>
  <dcterms:modified xsi:type="dcterms:W3CDTF">2021-07-12T01:47:06Z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2052-11.1.0.10379</vt:lpwstr>
  </property>
  <property fmtid="{D5CDD505-2E9C-101B-9397-08002B2CF9AE}" pid="4" name="ICV">
    <vt:lpwstr>7B1C4AD2043649D185BF4A2F74748C72</vt:lpwstr>
  </property>
</Properties>
</file>