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ind w:right="-159" w:hanging="181"/>
        <w:jc w:val="center"/>
        <w:textAlignment w:val="auto"/>
        <w:rPr>
          <w:rFonts w:hint="eastAsia" w:ascii="公文小标宋简" w:eastAsia="公文小标宋简"/>
          <w:b/>
          <w:bCs/>
          <w:smallCaps/>
          <w:snapToGrid w:val="0"/>
          <w:color w:val="auto"/>
          <w:spacing w:val="56"/>
          <w:kern w:val="0"/>
          <w:sz w:val="72"/>
          <w:szCs w:val="72"/>
          <w:lang w:eastAsia="zh-CN"/>
        </w:rPr>
      </w:pPr>
    </w:p>
    <w:p>
      <w:pPr>
        <w:wordWrap w:val="0"/>
        <w:adjustRightInd w:val="0"/>
        <w:snapToGrid w:val="0"/>
        <w:spacing w:line="600" w:lineRule="exact"/>
        <w:ind w:firstLine="420" w:firstLineChars="200"/>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穗（番）环管影〔20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178</w:t>
      </w:r>
      <w:r>
        <w:rPr>
          <w:rFonts w:hint="eastAsia" w:ascii="仿宋_GB2312" w:eastAsia="仿宋_GB2312"/>
          <w:color w:val="auto"/>
          <w:sz w:val="32"/>
          <w:szCs w:val="32"/>
        </w:rPr>
        <w:t>号</w:t>
      </w:r>
    </w:p>
    <w:p>
      <w:pPr>
        <w:rPr>
          <w:rFonts w:ascii="黑体" w:eastAsia="黑体"/>
          <w:color w:val="auto"/>
        </w:rPr>
      </w:pPr>
    </w:p>
    <w:p>
      <w:pPr>
        <w:adjustRightInd w:val="0"/>
        <w:snapToGrid w:val="0"/>
        <w:spacing w:line="600" w:lineRule="exact"/>
        <w:rPr>
          <w:rFonts w:ascii="仿宋_GB2312"/>
          <w:color w:val="auto"/>
        </w:rPr>
      </w:pP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广州市生态环境局关于</w:t>
      </w:r>
      <w:r>
        <w:rPr>
          <w:rFonts w:hint="eastAsia" w:ascii="方正小标宋简体" w:eastAsia="方正小标宋简体"/>
          <w:color w:val="auto"/>
          <w:sz w:val="44"/>
          <w:szCs w:val="44"/>
          <w:lang w:eastAsia="zh-CN"/>
        </w:rPr>
        <w:t>广州圣图机械加工</w:t>
      </w:r>
    </w:p>
    <w:p>
      <w:pPr>
        <w:spacing w:line="56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有限公司年产电梯配件5万件建设项目</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环境影响报告表的批复</w:t>
      </w:r>
    </w:p>
    <w:p>
      <w:pPr>
        <w:rPr>
          <w:rFonts w:ascii="仿宋_GB2312" w:eastAsia="仿宋_GB2312"/>
          <w:color w:val="auto"/>
          <w:sz w:val="32"/>
          <w:szCs w:val="32"/>
        </w:rPr>
      </w:pPr>
    </w:p>
    <w:p>
      <w:pPr>
        <w:keepNext w:val="0"/>
        <w:keepLines w:val="0"/>
        <w:pageBreakBefore w:val="0"/>
        <w:kinsoku/>
        <w:wordWrap/>
        <w:overflowPunct/>
        <w:topLinePunct w:val="0"/>
        <w:autoSpaceDE/>
        <w:autoSpaceDN/>
        <w:bidi w:val="0"/>
        <w:spacing w:line="520" w:lineRule="exact"/>
        <w:textAlignment w:val="auto"/>
        <w:rPr>
          <w:rFonts w:hint="eastAsia" w:ascii="仿宋_GB2312" w:eastAsia="仿宋_GB2312" w:cs="Times New Roman"/>
          <w:color w:val="auto"/>
          <w:sz w:val="32"/>
          <w:szCs w:val="32"/>
        </w:rPr>
      </w:pPr>
      <w:r>
        <w:rPr>
          <w:rFonts w:hint="eastAsia" w:ascii="仿宋_GB2312" w:eastAsia="仿宋_GB2312" w:cs="Times New Roman"/>
          <w:color w:val="auto"/>
          <w:sz w:val="32"/>
          <w:szCs w:val="32"/>
          <w:lang w:eastAsia="zh-CN"/>
        </w:rPr>
        <w:t>广州圣图机械加工有限公司</w:t>
      </w:r>
      <w:r>
        <w:rPr>
          <w:rFonts w:hint="eastAsia" w:ascii="仿宋_GB2312" w:eastAsia="仿宋_GB2312" w:cs="Times New Roman"/>
          <w:color w:val="auto"/>
          <w:sz w:val="32"/>
          <w:szCs w:val="32"/>
        </w:rPr>
        <w:t>（91440101MA9XR7TH3T）：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广州圣图机械加工有限公司年产电梯配件5万件建设项目</w:t>
      </w:r>
      <w:r>
        <w:rPr>
          <w:rFonts w:hint="eastAsia" w:ascii="仿宋_GB2312" w:eastAsia="仿宋_GB2312"/>
          <w:color w:val="auto"/>
          <w:sz w:val="32"/>
          <w:szCs w:val="32"/>
        </w:rPr>
        <w:t>环境影响报告表》（以下简称“《报告表》”）及附送资料收悉。经研究，现批复如下：</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广州圣图机械加工有限公司年产电梯配件5万件建设项目</w:t>
      </w:r>
      <w:r>
        <w:rPr>
          <w:rFonts w:hint="eastAsia" w:ascii="仿宋_GB2312" w:eastAsia="仿宋_GB2312"/>
          <w:color w:val="auto"/>
          <w:sz w:val="32"/>
          <w:szCs w:val="32"/>
        </w:rPr>
        <w:t>（以下简称“该项目”）位于广州市番禺</w:t>
      </w:r>
      <w:r>
        <w:rPr>
          <w:rFonts w:hint="eastAsia" w:ascii="仿宋_GB2312" w:eastAsia="仿宋_GB2312" w:cs="Times New Roman"/>
          <w:color w:val="auto"/>
          <w:sz w:val="32"/>
          <w:szCs w:val="32"/>
          <w:lang w:eastAsia="zh-CN"/>
        </w:rPr>
        <w:t>区石碁镇小龙东岗街2号5栋、6栋，</w:t>
      </w:r>
      <w:r>
        <w:rPr>
          <w:rFonts w:hint="eastAsia" w:ascii="仿宋_GB2312" w:eastAsia="仿宋_GB2312"/>
          <w:color w:val="auto"/>
          <w:sz w:val="32"/>
          <w:szCs w:val="32"/>
        </w:rPr>
        <w:t>申报内容为</w:t>
      </w:r>
      <w:r>
        <w:rPr>
          <w:rFonts w:hint="default" w:ascii="仿宋_GB2312" w:eastAsia="仿宋_GB2312"/>
          <w:color w:val="auto"/>
          <w:sz w:val="32"/>
          <w:szCs w:val="32"/>
          <w:lang w:val="en-US" w:eastAsia="zh-CN"/>
        </w:rPr>
        <w:t>年产电梯配件</w:t>
      </w:r>
      <w:r>
        <w:rPr>
          <w:rFonts w:hint="eastAsia" w:ascii="仿宋_GB2312" w:eastAsia="仿宋_GB2312"/>
          <w:color w:val="auto"/>
          <w:sz w:val="32"/>
          <w:szCs w:val="32"/>
          <w:lang w:val="en-US" w:eastAsia="zh-CN"/>
        </w:rPr>
        <w:t>5万件（包括</w:t>
      </w:r>
      <w:r>
        <w:rPr>
          <w:rFonts w:hint="eastAsia" w:ascii="仿宋_GB2312" w:eastAsia="仿宋_GB2312"/>
          <w:color w:val="auto"/>
          <w:sz w:val="32"/>
          <w:szCs w:val="32"/>
        </w:rPr>
        <w:t>轿底架</w:t>
      </w:r>
      <w:r>
        <w:rPr>
          <w:rFonts w:hint="eastAsia" w:ascii="仿宋_GB2312" w:eastAsia="仿宋_GB2312"/>
          <w:color w:val="auto"/>
          <w:sz w:val="32"/>
          <w:szCs w:val="32"/>
          <w:lang w:val="en-US" w:eastAsia="zh-CN"/>
        </w:rPr>
        <w:t>8000件、</w:t>
      </w:r>
      <w:r>
        <w:rPr>
          <w:rFonts w:hint="eastAsia" w:ascii="仿宋_GB2312" w:eastAsia="仿宋_GB2312"/>
          <w:color w:val="auto"/>
          <w:sz w:val="32"/>
          <w:szCs w:val="32"/>
        </w:rPr>
        <w:t>轿底</w:t>
      </w:r>
      <w:r>
        <w:rPr>
          <w:rFonts w:hint="eastAsia" w:ascii="仿宋_GB2312" w:eastAsia="仿宋_GB2312"/>
          <w:color w:val="auto"/>
          <w:sz w:val="32"/>
          <w:szCs w:val="32"/>
          <w:lang w:val="en-US" w:eastAsia="zh-CN"/>
        </w:rPr>
        <w:t>14000件、</w:t>
      </w:r>
      <w:r>
        <w:rPr>
          <w:rFonts w:hint="eastAsia" w:ascii="仿宋_GB2312" w:eastAsia="仿宋_GB2312"/>
          <w:color w:val="auto"/>
          <w:sz w:val="32"/>
          <w:szCs w:val="32"/>
        </w:rPr>
        <w:t>盘车齿轮</w:t>
      </w:r>
      <w:r>
        <w:rPr>
          <w:rFonts w:hint="eastAsia" w:ascii="仿宋_GB2312" w:eastAsia="仿宋_GB2312"/>
          <w:color w:val="auto"/>
          <w:sz w:val="32"/>
          <w:szCs w:val="32"/>
          <w:lang w:val="en-US" w:eastAsia="zh-CN"/>
        </w:rPr>
        <w:t>10000件、</w:t>
      </w:r>
      <w:r>
        <w:rPr>
          <w:rFonts w:hint="eastAsia" w:ascii="仿宋_GB2312" w:eastAsia="仿宋_GB2312"/>
          <w:color w:val="auto"/>
          <w:sz w:val="32"/>
          <w:szCs w:val="32"/>
        </w:rPr>
        <w:t>支撑梁</w:t>
      </w:r>
      <w:r>
        <w:rPr>
          <w:rFonts w:hint="eastAsia" w:ascii="仿宋_GB2312" w:eastAsia="仿宋_GB2312"/>
          <w:color w:val="auto"/>
          <w:sz w:val="32"/>
          <w:szCs w:val="32"/>
          <w:lang w:val="en-US" w:eastAsia="zh-CN"/>
        </w:rPr>
        <w:t>9000件、</w:t>
      </w:r>
      <w:r>
        <w:rPr>
          <w:rFonts w:hint="default" w:ascii="仿宋_GB2312" w:eastAsia="仿宋_GB2312"/>
          <w:color w:val="auto"/>
          <w:sz w:val="32"/>
          <w:szCs w:val="32"/>
        </w:rPr>
        <w:t>反绳轮</w:t>
      </w:r>
      <w:r>
        <w:rPr>
          <w:rFonts w:hint="eastAsia" w:ascii="仿宋_GB2312" w:eastAsia="仿宋_GB2312"/>
          <w:color w:val="auto"/>
          <w:sz w:val="32"/>
          <w:szCs w:val="32"/>
          <w:lang w:val="en-US" w:eastAsia="zh-CN"/>
        </w:rPr>
        <w:t>9000件）</w:t>
      </w:r>
      <w:r>
        <w:rPr>
          <w:rFonts w:hint="eastAsia" w:ascii="仿宋_GB2312" w:eastAsia="仿宋_GB2312"/>
          <w:color w:val="auto"/>
          <w:sz w:val="32"/>
          <w:szCs w:val="32"/>
        </w:rPr>
        <w:t>。该项目占地面积</w:t>
      </w:r>
      <w:r>
        <w:rPr>
          <w:rFonts w:hint="eastAsia" w:ascii="仿宋_GB2312" w:eastAsia="仿宋_GB2312"/>
          <w:color w:val="auto"/>
          <w:sz w:val="32"/>
          <w:szCs w:val="32"/>
          <w:lang w:val="en-US" w:eastAsia="zh-CN"/>
        </w:rPr>
        <w:t>2500</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2500</w:t>
      </w:r>
      <w:r>
        <w:rPr>
          <w:rFonts w:hint="eastAsia" w:ascii="仿宋_GB2312" w:eastAsia="仿宋_GB2312"/>
          <w:color w:val="auto"/>
          <w:sz w:val="32"/>
          <w:szCs w:val="32"/>
        </w:rPr>
        <w:t>平方米，主要建筑物有</w:t>
      </w:r>
      <w:r>
        <w:rPr>
          <w:rFonts w:hint="eastAsia" w:ascii="仿宋_GB2312" w:eastAsia="仿宋_GB2312"/>
          <w:color w:val="auto"/>
          <w:sz w:val="32"/>
          <w:szCs w:val="32"/>
          <w:lang w:val="en-US" w:eastAsia="zh-CN"/>
        </w:rPr>
        <w:t>2栋单层厂房；主要设备有切割机1台、数控车床3台、电焊机1台、抛丸机1台、普通喷粉固化环形自动线1条（设有3个喷粉房，内含喷粉柜3套、自动喷粉枪8支、手动喷粉枪4支、往复机2台、静电机12台；配套隧道固化炉（含燃烧机）1套）、大件喷粉固化环形自动线1条（设有1个喷粉房，内含喷粉柜1套、手动喷粉枪2支、静电机2台；配套箱式固化炉（含燃烧机）1套）、空压机1台、手动喷漆枪2支、喷漆房（6m*6m*2.5m）1间等；员工20名，内部不安排食宿。该项目不涉及酸洗、磷化、陶化、电镀等前处理工序。</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180</w:t>
      </w:r>
      <w:r>
        <w:rPr>
          <w:rFonts w:hint="eastAsia" w:ascii="仿宋_GB2312" w:eastAsia="仿宋_GB2312"/>
          <w:color w:val="auto"/>
          <w:sz w:val="32"/>
          <w:szCs w:val="32"/>
        </w:rPr>
        <w:t>吨/年。</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有机废气排放执</w:t>
      </w:r>
      <w:r>
        <w:rPr>
          <w:rFonts w:hint="eastAsia" w:ascii="仿宋_GB2312" w:eastAsia="仿宋_GB2312" w:cs="Times New Roman"/>
          <w:color w:val="auto"/>
          <w:sz w:val="32"/>
          <w:szCs w:val="32"/>
          <w:lang w:eastAsia="zh-CN"/>
        </w:rPr>
        <w:t>行</w:t>
      </w:r>
      <w:r>
        <w:rPr>
          <w:rFonts w:hint="eastAsia" w:ascii="仿宋_GB2312" w:eastAsia="仿宋_GB2312" w:cs="Times New Roman"/>
          <w:color w:val="auto"/>
          <w:sz w:val="32"/>
          <w:szCs w:val="32"/>
        </w:rPr>
        <w:t>《表面涂装（汽车制造业）挥发性有机化合物排放标准》（DB44/816-2010）烘干室排放标准及</w:t>
      </w:r>
      <w:r>
        <w:rPr>
          <w:rFonts w:hint="eastAsia" w:ascii="仿宋_GB2312" w:eastAsia="仿宋_GB2312" w:cs="Times New Roman"/>
          <w:color w:val="auto"/>
          <w:sz w:val="32"/>
          <w:szCs w:val="32"/>
          <w:lang w:eastAsia="zh-CN"/>
        </w:rPr>
        <w:t>无组织排放监控点浓度限值。臭气浓度排放执行《恶臭污染物排放标准》（GB14554-93）表1新扩改建厂界二级标准和表2排气筒排放标准</w:t>
      </w:r>
      <w:r>
        <w:rPr>
          <w:rFonts w:ascii="仿宋_GB2312" w:eastAsia="仿宋_GB2312"/>
          <w:color w:val="auto"/>
          <w:sz w:val="32"/>
          <w:szCs w:val="32"/>
        </w:rPr>
        <w:t>。</w:t>
      </w:r>
      <w:r>
        <w:rPr>
          <w:rFonts w:hint="eastAsia" w:ascii="仿宋_GB2312" w:eastAsia="仿宋_GB2312"/>
          <w:color w:val="auto"/>
          <w:sz w:val="32"/>
          <w:szCs w:val="32"/>
          <w:lang w:eastAsia="zh-CN"/>
        </w:rPr>
        <w:t>其他大气污染物</w:t>
      </w:r>
      <w:r>
        <w:rPr>
          <w:rFonts w:hint="eastAsia" w:ascii="仿宋_GB2312" w:eastAsia="仿宋_GB2312" w:cs="Times New Roman"/>
          <w:color w:val="auto"/>
          <w:sz w:val="32"/>
          <w:szCs w:val="32"/>
        </w:rPr>
        <w:t>排放</w:t>
      </w:r>
      <w:r>
        <w:rPr>
          <w:rFonts w:hint="eastAsia" w:ascii="仿宋_GB2312" w:eastAsia="仿宋_GB2312"/>
          <w:color w:val="auto"/>
          <w:sz w:val="32"/>
          <w:szCs w:val="32"/>
        </w:rPr>
        <w:t>执行广东省《大气污染物排放限值》（DB44/27-2001）第二时段</w:t>
      </w:r>
      <w:r>
        <w:rPr>
          <w:rFonts w:hint="eastAsia" w:ascii="仿宋_GB2312" w:eastAsia="仿宋_GB2312"/>
          <w:color w:val="auto"/>
          <w:sz w:val="32"/>
          <w:szCs w:val="32"/>
          <w:lang w:eastAsia="zh-CN"/>
        </w:rPr>
        <w:t>二</w:t>
      </w:r>
      <w:r>
        <w:rPr>
          <w:rFonts w:hint="eastAsia" w:ascii="仿宋_GB2312" w:eastAsia="仿宋_GB2312"/>
          <w:color w:val="auto"/>
          <w:sz w:val="32"/>
          <w:szCs w:val="32"/>
        </w:rPr>
        <w:t>级标准及无组织排放监控浓度限值。</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（三）边界噪声排放执行《工业企业厂界环境噪声排放标准》（GB12348-2008）2类区限值，即：昼间≤60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，夜间≤50</w:t>
      </w:r>
      <w:r>
        <w:rPr>
          <w:rFonts w:hint="eastAsia" w:ascii="仿宋_GB2312" w:eastAsia="仿宋_GB2312"/>
          <w:color w:val="auto"/>
          <w:sz w:val="32"/>
          <w:szCs w:val="32"/>
          <w:lang w:val="en-US" w:eastAsia="zh-CN"/>
        </w:rPr>
        <w:t>dB(A)</w:t>
      </w:r>
      <w:r>
        <w:rPr>
          <w:rFonts w:hint="eastAsia" w:ascii="仿宋_GB2312" w:eastAsia="仿宋_GB2312"/>
          <w:color w:val="auto"/>
          <w:sz w:val="32"/>
          <w:szCs w:val="32"/>
        </w:rPr>
        <w:t>。</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（一）项目排水系统采用雨污分流。</w:t>
      </w:r>
      <w:r>
        <w:rPr>
          <w:rFonts w:hint="eastAsia" w:ascii="仿宋_GB2312" w:eastAsia="仿宋_GB2312"/>
          <w:color w:val="auto"/>
          <w:sz w:val="32"/>
          <w:szCs w:val="32"/>
          <w:lang w:val="en-US" w:eastAsia="zh-CN"/>
        </w:rPr>
        <w:t>喷淋废水和水帘柜废水</w:t>
      </w:r>
      <w:r>
        <w:rPr>
          <w:rFonts w:hint="eastAsia" w:ascii="仿宋_GB2312" w:eastAsia="仿宋_GB2312"/>
          <w:color w:val="auto"/>
          <w:sz w:val="32"/>
          <w:szCs w:val="32"/>
          <w:lang w:eastAsia="zh-CN"/>
        </w:rPr>
        <w:t>循环使用不外排，定期更换后交由有资质的单位处理。</w:t>
      </w:r>
      <w:r>
        <w:rPr>
          <w:rFonts w:hint="eastAsia" w:ascii="仿宋_GB2312" w:eastAsia="仿宋_GB2312"/>
          <w:color w:val="auto"/>
          <w:sz w:val="32"/>
          <w:szCs w:val="32"/>
        </w:rPr>
        <w:t>生活污水</w:t>
      </w:r>
      <w:r>
        <w:rPr>
          <w:rFonts w:hint="eastAsia" w:ascii="仿宋_GB2312" w:eastAsia="仿宋_GB2312"/>
          <w:color w:val="auto"/>
          <w:sz w:val="32"/>
          <w:szCs w:val="32"/>
          <w:lang w:eastAsia="zh-CN"/>
        </w:rPr>
        <w:t>经化粪池预处理后，经</w:t>
      </w:r>
      <w:r>
        <w:rPr>
          <w:rFonts w:ascii="仿宋_GB2312" w:eastAsia="仿宋_GB2312"/>
          <w:color w:val="auto"/>
          <w:sz w:val="32"/>
          <w:szCs w:val="32"/>
        </w:rPr>
        <w:t>市政排污管网</w:t>
      </w:r>
      <w:r>
        <w:rPr>
          <w:rFonts w:hint="eastAsia" w:eastAsia="仿宋_GB2312"/>
          <w:color w:val="auto"/>
          <w:sz w:val="32"/>
          <w:szCs w:val="32"/>
        </w:rPr>
        <w:t>排入</w:t>
      </w:r>
      <w:r>
        <w:rPr>
          <w:rFonts w:hint="eastAsia" w:eastAsia="仿宋_GB2312"/>
          <w:color w:val="auto"/>
          <w:sz w:val="32"/>
          <w:szCs w:val="32"/>
          <w:lang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eastAsia="zh-CN"/>
        </w:rPr>
        <w:t>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（二）项目应严格执行《挥发性有机物无组织排放控制标准》（GB37822-2019）的各项控制要求</w:t>
      </w:r>
      <w:r>
        <w:rPr>
          <w:rFonts w:hint="eastAsia" w:ascii="仿宋_GB2312" w:eastAsia="仿宋_GB2312"/>
          <w:color w:val="auto"/>
          <w:sz w:val="32"/>
          <w:szCs w:val="32"/>
          <w:lang w:eastAsia="zh-CN"/>
        </w:rPr>
        <w:t>。焊接烟尘经</w:t>
      </w:r>
      <w:r>
        <w:rPr>
          <w:rFonts w:hint="default" w:ascii="仿宋_GB2312" w:eastAsia="仿宋_GB2312"/>
          <w:color w:val="auto"/>
          <w:sz w:val="32"/>
          <w:szCs w:val="32"/>
        </w:rPr>
        <w:t>移动式焊接烟尘净化器</w:t>
      </w:r>
      <w:r>
        <w:rPr>
          <w:rFonts w:hint="eastAsia" w:ascii="仿宋_GB2312" w:eastAsia="仿宋_GB2312"/>
          <w:color w:val="auto"/>
          <w:sz w:val="32"/>
          <w:szCs w:val="32"/>
          <w:lang w:eastAsia="zh-CN"/>
        </w:rPr>
        <w:t>收集处理后无组织排放；抛丸金属粉尘经收集后配套</w:t>
      </w:r>
      <w:r>
        <w:rPr>
          <w:rFonts w:hint="eastAsia" w:ascii="仿宋_GB2312" w:eastAsia="仿宋_GB2312"/>
          <w:color w:val="auto"/>
          <w:sz w:val="32"/>
          <w:szCs w:val="32"/>
          <w:lang w:val="en-US" w:eastAsia="zh-CN"/>
        </w:rPr>
        <w:t>“脉冲滤筒除尘器+水喷淋”装置处理后通过不低于15米高排气筒排放；喷粉粉尘经收集后配</w:t>
      </w:r>
      <w:r>
        <w:rPr>
          <w:rFonts w:hint="eastAsia" w:ascii="仿宋_GB2312" w:eastAsia="仿宋_GB2312" w:cs="Times New Roman"/>
          <w:color w:val="auto"/>
          <w:sz w:val="32"/>
          <w:szCs w:val="32"/>
          <w:lang w:val="en-US" w:eastAsia="zh-CN"/>
        </w:rPr>
        <w:t>套“一级8芯回收滤筒+脉冲滤筒除尘器”装置处理后通</w:t>
      </w:r>
      <w:r>
        <w:rPr>
          <w:rFonts w:hint="eastAsia" w:ascii="仿宋_GB2312" w:eastAsia="仿宋_GB2312"/>
          <w:color w:val="auto"/>
          <w:sz w:val="32"/>
          <w:szCs w:val="32"/>
          <w:lang w:val="en-US" w:eastAsia="zh-CN"/>
        </w:rPr>
        <w:t>过不低于15米高排气筒排放；喷漆房设置为独立密闭车间，项目仅使用水性漆，喷漆房产生的废气经水帘柜预处理后与</w:t>
      </w:r>
      <w:r>
        <w:rPr>
          <w:rFonts w:hint="eastAsia" w:ascii="仿宋_GB2312" w:eastAsia="仿宋_GB2312" w:cs="Times New Roman"/>
          <w:color w:val="auto"/>
          <w:sz w:val="32"/>
          <w:szCs w:val="32"/>
          <w:lang w:eastAsia="zh-CN"/>
        </w:rPr>
        <w:t>固化工序产生的有机废气和燃烧烟气一</w:t>
      </w:r>
      <w:r>
        <w:rPr>
          <w:rFonts w:hint="eastAsia" w:ascii="仿宋_GB2312" w:eastAsia="仿宋_GB2312" w:cs="Times New Roman"/>
          <w:color w:val="auto"/>
          <w:sz w:val="32"/>
          <w:szCs w:val="32"/>
          <w:lang w:val="en-US" w:eastAsia="zh-CN"/>
        </w:rPr>
        <w:t>并经“水喷淋+除雾器+二级活性炭吸附装置”处理后通过不低于15米高排气筒排放。项目设置废气排放口3</w:t>
      </w:r>
      <w:r>
        <w:rPr>
          <w:rFonts w:hint="eastAsia" w:ascii="仿宋_GB2312" w:eastAsia="仿宋_GB2312"/>
          <w:color w:val="auto"/>
          <w:sz w:val="32"/>
          <w:szCs w:val="32"/>
        </w:rPr>
        <w:t>个。</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废活性炭、水性油漆桶、漆渣、水帘柜废水、喷淋塔废水、废抹布及手套</w:t>
      </w:r>
      <w:r>
        <w:rPr>
          <w:rFonts w:hint="eastAsia" w:ascii="仿宋_GB2312" w:eastAsia="仿宋_GB2312" w:cs="Times New Roman"/>
          <w:color w:val="auto"/>
          <w:sz w:val="32"/>
          <w:szCs w:val="32"/>
        </w:rPr>
        <w:t>等</w:t>
      </w:r>
      <w:r>
        <w:rPr>
          <w:rFonts w:hint="eastAsia" w:ascii="仿宋_GB2312" w:eastAsia="仿宋_GB2312" w:cs="Times New Roman"/>
          <w:color w:val="auto"/>
          <w:sz w:val="32"/>
          <w:szCs w:val="32"/>
          <w:lang w:eastAsia="zh-CN"/>
        </w:rPr>
        <w:t>属于</w:t>
      </w:r>
      <w:r>
        <w:rPr>
          <w:rFonts w:hint="eastAsia" w:ascii="仿宋_GB2312" w:eastAsia="仿宋_GB2312" w:cs="Times New Roman"/>
          <w:color w:val="auto"/>
          <w:sz w:val="32"/>
          <w:szCs w:val="32"/>
        </w:rPr>
        <w:t>危险废物</w:t>
      </w:r>
      <w:r>
        <w:rPr>
          <w:rFonts w:hint="eastAsia" w:ascii="仿宋_GB2312" w:eastAsia="仿宋_GB2312" w:cs="Times New Roman"/>
          <w:color w:val="auto"/>
          <w:sz w:val="32"/>
          <w:szCs w:val="32"/>
          <w:lang w:eastAsia="zh-CN"/>
        </w:rPr>
        <w:t>的</w:t>
      </w:r>
      <w:r>
        <w:rPr>
          <w:rFonts w:hint="eastAsia" w:ascii="仿宋_GB2312" w:eastAsia="仿宋_GB2312" w:cs="Times New Roman"/>
          <w:color w:val="auto"/>
          <w:sz w:val="32"/>
          <w:szCs w:val="32"/>
        </w:rPr>
        <w:t>须设置符合《危险废物贮存污染控制标</w:t>
      </w:r>
      <w:r>
        <w:rPr>
          <w:rFonts w:hint="eastAsia" w:ascii="仿宋_GB2312" w:eastAsia="仿宋_GB2312"/>
          <w:color w:val="auto"/>
          <w:sz w:val="32"/>
          <w:szCs w:val="32"/>
        </w:rPr>
        <w:t>准》（GB18597-2001）要求的专用贮存场所存放并委托具备危险废物处理资质的机构处理。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wordWrap/>
        <w:overflowPunct/>
        <w:topLinePunct w:val="0"/>
        <w:autoSpaceDE/>
        <w:autoSpaceDN/>
        <w:bidi w:val="0"/>
        <w:spacing w:line="520" w:lineRule="exact"/>
        <w:textAlignment w:val="auto"/>
        <w:rPr>
          <w:rFonts w:ascii="仿宋_GB2312" w:eastAsia="仿宋_GB2312"/>
          <w:color w:val="auto"/>
          <w:sz w:val="32"/>
          <w:szCs w:val="32"/>
        </w:rPr>
      </w:pPr>
      <w:r>
        <w:rPr>
          <w:rFonts w:hint="eastAsia" w:ascii="仿宋_GB2312" w:eastAsia="仿宋_GB2312"/>
          <w:color w:val="auto"/>
          <w:sz w:val="32"/>
          <w:szCs w:val="32"/>
        </w:rPr>
        <w:t xml:space="preserve">    （一）项目竣工后，建设单位应当按照国务院生态环境行政主管部门规定的标准</w:t>
      </w:r>
      <w:r>
        <w:rPr>
          <w:rFonts w:hint="eastAsia" w:ascii="仿宋_GB2312" w:eastAsia="仿宋_GB2312"/>
          <w:color w:val="auto"/>
          <w:sz w:val="32"/>
          <w:szCs w:val="32"/>
          <w:lang w:eastAsia="zh-CN"/>
        </w:rPr>
        <w:t>、</w:t>
      </w:r>
      <w:r>
        <w:rPr>
          <w:rFonts w:hint="eastAsia" w:ascii="仿宋_GB2312" w:eastAsia="仿宋_GB2312"/>
          <w:color w:val="auto"/>
          <w:sz w:val="32"/>
          <w:szCs w:val="32"/>
        </w:rPr>
        <w:t>程序</w:t>
      </w:r>
      <w:r>
        <w:rPr>
          <w:rFonts w:hint="eastAsia" w:ascii="仿宋_GB2312" w:eastAsia="仿宋_GB2312"/>
          <w:color w:val="auto"/>
          <w:sz w:val="32"/>
          <w:szCs w:val="32"/>
          <w:lang w:eastAsia="zh-CN"/>
        </w:rPr>
        <w:t>、时限</w:t>
      </w:r>
      <w:r>
        <w:rPr>
          <w:rFonts w:hint="eastAsia" w:ascii="仿宋_GB2312" w:eastAsia="仿宋_GB2312"/>
          <w:color w:val="auto"/>
          <w:sz w:val="32"/>
          <w:szCs w:val="32"/>
        </w:rPr>
        <w:t>，对配套建设的环境保护设施进行验收，编制验收报告，依法向社会公开。</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pPr>
        <w:pStyle w:val="21"/>
        <w:keepNext w:val="0"/>
        <w:keepLines w:val="0"/>
        <w:pageBreakBefore w:val="0"/>
        <w:kinsoku/>
        <w:wordWrap/>
        <w:overflowPunct/>
        <w:topLinePunct w:val="0"/>
        <w:autoSpaceDE/>
        <w:autoSpaceDN/>
        <w:bidi w:val="0"/>
        <w:spacing w:line="520" w:lineRule="exact"/>
        <w:textAlignment w:val="auto"/>
        <w:rPr>
          <w:rFonts w:ascii="仿宋_GB2312" w:hAnsi="仿宋" w:eastAsia="仿宋_GB2312"/>
          <w:color w:val="auto"/>
          <w:sz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七</w:t>
      </w:r>
      <w:r>
        <w:rPr>
          <w:rFonts w:hint="eastAsia" w:ascii="仿宋_GB2312" w:eastAsia="仿宋_GB2312"/>
          <w:color w:val="auto"/>
          <w:sz w:val="32"/>
          <w:szCs w:val="32"/>
        </w:rPr>
        <w:t>、</w:t>
      </w:r>
      <w:r>
        <w:rPr>
          <w:rFonts w:hint="eastAsia" w:ascii="仿宋_GB2312" w:hAnsi="Calibri" w:eastAsia="仿宋_GB2312" w:cs="Times New Roman"/>
          <w:color w:val="auto"/>
          <w:kern w:val="2"/>
          <w:sz w:val="32"/>
          <w:szCs w:val="32"/>
          <w:lang w:val="en-US" w:eastAsia="zh-CN" w:bidi="ar-SA"/>
        </w:rPr>
        <w:t>如不服本行政许可决定，你单位可在接到本行政许可决定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r>
        <w:rPr>
          <w:rFonts w:hint="eastAsia" w:ascii="仿宋_GB2312" w:hAnsi="仿宋" w:eastAsia="仿宋_GB2312"/>
          <w:color w:val="auto"/>
          <w:sz w:val="32"/>
        </w:rPr>
        <w:t>。</w:t>
      </w:r>
    </w:p>
    <w:p>
      <w:pPr>
        <w:ind w:firstLine="640" w:firstLineChars="200"/>
        <w:rPr>
          <w:rFonts w:ascii="仿宋_GB2312" w:eastAsia="仿宋_GB2312"/>
          <w:color w:val="auto"/>
          <w:sz w:val="32"/>
          <w:szCs w:val="32"/>
        </w:rPr>
      </w:pPr>
    </w:p>
    <w:p>
      <w:pPr>
        <w:ind w:firstLine="640" w:firstLineChars="200"/>
        <w:rPr>
          <w:rFonts w:ascii="仿宋_GB2312" w:eastAsia="仿宋_GB2312"/>
          <w:color w:val="auto"/>
          <w:sz w:val="32"/>
          <w:szCs w:val="32"/>
        </w:rPr>
      </w:pPr>
      <w:bookmarkStart w:id="0" w:name="_GoBack"/>
      <w:bookmarkEnd w:id="0"/>
    </w:p>
    <w:p>
      <w:pPr>
        <w:rPr>
          <w:rFonts w:ascii="仿宋_GB2312" w:eastAsia="仿宋_GB2312"/>
          <w:color w:val="auto"/>
          <w:sz w:val="32"/>
          <w:szCs w:val="32"/>
        </w:rPr>
      </w:pPr>
    </w:p>
    <w:p>
      <w:pPr>
        <w:jc w:val="center"/>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pPr>
        <w:ind w:firstLine="5440" w:firstLineChars="1700"/>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日</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pPr>
        <w:rPr>
          <w:rFonts w:ascii="仿宋_GB2312" w:eastAsia="仿宋_GB2312"/>
          <w:color w:val="auto"/>
          <w:sz w:val="32"/>
          <w:szCs w:val="32"/>
        </w:rPr>
      </w:pPr>
    </w:p>
    <w:p>
      <w:pPr>
        <w:ind w:left="1133" w:leftChars="201" w:hanging="711" w:hangingChars="254"/>
        <w:rPr>
          <w:rFonts w:hint="eastAsia" w:ascii="仿宋_GB2312" w:eastAsia="仿宋_GB2312" w:cs="Times New Roman"/>
          <w:color w:val="auto"/>
          <w:sz w:val="28"/>
          <w:szCs w:val="28"/>
        </w:rPr>
      </w:pPr>
      <w:r>
        <w:rPr>
          <w:rFonts w:hint="eastAsia" w:ascii="仿宋_GB2312" w:eastAsia="仿宋_GB2312"/>
          <w:color w:val="auto"/>
          <w:sz w:val="28"/>
          <w:szCs w:val="28"/>
        </w:rPr>
        <w:t>抄送：广州市生态环境局番禺分局执法大队、第</w:t>
      </w:r>
      <w:r>
        <w:rPr>
          <w:rFonts w:hint="eastAsia" w:ascii="仿宋_GB2312" w:eastAsia="仿宋_GB2312"/>
          <w:color w:val="auto"/>
          <w:sz w:val="28"/>
          <w:szCs w:val="28"/>
          <w:lang w:eastAsia="zh-CN"/>
        </w:rPr>
        <w:t>四</w:t>
      </w:r>
      <w:r>
        <w:rPr>
          <w:rFonts w:hint="eastAsia" w:ascii="仿宋_GB2312" w:eastAsia="仿宋_GB2312"/>
          <w:color w:val="auto"/>
          <w:sz w:val="28"/>
          <w:szCs w:val="28"/>
        </w:rPr>
        <w:t>环境保</w:t>
      </w:r>
      <w:r>
        <w:rPr>
          <w:rFonts w:hint="eastAsia" w:ascii="仿宋_GB2312" w:eastAsia="仿宋_GB2312" w:cs="Times New Roman"/>
          <w:color w:val="auto"/>
          <w:sz w:val="28"/>
          <w:szCs w:val="28"/>
        </w:rPr>
        <w:t>护所，广东本创环保顾问有限公司。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5</w:t>
    </w:r>
    <w:r>
      <w:rPr>
        <w:rStyle w:val="12"/>
        <w:rFonts w:ascii="宋体" w:hAnsi="宋体"/>
        <w:sz w:val="28"/>
        <w:szCs w:val="28"/>
      </w:rPr>
      <w:fldChar w:fldCharType="end"/>
    </w:r>
    <w:r>
      <w:rPr>
        <w:rStyle w:val="12"/>
        <w:rFonts w:hint="eastAsia" w:ascii="宋体" w:hAnsi="宋体"/>
        <w:sz w:val="28"/>
        <w:szCs w:val="28"/>
      </w:rPr>
      <w:t xml:space="preserve"> —</w:t>
    </w:r>
  </w:p>
  <w:p>
    <w:pPr>
      <w:pStyle w:val="7"/>
      <w:ind w:right="360" w:firstLine="360"/>
      <w:jc w:val="center"/>
      <w:rPr>
        <w:rFonts w:ascii="Times New Roman" w:hAnsi="Times New Roman"/>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17099"/>
    <w:rsid w:val="00323B5E"/>
    <w:rsid w:val="00323D70"/>
    <w:rsid w:val="003275AA"/>
    <w:rsid w:val="00334F3A"/>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76BD4"/>
    <w:rsid w:val="00C850D2"/>
    <w:rsid w:val="00CC469B"/>
    <w:rsid w:val="00CC70BC"/>
    <w:rsid w:val="00CD225F"/>
    <w:rsid w:val="00CD3097"/>
    <w:rsid w:val="00CF1B16"/>
    <w:rsid w:val="00D01DA0"/>
    <w:rsid w:val="00D02618"/>
    <w:rsid w:val="00D0455B"/>
    <w:rsid w:val="00D205FC"/>
    <w:rsid w:val="00D37BB0"/>
    <w:rsid w:val="00D44326"/>
    <w:rsid w:val="00D55BFA"/>
    <w:rsid w:val="00D70C73"/>
    <w:rsid w:val="00D74A06"/>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426B"/>
    <w:rsid w:val="00ED656B"/>
    <w:rsid w:val="00EE0C36"/>
    <w:rsid w:val="00EE5C65"/>
    <w:rsid w:val="00EE5F9D"/>
    <w:rsid w:val="00F02188"/>
    <w:rsid w:val="00F05A97"/>
    <w:rsid w:val="00F1261C"/>
    <w:rsid w:val="00F27B34"/>
    <w:rsid w:val="00F8191D"/>
    <w:rsid w:val="00FA4830"/>
    <w:rsid w:val="00FB1867"/>
    <w:rsid w:val="00FB5B94"/>
    <w:rsid w:val="00FC49F0"/>
    <w:rsid w:val="00FD7864"/>
    <w:rsid w:val="00FF05C9"/>
    <w:rsid w:val="00FF121F"/>
    <w:rsid w:val="01EB6E32"/>
    <w:rsid w:val="027411C5"/>
    <w:rsid w:val="04762C44"/>
    <w:rsid w:val="04E411EF"/>
    <w:rsid w:val="06B2379B"/>
    <w:rsid w:val="07AB24AC"/>
    <w:rsid w:val="08A65797"/>
    <w:rsid w:val="0A5D668A"/>
    <w:rsid w:val="0ACF615C"/>
    <w:rsid w:val="0B480784"/>
    <w:rsid w:val="0BC8155A"/>
    <w:rsid w:val="0BEC1B81"/>
    <w:rsid w:val="0BFA0363"/>
    <w:rsid w:val="0DD3400F"/>
    <w:rsid w:val="0E574C0D"/>
    <w:rsid w:val="0EC86DE3"/>
    <w:rsid w:val="0F6F3558"/>
    <w:rsid w:val="114C0FBA"/>
    <w:rsid w:val="11EA6FA5"/>
    <w:rsid w:val="12103718"/>
    <w:rsid w:val="129105C8"/>
    <w:rsid w:val="12D2015F"/>
    <w:rsid w:val="132C3E78"/>
    <w:rsid w:val="13970C94"/>
    <w:rsid w:val="13E235B8"/>
    <w:rsid w:val="146656E7"/>
    <w:rsid w:val="15620E77"/>
    <w:rsid w:val="159B5E70"/>
    <w:rsid w:val="15F42214"/>
    <w:rsid w:val="160E777E"/>
    <w:rsid w:val="1C776E36"/>
    <w:rsid w:val="1DE10E8A"/>
    <w:rsid w:val="1DE13B5D"/>
    <w:rsid w:val="1FB2118E"/>
    <w:rsid w:val="204624CF"/>
    <w:rsid w:val="22255A6E"/>
    <w:rsid w:val="222703E0"/>
    <w:rsid w:val="233E1F0F"/>
    <w:rsid w:val="23754AAB"/>
    <w:rsid w:val="23D2168C"/>
    <w:rsid w:val="249247F6"/>
    <w:rsid w:val="25674D34"/>
    <w:rsid w:val="25BF11C2"/>
    <w:rsid w:val="276651BF"/>
    <w:rsid w:val="276B6942"/>
    <w:rsid w:val="287D3AC8"/>
    <w:rsid w:val="28F26E79"/>
    <w:rsid w:val="28F8269D"/>
    <w:rsid w:val="29790406"/>
    <w:rsid w:val="299F60BD"/>
    <w:rsid w:val="2A955F3F"/>
    <w:rsid w:val="2ABA4B5C"/>
    <w:rsid w:val="2ADA66C3"/>
    <w:rsid w:val="2BAD398C"/>
    <w:rsid w:val="2C097EE1"/>
    <w:rsid w:val="2DCC2522"/>
    <w:rsid w:val="2EA45AA3"/>
    <w:rsid w:val="2ECF1D55"/>
    <w:rsid w:val="2EE7139C"/>
    <w:rsid w:val="2F020088"/>
    <w:rsid w:val="2F6551D2"/>
    <w:rsid w:val="303729CE"/>
    <w:rsid w:val="3171131F"/>
    <w:rsid w:val="331152B7"/>
    <w:rsid w:val="35680428"/>
    <w:rsid w:val="36E62C2D"/>
    <w:rsid w:val="37035E34"/>
    <w:rsid w:val="37E067B2"/>
    <w:rsid w:val="381D2412"/>
    <w:rsid w:val="3880068B"/>
    <w:rsid w:val="388368E8"/>
    <w:rsid w:val="396A1AA1"/>
    <w:rsid w:val="396D05B1"/>
    <w:rsid w:val="3A337C5C"/>
    <w:rsid w:val="3A854E12"/>
    <w:rsid w:val="3BAB3236"/>
    <w:rsid w:val="3C410A3A"/>
    <w:rsid w:val="3C7839AE"/>
    <w:rsid w:val="3E642571"/>
    <w:rsid w:val="3EA13F59"/>
    <w:rsid w:val="3EA57716"/>
    <w:rsid w:val="3EC418CE"/>
    <w:rsid w:val="3EE3286A"/>
    <w:rsid w:val="3FCD4FBE"/>
    <w:rsid w:val="406968AE"/>
    <w:rsid w:val="409F0685"/>
    <w:rsid w:val="40D962BD"/>
    <w:rsid w:val="4254158E"/>
    <w:rsid w:val="45CC0FD8"/>
    <w:rsid w:val="462314FC"/>
    <w:rsid w:val="467B7D5A"/>
    <w:rsid w:val="47814053"/>
    <w:rsid w:val="484E1ECA"/>
    <w:rsid w:val="4BB104A1"/>
    <w:rsid w:val="4DCB7995"/>
    <w:rsid w:val="4DF25631"/>
    <w:rsid w:val="4E5C40A7"/>
    <w:rsid w:val="504F3E69"/>
    <w:rsid w:val="525A334C"/>
    <w:rsid w:val="531A09D4"/>
    <w:rsid w:val="54185A49"/>
    <w:rsid w:val="54D776C2"/>
    <w:rsid w:val="55DE3486"/>
    <w:rsid w:val="56BE1000"/>
    <w:rsid w:val="56D66353"/>
    <w:rsid w:val="575D25C1"/>
    <w:rsid w:val="57AD5DA6"/>
    <w:rsid w:val="58B7687D"/>
    <w:rsid w:val="59325261"/>
    <w:rsid w:val="59441E6C"/>
    <w:rsid w:val="59B813C5"/>
    <w:rsid w:val="5A58301C"/>
    <w:rsid w:val="5B17413D"/>
    <w:rsid w:val="5B2D4EE1"/>
    <w:rsid w:val="5B7F7FDD"/>
    <w:rsid w:val="5E196CB3"/>
    <w:rsid w:val="5F3B04E6"/>
    <w:rsid w:val="5F415960"/>
    <w:rsid w:val="5FD46FE3"/>
    <w:rsid w:val="61BF3230"/>
    <w:rsid w:val="622829AC"/>
    <w:rsid w:val="627807E9"/>
    <w:rsid w:val="62EF16EE"/>
    <w:rsid w:val="632A1897"/>
    <w:rsid w:val="639A11F8"/>
    <w:rsid w:val="64906875"/>
    <w:rsid w:val="64FB2066"/>
    <w:rsid w:val="65396CED"/>
    <w:rsid w:val="69DE6A91"/>
    <w:rsid w:val="69E21C57"/>
    <w:rsid w:val="6A3D6334"/>
    <w:rsid w:val="6A447119"/>
    <w:rsid w:val="6A693E86"/>
    <w:rsid w:val="6B9D1B68"/>
    <w:rsid w:val="6BCD2BFB"/>
    <w:rsid w:val="6F0F1EEA"/>
    <w:rsid w:val="6F7C446B"/>
    <w:rsid w:val="70C5363C"/>
    <w:rsid w:val="70CB2763"/>
    <w:rsid w:val="70F9788F"/>
    <w:rsid w:val="719F17D9"/>
    <w:rsid w:val="72FB2258"/>
    <w:rsid w:val="74482262"/>
    <w:rsid w:val="74A8123E"/>
    <w:rsid w:val="74B458C8"/>
    <w:rsid w:val="759F7DD8"/>
    <w:rsid w:val="773961FC"/>
    <w:rsid w:val="7A421DB0"/>
    <w:rsid w:val="7CEE36A6"/>
    <w:rsid w:val="7D007CCD"/>
    <w:rsid w:val="7F1A7300"/>
    <w:rsid w:val="7F8309A8"/>
    <w:rsid w:val="7FD3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Times New Roman" w:hAnsi="Times New Roman"/>
      <w:color w:val="000000"/>
      <w:sz w:val="24"/>
      <w:szCs w:val="24"/>
    </w:rPr>
  </w:style>
  <w:style w:type="paragraph" w:customStyle="1" w:styleId="3">
    <w:name w:val="纯文本1"/>
    <w:basedOn w:val="1"/>
    <w:qFormat/>
    <w:uiPriority w:val="0"/>
    <w:pPr>
      <w:adjustRightInd w:val="0"/>
    </w:pPr>
    <w:rPr>
      <w:rFonts w:ascii="宋体" w:hAnsi="Courier New"/>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paragraph" w:customStyle="1" w:styleId="16">
    <w:name w:val="Char1"/>
    <w:basedOn w:val="1"/>
    <w:qFormat/>
    <w:uiPriority w:val="0"/>
    <w:pPr>
      <w:tabs>
        <w:tab w:val="left" w:pos="840"/>
      </w:tabs>
      <w:ind w:left="840" w:hanging="420"/>
    </w:pPr>
    <w:rPr>
      <w:rFonts w:ascii="Times New Roman" w:hAnsi="Times New Roman"/>
      <w:sz w:val="24"/>
      <w:szCs w:val="24"/>
    </w:rPr>
  </w:style>
  <w:style w:type="character" w:customStyle="1" w:styleId="17">
    <w:name w:val="批注文字 Char"/>
    <w:basedOn w:val="11"/>
    <w:link w:val="5"/>
    <w:semiHidden/>
    <w:qFormat/>
    <w:uiPriority w:val="99"/>
    <w:rPr>
      <w:kern w:val="2"/>
      <w:sz w:val="21"/>
      <w:szCs w:val="22"/>
    </w:rPr>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6"/>
    <w:semiHidden/>
    <w:qFormat/>
    <w:uiPriority w:val="99"/>
    <w:rPr>
      <w:kern w:val="2"/>
      <w:sz w:val="18"/>
      <w:szCs w:val="18"/>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F6284-69BA-47B4-B5C8-A56EA158011C}">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5</Pages>
  <Words>372</Words>
  <Characters>2123</Characters>
  <Lines>17</Lines>
  <Paragraphs>4</Paragraphs>
  <TotalTime>21</TotalTime>
  <ScaleCrop>false</ScaleCrop>
  <LinksUpToDate>false</LinksUpToDate>
  <CharactersWithSpaces>2491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2019-11-19T02:50:00Z</dcterms:created>
  <dc:creator>Panyu EPB</dc:creator>
  <cp:lastModifiedBy>Administrator</cp:lastModifiedBy>
  <cp:lastPrinted>2012-12-06T03:13:00Z</cp:lastPrinted>
  <dcterms:modified xsi:type="dcterms:W3CDTF">2021-10-25T01:37:57Z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2052-11.1.0.10938</vt:lpwstr>
  </property>
  <property fmtid="{D5CDD505-2E9C-101B-9397-08002B2CF9AE}" pid="4" name="ICV">
    <vt:lpwstr>88E2DC40031C4AB09472AFF2E9A5E058</vt:lpwstr>
  </property>
</Properties>
</file>