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color w:val="424242"/>
          <w:sz w:val="32"/>
          <w:szCs w:val="32"/>
        </w:rPr>
      </w:pPr>
      <w:r>
        <w:rPr>
          <w:rFonts w:hint="eastAsia" w:ascii="仿宋_GB2312" w:hAnsi="黑体" w:eastAsia="仿宋_GB2312"/>
          <w:color w:val="424242"/>
          <w:sz w:val="32"/>
          <w:szCs w:val="32"/>
        </w:rPr>
        <w:t>附件1</w:t>
      </w:r>
    </w:p>
    <w:p>
      <w:pPr>
        <w:spacing w:line="520" w:lineRule="exact"/>
        <w:jc w:val="center"/>
        <w:rPr>
          <w:rFonts w:hint="eastAsia" w:ascii="方正小标宋简体" w:eastAsia="方正小标宋简体"/>
          <w:sz w:val="32"/>
        </w:rPr>
      </w:pPr>
      <w:bookmarkStart w:id="0" w:name="_GoBack"/>
      <w:r>
        <w:rPr>
          <w:rFonts w:hint="eastAsia" w:ascii="方正小标宋简体" w:eastAsia="方正小标宋简体"/>
          <w:sz w:val="32"/>
        </w:rPr>
        <w:t>番禺区来穗人员随迁子女积分制申请入读公办学校起始年级积分</w:t>
      </w:r>
    </w:p>
    <w:p>
      <w:pPr>
        <w:spacing w:line="520" w:lineRule="exact"/>
        <w:jc w:val="center"/>
        <w:rPr>
          <w:rFonts w:ascii="方正小标宋简体" w:eastAsia="方正小标宋简体"/>
          <w:sz w:val="32"/>
        </w:rPr>
      </w:pPr>
      <w:r>
        <w:rPr>
          <w:rFonts w:hint="eastAsia" w:ascii="方正小标宋简体" w:eastAsia="方正小标宋简体"/>
          <w:sz w:val="32"/>
        </w:rPr>
        <w:t>项目及标准一览表</w:t>
      </w:r>
      <w:bookmarkEnd w:id="0"/>
    </w:p>
    <w:tbl>
      <w:tblPr>
        <w:tblStyle w:val="2"/>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24"/>
        <w:gridCol w:w="839"/>
        <w:gridCol w:w="836"/>
        <w:gridCol w:w="1037"/>
        <w:gridCol w:w="850"/>
        <w:gridCol w:w="1701"/>
        <w:gridCol w:w="255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34" w:type="dxa"/>
            <w:shd w:val="clear" w:color="auto" w:fill="auto"/>
            <w:noWrap/>
            <w:vAlign w:val="center"/>
          </w:tcPr>
          <w:p>
            <w:pPr>
              <w:widowControl/>
              <w:spacing w:line="360" w:lineRule="exact"/>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类别</w:t>
            </w:r>
          </w:p>
        </w:tc>
        <w:tc>
          <w:tcPr>
            <w:tcW w:w="724" w:type="dxa"/>
            <w:shd w:val="clear" w:color="auto" w:fill="auto"/>
            <w:vAlign w:val="center"/>
          </w:tcPr>
          <w:p>
            <w:pPr>
              <w:widowControl/>
              <w:spacing w:line="360" w:lineRule="exact"/>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一级指标编号</w:t>
            </w:r>
          </w:p>
        </w:tc>
        <w:tc>
          <w:tcPr>
            <w:tcW w:w="839" w:type="dxa"/>
            <w:shd w:val="clear" w:color="auto" w:fill="auto"/>
            <w:vAlign w:val="center"/>
          </w:tcPr>
          <w:p>
            <w:pPr>
              <w:widowControl/>
              <w:spacing w:line="360" w:lineRule="exact"/>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一级指标</w:t>
            </w:r>
          </w:p>
          <w:p>
            <w:pPr>
              <w:widowControl/>
              <w:spacing w:line="360" w:lineRule="exact"/>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内   容</w:t>
            </w:r>
          </w:p>
        </w:tc>
        <w:tc>
          <w:tcPr>
            <w:tcW w:w="836" w:type="dxa"/>
            <w:shd w:val="clear" w:color="auto" w:fill="auto"/>
            <w:vAlign w:val="center"/>
          </w:tcPr>
          <w:p>
            <w:pPr>
              <w:widowControl/>
              <w:spacing w:line="360" w:lineRule="exact"/>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二级指标编号</w:t>
            </w:r>
          </w:p>
        </w:tc>
        <w:tc>
          <w:tcPr>
            <w:tcW w:w="1037" w:type="dxa"/>
            <w:shd w:val="clear" w:color="auto" w:fill="auto"/>
            <w:vAlign w:val="center"/>
          </w:tcPr>
          <w:p>
            <w:pPr>
              <w:widowControl/>
              <w:spacing w:line="360" w:lineRule="exact"/>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二级指标内   容</w:t>
            </w:r>
          </w:p>
        </w:tc>
        <w:tc>
          <w:tcPr>
            <w:tcW w:w="850" w:type="dxa"/>
            <w:shd w:val="clear" w:color="auto" w:fill="auto"/>
            <w:vAlign w:val="center"/>
          </w:tcPr>
          <w:p>
            <w:pPr>
              <w:widowControl/>
              <w:spacing w:line="360" w:lineRule="exact"/>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三级指标编号</w:t>
            </w:r>
          </w:p>
        </w:tc>
        <w:tc>
          <w:tcPr>
            <w:tcW w:w="1701" w:type="dxa"/>
            <w:shd w:val="clear" w:color="auto" w:fill="auto"/>
            <w:vAlign w:val="center"/>
          </w:tcPr>
          <w:p>
            <w:pPr>
              <w:widowControl/>
              <w:spacing w:line="360" w:lineRule="exact"/>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三级指标内容</w:t>
            </w:r>
          </w:p>
        </w:tc>
        <w:tc>
          <w:tcPr>
            <w:tcW w:w="3260" w:type="dxa"/>
            <w:gridSpan w:val="2"/>
            <w:shd w:val="clear" w:color="auto" w:fill="auto"/>
            <w:vAlign w:val="center"/>
          </w:tcPr>
          <w:p>
            <w:pPr>
              <w:widowControl/>
              <w:spacing w:line="360" w:lineRule="exact"/>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restart"/>
            <w:shd w:val="clear" w:color="auto" w:fill="auto"/>
            <w:noWrap/>
            <w:vAlign w:val="center"/>
          </w:tcPr>
          <w:p>
            <w:pPr>
              <w:widowControl/>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市积分制基础指标</w:t>
            </w:r>
          </w:p>
        </w:tc>
        <w:tc>
          <w:tcPr>
            <w:tcW w:w="724" w:type="dxa"/>
            <w:vMerge w:val="restart"/>
            <w:shd w:val="clear" w:color="auto" w:fill="auto"/>
            <w:vAlign w:val="center"/>
          </w:tcPr>
          <w:p>
            <w:pPr>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839" w:type="dxa"/>
            <w:vMerge w:val="restart"/>
            <w:shd w:val="clear" w:color="auto" w:fill="auto"/>
            <w:vAlign w:val="center"/>
          </w:tcPr>
          <w:p>
            <w:pPr>
              <w:widowControl/>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合法</w:t>
            </w:r>
          </w:p>
          <w:p>
            <w:pPr>
              <w:widowControl/>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稳定</w:t>
            </w:r>
          </w:p>
          <w:p>
            <w:pPr>
              <w:widowControl/>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w:t>
            </w:r>
          </w:p>
        </w:tc>
        <w:tc>
          <w:tcPr>
            <w:tcW w:w="836" w:type="dxa"/>
            <w:shd w:val="clear" w:color="auto" w:fill="auto"/>
            <w:vAlign w:val="center"/>
          </w:tcPr>
          <w:p>
            <w:pPr>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w:t>
            </w:r>
          </w:p>
        </w:tc>
        <w:tc>
          <w:tcPr>
            <w:tcW w:w="3588" w:type="dxa"/>
            <w:gridSpan w:val="3"/>
            <w:shd w:val="clear" w:color="auto" w:fill="auto"/>
            <w:vAlign w:val="center"/>
          </w:tcPr>
          <w:p>
            <w:pPr>
              <w:widowControl/>
              <w:spacing w:line="36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广东省居住证</w:t>
            </w:r>
          </w:p>
        </w:tc>
        <w:tc>
          <w:tcPr>
            <w:tcW w:w="3260" w:type="dxa"/>
            <w:gridSpan w:val="2"/>
            <w:vMerge w:val="restart"/>
            <w:shd w:val="clear" w:color="auto" w:fill="auto"/>
            <w:vAlign w:val="center"/>
          </w:tcPr>
          <w:p>
            <w:pPr>
              <w:widowControl/>
              <w:spacing w:line="360" w:lineRule="exact"/>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第1-10项积分以“广州市来穗人员积分制服务管理信息系统”审定结果为准。</w:t>
            </w:r>
          </w:p>
          <w:p>
            <w:pPr>
              <w:widowControl/>
              <w:spacing w:line="360" w:lineRule="exact"/>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由于广州市积分制</w:t>
            </w:r>
            <w:r>
              <w:rPr>
                <w:rFonts w:hint="eastAsia" w:asciiTheme="minorEastAsia" w:hAnsiTheme="minorEastAsia" w:eastAsiaTheme="minorEastAsia" w:cstheme="minorEastAsia"/>
                <w:sz w:val="21"/>
                <w:szCs w:val="21"/>
              </w:rPr>
              <w:t>申办的审核和认定需要一定的工作时限（从申请受理到获得积分需20个工作日左右），建议有需要提出积分申请入学的父（母）或监护人须提前足够时间，在“广州市来穗人员积分制服务管理信息系统”上提出积分申请或积分调整，预审通过后，持相关材料原件到受理窗口核验，以完成积分制的受理申请流程。</w:t>
            </w:r>
          </w:p>
          <w:p>
            <w:pPr>
              <w:widowControl/>
              <w:spacing w:line="360" w:lineRule="exact"/>
              <w:ind w:firstLine="420" w:firstLineChars="200"/>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34" w:type="dxa"/>
            <w:vMerge w:val="continue"/>
            <w:vAlign w:val="center"/>
          </w:tcPr>
          <w:p>
            <w:pPr>
              <w:widowControl/>
              <w:spacing w:line="360" w:lineRule="exact"/>
              <w:jc w:val="left"/>
              <w:rPr>
                <w:rFonts w:hint="eastAsia" w:asciiTheme="minorEastAsia" w:hAnsiTheme="minorEastAsia" w:eastAsiaTheme="minorEastAsia" w:cstheme="minorEastAsia"/>
                <w:color w:val="000000"/>
                <w:sz w:val="21"/>
                <w:szCs w:val="21"/>
              </w:rPr>
            </w:pPr>
          </w:p>
        </w:tc>
        <w:tc>
          <w:tcPr>
            <w:tcW w:w="724" w:type="dxa"/>
            <w:vMerge w:val="continue"/>
            <w:vAlign w:val="center"/>
          </w:tcPr>
          <w:p>
            <w:pPr>
              <w:spacing w:line="360" w:lineRule="exact"/>
              <w:jc w:val="center"/>
              <w:rPr>
                <w:rFonts w:hint="eastAsia" w:asciiTheme="minorEastAsia" w:hAnsiTheme="minorEastAsia" w:eastAsiaTheme="minorEastAsia" w:cstheme="minorEastAsia"/>
                <w:color w:val="000000"/>
                <w:sz w:val="21"/>
                <w:szCs w:val="21"/>
              </w:rPr>
            </w:pPr>
          </w:p>
        </w:tc>
        <w:tc>
          <w:tcPr>
            <w:tcW w:w="839" w:type="dxa"/>
            <w:vMerge w:val="continue"/>
            <w:vAlign w:val="center"/>
          </w:tcPr>
          <w:p>
            <w:pPr>
              <w:widowControl/>
              <w:spacing w:line="360" w:lineRule="exact"/>
              <w:jc w:val="left"/>
              <w:rPr>
                <w:rFonts w:hint="eastAsia" w:asciiTheme="minorEastAsia" w:hAnsiTheme="minorEastAsia" w:eastAsiaTheme="minorEastAsia" w:cstheme="minorEastAsia"/>
                <w:color w:val="000000"/>
                <w:sz w:val="21"/>
                <w:szCs w:val="21"/>
              </w:rPr>
            </w:pPr>
          </w:p>
        </w:tc>
        <w:tc>
          <w:tcPr>
            <w:tcW w:w="836" w:type="dxa"/>
            <w:shd w:val="clear" w:color="auto" w:fill="auto"/>
            <w:vAlign w:val="center"/>
          </w:tcPr>
          <w:p>
            <w:pPr>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c>
          <w:tcPr>
            <w:tcW w:w="3588" w:type="dxa"/>
            <w:gridSpan w:val="3"/>
            <w:shd w:val="clear" w:color="auto" w:fill="auto"/>
            <w:vAlign w:val="center"/>
          </w:tcPr>
          <w:p>
            <w:pPr>
              <w:widowControl/>
              <w:spacing w:line="36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在广州市累积居住年限</w:t>
            </w:r>
          </w:p>
        </w:tc>
        <w:tc>
          <w:tcPr>
            <w:tcW w:w="3260" w:type="dxa"/>
            <w:gridSpan w:val="2"/>
            <w:vMerge w:val="continue"/>
            <w:shd w:val="clear" w:color="auto" w:fill="auto"/>
            <w:vAlign w:val="center"/>
          </w:tcPr>
          <w:p>
            <w:pPr>
              <w:widowControl/>
              <w:spacing w:line="36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34" w:type="dxa"/>
            <w:vMerge w:val="continue"/>
            <w:vAlign w:val="center"/>
          </w:tcPr>
          <w:p>
            <w:pPr>
              <w:widowControl/>
              <w:spacing w:line="360" w:lineRule="exact"/>
              <w:jc w:val="left"/>
              <w:rPr>
                <w:rFonts w:hint="eastAsia" w:asciiTheme="minorEastAsia" w:hAnsiTheme="minorEastAsia" w:eastAsiaTheme="minorEastAsia" w:cstheme="minorEastAsia"/>
                <w:color w:val="000000"/>
                <w:sz w:val="21"/>
                <w:szCs w:val="21"/>
              </w:rPr>
            </w:pPr>
          </w:p>
        </w:tc>
        <w:tc>
          <w:tcPr>
            <w:tcW w:w="724" w:type="dxa"/>
            <w:vMerge w:val="continue"/>
            <w:vAlign w:val="center"/>
          </w:tcPr>
          <w:p>
            <w:pPr>
              <w:spacing w:line="360" w:lineRule="exact"/>
              <w:jc w:val="center"/>
              <w:rPr>
                <w:rFonts w:hint="eastAsia" w:asciiTheme="minorEastAsia" w:hAnsiTheme="minorEastAsia" w:eastAsiaTheme="minorEastAsia" w:cstheme="minorEastAsia"/>
                <w:color w:val="000000"/>
                <w:sz w:val="21"/>
                <w:szCs w:val="21"/>
              </w:rPr>
            </w:pPr>
          </w:p>
        </w:tc>
        <w:tc>
          <w:tcPr>
            <w:tcW w:w="839" w:type="dxa"/>
            <w:vMerge w:val="continue"/>
            <w:vAlign w:val="center"/>
          </w:tcPr>
          <w:p>
            <w:pPr>
              <w:widowControl/>
              <w:spacing w:line="360" w:lineRule="exact"/>
              <w:jc w:val="left"/>
              <w:rPr>
                <w:rFonts w:hint="eastAsia" w:asciiTheme="minorEastAsia" w:hAnsiTheme="minorEastAsia" w:eastAsiaTheme="minorEastAsia" w:cstheme="minorEastAsia"/>
                <w:color w:val="000000"/>
                <w:sz w:val="21"/>
                <w:szCs w:val="21"/>
              </w:rPr>
            </w:pPr>
          </w:p>
        </w:tc>
        <w:tc>
          <w:tcPr>
            <w:tcW w:w="836" w:type="dxa"/>
            <w:shd w:val="clear" w:color="auto" w:fill="auto"/>
            <w:vAlign w:val="center"/>
          </w:tcPr>
          <w:p>
            <w:pPr>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w:t>
            </w:r>
          </w:p>
        </w:tc>
        <w:tc>
          <w:tcPr>
            <w:tcW w:w="3588" w:type="dxa"/>
            <w:gridSpan w:val="3"/>
            <w:shd w:val="clear" w:color="auto" w:fill="auto"/>
            <w:vAlign w:val="center"/>
          </w:tcPr>
          <w:p>
            <w:pPr>
              <w:widowControl/>
              <w:spacing w:line="36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居住地转移</w:t>
            </w:r>
          </w:p>
        </w:tc>
        <w:tc>
          <w:tcPr>
            <w:tcW w:w="3260" w:type="dxa"/>
            <w:gridSpan w:val="2"/>
            <w:vMerge w:val="continue"/>
            <w:shd w:val="clear" w:color="auto" w:fill="auto"/>
            <w:vAlign w:val="center"/>
          </w:tcPr>
          <w:p>
            <w:pPr>
              <w:widowControl/>
              <w:spacing w:line="36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34" w:type="dxa"/>
            <w:vMerge w:val="continue"/>
            <w:shd w:val="clear" w:color="auto" w:fill="auto"/>
            <w:noWrap/>
            <w:textDirection w:val="tbRlV"/>
            <w:vAlign w:val="center"/>
          </w:tcPr>
          <w:p>
            <w:pPr>
              <w:widowControl/>
              <w:spacing w:line="360" w:lineRule="exact"/>
              <w:jc w:val="center"/>
              <w:rPr>
                <w:rFonts w:hint="eastAsia" w:asciiTheme="minorEastAsia" w:hAnsiTheme="minorEastAsia" w:eastAsiaTheme="minorEastAsia" w:cstheme="minorEastAsia"/>
                <w:color w:val="000000"/>
                <w:sz w:val="21"/>
                <w:szCs w:val="21"/>
              </w:rPr>
            </w:pPr>
          </w:p>
        </w:tc>
        <w:tc>
          <w:tcPr>
            <w:tcW w:w="724" w:type="dxa"/>
            <w:vMerge w:val="restart"/>
            <w:shd w:val="clear" w:color="auto" w:fill="auto"/>
            <w:vAlign w:val="center"/>
          </w:tcPr>
          <w:p>
            <w:pPr>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839" w:type="dxa"/>
            <w:vMerge w:val="restart"/>
            <w:shd w:val="clear" w:color="auto" w:fill="auto"/>
            <w:vAlign w:val="center"/>
          </w:tcPr>
          <w:p>
            <w:pPr>
              <w:widowControl/>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合法</w:t>
            </w:r>
          </w:p>
          <w:p>
            <w:pPr>
              <w:widowControl/>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稳定</w:t>
            </w:r>
          </w:p>
          <w:p>
            <w:pPr>
              <w:widowControl/>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就业</w:t>
            </w:r>
          </w:p>
        </w:tc>
        <w:tc>
          <w:tcPr>
            <w:tcW w:w="836" w:type="dxa"/>
            <w:shd w:val="clear" w:color="auto" w:fill="auto"/>
            <w:vAlign w:val="center"/>
          </w:tcPr>
          <w:p>
            <w:pPr>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w:t>
            </w:r>
          </w:p>
        </w:tc>
        <w:tc>
          <w:tcPr>
            <w:tcW w:w="3588" w:type="dxa"/>
            <w:gridSpan w:val="3"/>
            <w:shd w:val="clear" w:color="auto" w:fill="auto"/>
            <w:vAlign w:val="center"/>
          </w:tcPr>
          <w:p>
            <w:pPr>
              <w:widowControl/>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就业（创业）情况</w:t>
            </w:r>
          </w:p>
        </w:tc>
        <w:tc>
          <w:tcPr>
            <w:tcW w:w="3260" w:type="dxa"/>
            <w:gridSpan w:val="2"/>
            <w:vMerge w:val="continue"/>
            <w:shd w:val="clear" w:color="auto" w:fill="auto"/>
            <w:vAlign w:val="center"/>
          </w:tcPr>
          <w:p>
            <w:pPr>
              <w:widowControl/>
              <w:spacing w:line="36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vMerge w:val="continue"/>
            <w:vAlign w:val="center"/>
          </w:tcPr>
          <w:p>
            <w:pPr>
              <w:widowControl/>
              <w:spacing w:line="360" w:lineRule="exact"/>
              <w:jc w:val="left"/>
              <w:rPr>
                <w:rFonts w:hint="eastAsia" w:asciiTheme="minorEastAsia" w:hAnsiTheme="minorEastAsia" w:eastAsiaTheme="minorEastAsia" w:cstheme="minorEastAsia"/>
                <w:color w:val="000000"/>
                <w:sz w:val="21"/>
                <w:szCs w:val="21"/>
              </w:rPr>
            </w:pPr>
          </w:p>
        </w:tc>
        <w:tc>
          <w:tcPr>
            <w:tcW w:w="724" w:type="dxa"/>
            <w:vMerge w:val="continue"/>
            <w:vAlign w:val="center"/>
          </w:tcPr>
          <w:p>
            <w:pPr>
              <w:spacing w:line="360" w:lineRule="exact"/>
              <w:jc w:val="center"/>
              <w:rPr>
                <w:rFonts w:hint="eastAsia" w:asciiTheme="minorEastAsia" w:hAnsiTheme="minorEastAsia" w:eastAsiaTheme="minorEastAsia" w:cstheme="minorEastAsia"/>
                <w:color w:val="000000"/>
                <w:sz w:val="21"/>
                <w:szCs w:val="21"/>
              </w:rPr>
            </w:pPr>
          </w:p>
        </w:tc>
        <w:tc>
          <w:tcPr>
            <w:tcW w:w="839" w:type="dxa"/>
            <w:vMerge w:val="continue"/>
            <w:vAlign w:val="center"/>
          </w:tcPr>
          <w:p>
            <w:pPr>
              <w:widowControl/>
              <w:spacing w:line="360" w:lineRule="exact"/>
              <w:jc w:val="left"/>
              <w:rPr>
                <w:rFonts w:hint="eastAsia" w:asciiTheme="minorEastAsia" w:hAnsiTheme="minorEastAsia" w:eastAsiaTheme="minorEastAsia" w:cstheme="minorEastAsia"/>
                <w:color w:val="000000"/>
                <w:sz w:val="21"/>
                <w:szCs w:val="21"/>
              </w:rPr>
            </w:pPr>
          </w:p>
        </w:tc>
        <w:tc>
          <w:tcPr>
            <w:tcW w:w="836" w:type="dxa"/>
            <w:shd w:val="clear" w:color="auto" w:fill="auto"/>
            <w:vAlign w:val="center"/>
          </w:tcPr>
          <w:p>
            <w:pPr>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w:t>
            </w:r>
          </w:p>
        </w:tc>
        <w:tc>
          <w:tcPr>
            <w:tcW w:w="3588" w:type="dxa"/>
            <w:gridSpan w:val="3"/>
            <w:shd w:val="clear" w:color="auto" w:fill="auto"/>
            <w:vAlign w:val="center"/>
          </w:tcPr>
          <w:p>
            <w:pPr>
              <w:widowControl/>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缴纳社保</w:t>
            </w:r>
          </w:p>
        </w:tc>
        <w:tc>
          <w:tcPr>
            <w:tcW w:w="3260" w:type="dxa"/>
            <w:gridSpan w:val="2"/>
            <w:vMerge w:val="continue"/>
            <w:vAlign w:val="center"/>
          </w:tcPr>
          <w:p>
            <w:pPr>
              <w:widowControl/>
              <w:spacing w:line="360" w:lineRule="exact"/>
              <w:jc w:val="left"/>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4" w:type="dxa"/>
            <w:vMerge w:val="continue"/>
            <w:vAlign w:val="center"/>
          </w:tcPr>
          <w:p>
            <w:pPr>
              <w:widowControl/>
              <w:spacing w:line="360" w:lineRule="exact"/>
              <w:jc w:val="left"/>
              <w:rPr>
                <w:rFonts w:hint="eastAsia" w:asciiTheme="minorEastAsia" w:hAnsiTheme="minorEastAsia" w:eastAsiaTheme="minorEastAsia" w:cstheme="minorEastAsia"/>
                <w:color w:val="000000"/>
                <w:sz w:val="21"/>
                <w:szCs w:val="21"/>
              </w:rPr>
            </w:pPr>
          </w:p>
        </w:tc>
        <w:tc>
          <w:tcPr>
            <w:tcW w:w="724" w:type="dxa"/>
            <w:vMerge w:val="continue"/>
            <w:vAlign w:val="center"/>
          </w:tcPr>
          <w:p>
            <w:pPr>
              <w:spacing w:line="360" w:lineRule="exact"/>
              <w:jc w:val="center"/>
              <w:rPr>
                <w:rFonts w:hint="eastAsia" w:asciiTheme="minorEastAsia" w:hAnsiTheme="minorEastAsia" w:eastAsiaTheme="minorEastAsia" w:cstheme="minorEastAsia"/>
                <w:color w:val="000000"/>
                <w:sz w:val="21"/>
                <w:szCs w:val="21"/>
              </w:rPr>
            </w:pPr>
          </w:p>
        </w:tc>
        <w:tc>
          <w:tcPr>
            <w:tcW w:w="839" w:type="dxa"/>
            <w:vMerge w:val="continue"/>
            <w:vAlign w:val="center"/>
          </w:tcPr>
          <w:p>
            <w:pPr>
              <w:widowControl/>
              <w:spacing w:line="360" w:lineRule="exact"/>
              <w:jc w:val="left"/>
              <w:rPr>
                <w:rFonts w:hint="eastAsia" w:asciiTheme="minorEastAsia" w:hAnsiTheme="minorEastAsia" w:eastAsiaTheme="minorEastAsia" w:cstheme="minorEastAsia"/>
                <w:color w:val="000000"/>
                <w:sz w:val="21"/>
                <w:szCs w:val="21"/>
              </w:rPr>
            </w:pPr>
          </w:p>
        </w:tc>
        <w:tc>
          <w:tcPr>
            <w:tcW w:w="836" w:type="dxa"/>
            <w:shd w:val="clear" w:color="auto" w:fill="auto"/>
            <w:vAlign w:val="center"/>
          </w:tcPr>
          <w:p>
            <w:pPr>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2.3</w:t>
            </w:r>
          </w:p>
        </w:tc>
        <w:tc>
          <w:tcPr>
            <w:tcW w:w="3588" w:type="dxa"/>
            <w:gridSpan w:val="3"/>
            <w:shd w:val="clear" w:color="auto" w:fill="auto"/>
            <w:vAlign w:val="center"/>
          </w:tcPr>
          <w:p>
            <w:pPr>
              <w:widowControl/>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缴纳住房公积金</w:t>
            </w:r>
          </w:p>
        </w:tc>
        <w:tc>
          <w:tcPr>
            <w:tcW w:w="3260" w:type="dxa"/>
            <w:gridSpan w:val="2"/>
            <w:vMerge w:val="continue"/>
            <w:vAlign w:val="center"/>
          </w:tcPr>
          <w:p>
            <w:pPr>
              <w:widowControl/>
              <w:spacing w:line="360" w:lineRule="exact"/>
              <w:jc w:val="left"/>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34" w:type="dxa"/>
            <w:vMerge w:val="continue"/>
            <w:vAlign w:val="center"/>
          </w:tcPr>
          <w:p>
            <w:pPr>
              <w:widowControl/>
              <w:spacing w:line="360" w:lineRule="exact"/>
              <w:jc w:val="left"/>
              <w:rPr>
                <w:rFonts w:hint="eastAsia" w:asciiTheme="minorEastAsia" w:hAnsiTheme="minorEastAsia" w:eastAsiaTheme="minorEastAsia" w:cstheme="minorEastAsia"/>
                <w:color w:val="000000"/>
                <w:sz w:val="21"/>
                <w:szCs w:val="21"/>
              </w:rPr>
            </w:pPr>
          </w:p>
        </w:tc>
        <w:tc>
          <w:tcPr>
            <w:tcW w:w="724"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sz w:val="21"/>
                <w:szCs w:val="21"/>
              </w:rPr>
            </w:pPr>
          </w:p>
          <w:p>
            <w:pPr>
              <w:widowControl/>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p>
            <w:pPr>
              <w:widowControl/>
              <w:spacing w:line="360" w:lineRule="exact"/>
              <w:jc w:val="left"/>
              <w:rPr>
                <w:rFonts w:hint="eastAsia" w:asciiTheme="minorEastAsia" w:hAnsiTheme="minorEastAsia" w:eastAsiaTheme="minorEastAsia" w:cstheme="minorEastAsia"/>
                <w:color w:val="000000"/>
                <w:sz w:val="21"/>
                <w:szCs w:val="21"/>
              </w:rPr>
            </w:pPr>
          </w:p>
        </w:tc>
        <w:tc>
          <w:tcPr>
            <w:tcW w:w="5263" w:type="dxa"/>
            <w:gridSpan w:val="5"/>
            <w:shd w:val="clear" w:color="auto" w:fill="auto"/>
            <w:vAlign w:val="center"/>
          </w:tcPr>
          <w:p>
            <w:pPr>
              <w:widowControl/>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年   龄</w:t>
            </w:r>
          </w:p>
        </w:tc>
        <w:tc>
          <w:tcPr>
            <w:tcW w:w="3260" w:type="dxa"/>
            <w:gridSpan w:val="2"/>
            <w:vMerge w:val="continue"/>
            <w:shd w:val="clear" w:color="auto" w:fill="auto"/>
            <w:vAlign w:val="center"/>
          </w:tcPr>
          <w:p>
            <w:pPr>
              <w:widowControl/>
              <w:spacing w:line="36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restart"/>
            <w:vAlign w:val="center"/>
          </w:tcPr>
          <w:p>
            <w:pPr>
              <w:widowControl/>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市积分制加分指标</w:t>
            </w:r>
          </w:p>
        </w:tc>
        <w:tc>
          <w:tcPr>
            <w:tcW w:w="724" w:type="dxa"/>
            <w:vMerge w:val="restart"/>
            <w:shd w:val="clear" w:color="auto" w:fill="auto"/>
            <w:vAlign w:val="center"/>
          </w:tcPr>
          <w:p>
            <w:pPr>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839" w:type="dxa"/>
            <w:vMerge w:val="restart"/>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文化</w:t>
            </w:r>
          </w:p>
          <w:p>
            <w:pPr>
              <w:widowControl/>
              <w:spacing w:line="32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程度</w:t>
            </w:r>
          </w:p>
        </w:tc>
        <w:tc>
          <w:tcPr>
            <w:tcW w:w="836" w:type="dxa"/>
            <w:shd w:val="clear" w:color="auto" w:fill="auto"/>
            <w:vAlign w:val="center"/>
          </w:tcPr>
          <w:p>
            <w:pPr>
              <w:widowControl/>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w:t>
            </w:r>
          </w:p>
        </w:tc>
        <w:tc>
          <w:tcPr>
            <w:tcW w:w="3588" w:type="dxa"/>
            <w:gridSpan w:val="3"/>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本科及以上学历</w:t>
            </w:r>
          </w:p>
        </w:tc>
        <w:tc>
          <w:tcPr>
            <w:tcW w:w="3260" w:type="dxa"/>
            <w:gridSpan w:val="2"/>
            <w:vMerge w:val="continue"/>
            <w:shd w:val="clear" w:color="auto" w:fill="auto"/>
            <w:noWrap/>
            <w:vAlign w:val="center"/>
          </w:tcPr>
          <w:p>
            <w:pPr>
              <w:widowControl/>
              <w:spacing w:line="360" w:lineRule="exact"/>
              <w:ind w:firstLine="420" w:firstLineChars="200"/>
              <w:jc w:val="left"/>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continue"/>
            <w:vAlign w:val="center"/>
          </w:tcPr>
          <w:p>
            <w:pPr>
              <w:widowControl/>
              <w:spacing w:line="320" w:lineRule="exact"/>
              <w:jc w:val="center"/>
              <w:rPr>
                <w:rFonts w:hint="eastAsia" w:asciiTheme="minorEastAsia" w:hAnsiTheme="minorEastAsia" w:eastAsiaTheme="minorEastAsia" w:cstheme="minorEastAsia"/>
                <w:color w:val="000000"/>
                <w:sz w:val="21"/>
                <w:szCs w:val="21"/>
              </w:rPr>
            </w:pPr>
          </w:p>
        </w:tc>
        <w:tc>
          <w:tcPr>
            <w:tcW w:w="724" w:type="dxa"/>
            <w:vMerge w:val="continue"/>
            <w:shd w:val="clear" w:color="auto" w:fill="auto"/>
            <w:vAlign w:val="center"/>
          </w:tcPr>
          <w:p>
            <w:pPr>
              <w:spacing w:line="320" w:lineRule="exact"/>
              <w:jc w:val="center"/>
              <w:rPr>
                <w:rFonts w:hint="eastAsia" w:asciiTheme="minorEastAsia" w:hAnsiTheme="minorEastAsia" w:eastAsiaTheme="minorEastAsia" w:cstheme="minorEastAsia"/>
                <w:color w:val="000000"/>
                <w:sz w:val="21"/>
                <w:szCs w:val="21"/>
              </w:rPr>
            </w:pPr>
          </w:p>
        </w:tc>
        <w:tc>
          <w:tcPr>
            <w:tcW w:w="839" w:type="dxa"/>
            <w:vMerge w:val="continue"/>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p>
        </w:tc>
        <w:tc>
          <w:tcPr>
            <w:tcW w:w="836" w:type="dxa"/>
            <w:shd w:val="clear" w:color="auto" w:fill="auto"/>
            <w:vAlign w:val="center"/>
          </w:tcPr>
          <w:p>
            <w:pPr>
              <w:widowControl/>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w:t>
            </w:r>
          </w:p>
        </w:tc>
        <w:tc>
          <w:tcPr>
            <w:tcW w:w="3588" w:type="dxa"/>
            <w:gridSpan w:val="3"/>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专科（含高职）</w:t>
            </w:r>
          </w:p>
        </w:tc>
        <w:tc>
          <w:tcPr>
            <w:tcW w:w="3260" w:type="dxa"/>
            <w:gridSpan w:val="2"/>
            <w:vMerge w:val="continue"/>
            <w:shd w:val="clear" w:color="auto" w:fill="auto"/>
            <w:noWrap/>
            <w:vAlign w:val="center"/>
          </w:tcPr>
          <w:p>
            <w:pPr>
              <w:widowControl/>
              <w:spacing w:line="360" w:lineRule="exact"/>
              <w:ind w:firstLine="420" w:firstLineChars="200"/>
              <w:jc w:val="left"/>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continue"/>
            <w:vAlign w:val="center"/>
          </w:tcPr>
          <w:p>
            <w:pPr>
              <w:widowControl/>
              <w:spacing w:line="320" w:lineRule="exact"/>
              <w:jc w:val="center"/>
              <w:rPr>
                <w:rFonts w:hint="eastAsia" w:asciiTheme="minorEastAsia" w:hAnsiTheme="minorEastAsia" w:eastAsiaTheme="minorEastAsia" w:cstheme="minorEastAsia"/>
                <w:color w:val="000000"/>
                <w:sz w:val="21"/>
                <w:szCs w:val="21"/>
              </w:rPr>
            </w:pPr>
          </w:p>
        </w:tc>
        <w:tc>
          <w:tcPr>
            <w:tcW w:w="724" w:type="dxa"/>
            <w:vMerge w:val="continue"/>
            <w:shd w:val="clear" w:color="auto" w:fill="auto"/>
            <w:vAlign w:val="center"/>
          </w:tcPr>
          <w:p>
            <w:pPr>
              <w:spacing w:line="320" w:lineRule="exact"/>
              <w:jc w:val="center"/>
              <w:rPr>
                <w:rFonts w:hint="eastAsia" w:asciiTheme="minorEastAsia" w:hAnsiTheme="minorEastAsia" w:eastAsiaTheme="minorEastAsia" w:cstheme="minorEastAsia"/>
                <w:color w:val="000000"/>
                <w:sz w:val="21"/>
                <w:szCs w:val="21"/>
              </w:rPr>
            </w:pPr>
          </w:p>
        </w:tc>
        <w:tc>
          <w:tcPr>
            <w:tcW w:w="839" w:type="dxa"/>
            <w:vMerge w:val="continue"/>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p>
        </w:tc>
        <w:tc>
          <w:tcPr>
            <w:tcW w:w="836" w:type="dxa"/>
            <w:shd w:val="clear" w:color="auto" w:fill="auto"/>
            <w:vAlign w:val="center"/>
          </w:tcPr>
          <w:p>
            <w:pPr>
              <w:widowControl/>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4.3</w:t>
            </w:r>
          </w:p>
        </w:tc>
        <w:tc>
          <w:tcPr>
            <w:tcW w:w="3588" w:type="dxa"/>
            <w:gridSpan w:val="3"/>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高中（含中职）</w:t>
            </w:r>
          </w:p>
        </w:tc>
        <w:tc>
          <w:tcPr>
            <w:tcW w:w="3260" w:type="dxa"/>
            <w:gridSpan w:val="2"/>
            <w:vMerge w:val="continue"/>
            <w:shd w:val="clear" w:color="auto" w:fill="auto"/>
            <w:noWrap/>
            <w:vAlign w:val="center"/>
          </w:tcPr>
          <w:p>
            <w:pPr>
              <w:widowControl/>
              <w:spacing w:line="360" w:lineRule="exact"/>
              <w:ind w:firstLine="420" w:firstLineChars="200"/>
              <w:jc w:val="left"/>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continue"/>
            <w:vAlign w:val="center"/>
          </w:tcPr>
          <w:p>
            <w:pPr>
              <w:widowControl/>
              <w:spacing w:line="320" w:lineRule="exact"/>
              <w:jc w:val="center"/>
              <w:rPr>
                <w:rFonts w:hint="eastAsia" w:asciiTheme="minorEastAsia" w:hAnsiTheme="minorEastAsia" w:eastAsiaTheme="minorEastAsia" w:cstheme="minorEastAsia"/>
                <w:color w:val="000000"/>
                <w:sz w:val="21"/>
                <w:szCs w:val="21"/>
              </w:rPr>
            </w:pPr>
          </w:p>
        </w:tc>
        <w:tc>
          <w:tcPr>
            <w:tcW w:w="724" w:type="dxa"/>
            <w:vMerge w:val="restart"/>
            <w:shd w:val="clear" w:color="auto" w:fill="auto"/>
            <w:vAlign w:val="center"/>
          </w:tcPr>
          <w:p>
            <w:pPr>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839" w:type="dxa"/>
            <w:vMerge w:val="restart"/>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技术</w:t>
            </w:r>
          </w:p>
          <w:p>
            <w:pPr>
              <w:widowControl/>
              <w:spacing w:line="32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能力</w:t>
            </w:r>
          </w:p>
        </w:tc>
        <w:tc>
          <w:tcPr>
            <w:tcW w:w="836" w:type="dxa"/>
            <w:shd w:val="clear" w:color="auto" w:fill="auto"/>
            <w:vAlign w:val="center"/>
          </w:tcPr>
          <w:p>
            <w:pPr>
              <w:widowControl/>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5.1</w:t>
            </w:r>
          </w:p>
        </w:tc>
        <w:tc>
          <w:tcPr>
            <w:tcW w:w="3588" w:type="dxa"/>
            <w:gridSpan w:val="3"/>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中级及以上职称或技师及以上职业资格</w:t>
            </w:r>
          </w:p>
        </w:tc>
        <w:tc>
          <w:tcPr>
            <w:tcW w:w="3260" w:type="dxa"/>
            <w:gridSpan w:val="2"/>
            <w:vMerge w:val="continue"/>
            <w:shd w:val="clear" w:color="auto" w:fill="auto"/>
            <w:noWrap/>
            <w:vAlign w:val="center"/>
          </w:tcPr>
          <w:p>
            <w:pPr>
              <w:widowControl/>
              <w:spacing w:line="360" w:lineRule="exact"/>
              <w:ind w:firstLine="420" w:firstLineChars="200"/>
              <w:jc w:val="left"/>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continue"/>
            <w:vAlign w:val="center"/>
          </w:tcPr>
          <w:p>
            <w:pPr>
              <w:widowControl/>
              <w:spacing w:line="320" w:lineRule="exact"/>
              <w:jc w:val="center"/>
              <w:rPr>
                <w:rFonts w:hint="eastAsia" w:asciiTheme="minorEastAsia" w:hAnsiTheme="minorEastAsia" w:eastAsiaTheme="minorEastAsia" w:cstheme="minorEastAsia"/>
                <w:color w:val="000000"/>
                <w:sz w:val="21"/>
                <w:szCs w:val="21"/>
              </w:rPr>
            </w:pPr>
          </w:p>
        </w:tc>
        <w:tc>
          <w:tcPr>
            <w:tcW w:w="724" w:type="dxa"/>
            <w:vMerge w:val="continue"/>
            <w:shd w:val="clear" w:color="auto" w:fill="auto"/>
            <w:vAlign w:val="center"/>
          </w:tcPr>
          <w:p>
            <w:pPr>
              <w:spacing w:line="320" w:lineRule="exact"/>
              <w:jc w:val="center"/>
              <w:rPr>
                <w:rFonts w:hint="eastAsia" w:asciiTheme="minorEastAsia" w:hAnsiTheme="minorEastAsia" w:eastAsiaTheme="minorEastAsia" w:cstheme="minorEastAsia"/>
                <w:color w:val="000000"/>
                <w:sz w:val="21"/>
                <w:szCs w:val="21"/>
              </w:rPr>
            </w:pPr>
          </w:p>
        </w:tc>
        <w:tc>
          <w:tcPr>
            <w:tcW w:w="839" w:type="dxa"/>
            <w:vMerge w:val="continue"/>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p>
        </w:tc>
        <w:tc>
          <w:tcPr>
            <w:tcW w:w="836" w:type="dxa"/>
            <w:shd w:val="clear" w:color="auto" w:fill="auto"/>
            <w:vAlign w:val="center"/>
          </w:tcPr>
          <w:p>
            <w:pPr>
              <w:widowControl/>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5.2</w:t>
            </w:r>
          </w:p>
        </w:tc>
        <w:tc>
          <w:tcPr>
            <w:tcW w:w="3588" w:type="dxa"/>
            <w:gridSpan w:val="3"/>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初级职称、职业资格为高级、事业单位工勤技术三级</w:t>
            </w:r>
          </w:p>
        </w:tc>
        <w:tc>
          <w:tcPr>
            <w:tcW w:w="3260" w:type="dxa"/>
            <w:gridSpan w:val="2"/>
            <w:vMerge w:val="continue"/>
            <w:shd w:val="clear" w:color="auto" w:fill="auto"/>
            <w:noWrap/>
            <w:vAlign w:val="center"/>
          </w:tcPr>
          <w:p>
            <w:pPr>
              <w:widowControl/>
              <w:spacing w:line="360" w:lineRule="exact"/>
              <w:ind w:firstLine="420" w:firstLineChars="200"/>
              <w:jc w:val="left"/>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continue"/>
            <w:vAlign w:val="center"/>
          </w:tcPr>
          <w:p>
            <w:pPr>
              <w:widowControl/>
              <w:spacing w:line="320" w:lineRule="exact"/>
              <w:jc w:val="center"/>
              <w:rPr>
                <w:rFonts w:hint="eastAsia" w:asciiTheme="minorEastAsia" w:hAnsiTheme="minorEastAsia" w:eastAsiaTheme="minorEastAsia" w:cstheme="minorEastAsia"/>
                <w:color w:val="000000"/>
                <w:sz w:val="21"/>
                <w:szCs w:val="21"/>
              </w:rPr>
            </w:pPr>
          </w:p>
        </w:tc>
        <w:tc>
          <w:tcPr>
            <w:tcW w:w="724" w:type="dxa"/>
            <w:vMerge w:val="continue"/>
            <w:shd w:val="clear" w:color="auto" w:fill="auto"/>
            <w:vAlign w:val="center"/>
          </w:tcPr>
          <w:p>
            <w:pPr>
              <w:spacing w:line="320" w:lineRule="exact"/>
              <w:jc w:val="center"/>
              <w:rPr>
                <w:rFonts w:hint="eastAsia" w:asciiTheme="minorEastAsia" w:hAnsiTheme="minorEastAsia" w:eastAsiaTheme="minorEastAsia" w:cstheme="minorEastAsia"/>
                <w:color w:val="000000"/>
                <w:sz w:val="21"/>
                <w:szCs w:val="21"/>
              </w:rPr>
            </w:pPr>
          </w:p>
        </w:tc>
        <w:tc>
          <w:tcPr>
            <w:tcW w:w="839" w:type="dxa"/>
            <w:vMerge w:val="continue"/>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p>
        </w:tc>
        <w:tc>
          <w:tcPr>
            <w:tcW w:w="836" w:type="dxa"/>
            <w:shd w:val="clear" w:color="auto" w:fill="auto"/>
            <w:vAlign w:val="center"/>
          </w:tcPr>
          <w:p>
            <w:pPr>
              <w:widowControl/>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5.3</w:t>
            </w:r>
          </w:p>
        </w:tc>
        <w:tc>
          <w:tcPr>
            <w:tcW w:w="3588" w:type="dxa"/>
            <w:gridSpan w:val="3"/>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职业资格中级、事业单位工勤技术四级</w:t>
            </w:r>
          </w:p>
        </w:tc>
        <w:tc>
          <w:tcPr>
            <w:tcW w:w="3260" w:type="dxa"/>
            <w:gridSpan w:val="2"/>
            <w:vMerge w:val="continue"/>
            <w:shd w:val="clear" w:color="auto" w:fill="auto"/>
            <w:noWrap/>
            <w:vAlign w:val="center"/>
          </w:tcPr>
          <w:p>
            <w:pPr>
              <w:widowControl/>
              <w:spacing w:line="360" w:lineRule="exact"/>
              <w:ind w:firstLine="420" w:firstLineChars="200"/>
              <w:jc w:val="left"/>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continue"/>
            <w:vAlign w:val="center"/>
          </w:tcPr>
          <w:p>
            <w:pPr>
              <w:widowControl/>
              <w:spacing w:line="320" w:lineRule="exact"/>
              <w:jc w:val="center"/>
              <w:rPr>
                <w:rFonts w:hint="eastAsia" w:asciiTheme="minorEastAsia" w:hAnsiTheme="minorEastAsia" w:eastAsiaTheme="minorEastAsia" w:cstheme="minorEastAsia"/>
                <w:color w:val="000000"/>
                <w:sz w:val="21"/>
                <w:szCs w:val="21"/>
              </w:rPr>
            </w:pPr>
          </w:p>
        </w:tc>
        <w:tc>
          <w:tcPr>
            <w:tcW w:w="724" w:type="dxa"/>
            <w:vMerge w:val="continue"/>
            <w:shd w:val="clear" w:color="auto" w:fill="auto"/>
            <w:vAlign w:val="center"/>
          </w:tcPr>
          <w:p>
            <w:pPr>
              <w:spacing w:line="320" w:lineRule="exact"/>
              <w:jc w:val="center"/>
              <w:rPr>
                <w:rFonts w:hint="eastAsia" w:asciiTheme="minorEastAsia" w:hAnsiTheme="minorEastAsia" w:eastAsiaTheme="minorEastAsia" w:cstheme="minorEastAsia"/>
                <w:color w:val="000000"/>
                <w:sz w:val="21"/>
                <w:szCs w:val="21"/>
              </w:rPr>
            </w:pPr>
          </w:p>
        </w:tc>
        <w:tc>
          <w:tcPr>
            <w:tcW w:w="839" w:type="dxa"/>
            <w:vMerge w:val="continue"/>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p>
        </w:tc>
        <w:tc>
          <w:tcPr>
            <w:tcW w:w="836" w:type="dxa"/>
            <w:shd w:val="clear" w:color="auto" w:fill="auto"/>
            <w:vAlign w:val="center"/>
          </w:tcPr>
          <w:p>
            <w:pPr>
              <w:widowControl/>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5.4</w:t>
            </w:r>
          </w:p>
        </w:tc>
        <w:tc>
          <w:tcPr>
            <w:tcW w:w="3588" w:type="dxa"/>
            <w:gridSpan w:val="3"/>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正在从事与上述专业技术资格证书、职业资格证书相对应职业工种工作</w:t>
            </w:r>
          </w:p>
        </w:tc>
        <w:tc>
          <w:tcPr>
            <w:tcW w:w="3260" w:type="dxa"/>
            <w:gridSpan w:val="2"/>
            <w:vMerge w:val="continue"/>
            <w:shd w:val="clear" w:color="auto" w:fill="auto"/>
            <w:noWrap/>
            <w:vAlign w:val="center"/>
          </w:tcPr>
          <w:p>
            <w:pPr>
              <w:widowControl/>
              <w:spacing w:line="360" w:lineRule="exact"/>
              <w:ind w:firstLine="420" w:firstLineChars="200"/>
              <w:jc w:val="left"/>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continue"/>
            <w:vAlign w:val="center"/>
          </w:tcPr>
          <w:p>
            <w:pPr>
              <w:widowControl/>
              <w:spacing w:line="320" w:lineRule="exact"/>
              <w:jc w:val="center"/>
              <w:rPr>
                <w:rFonts w:hint="eastAsia" w:asciiTheme="minorEastAsia" w:hAnsiTheme="minorEastAsia" w:eastAsiaTheme="minorEastAsia" w:cstheme="minorEastAsia"/>
                <w:color w:val="000000"/>
                <w:sz w:val="21"/>
                <w:szCs w:val="21"/>
              </w:rPr>
            </w:pPr>
          </w:p>
        </w:tc>
        <w:tc>
          <w:tcPr>
            <w:tcW w:w="724" w:type="dxa"/>
            <w:vMerge w:val="restart"/>
            <w:shd w:val="clear" w:color="auto" w:fill="auto"/>
            <w:vAlign w:val="center"/>
          </w:tcPr>
          <w:p>
            <w:pPr>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839" w:type="dxa"/>
            <w:vMerge w:val="restart"/>
            <w:shd w:val="clear" w:color="auto" w:fill="auto"/>
            <w:vAlign w:val="center"/>
          </w:tcPr>
          <w:p>
            <w:pPr>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创新</w:t>
            </w:r>
          </w:p>
          <w:p>
            <w:pPr>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能力</w:t>
            </w:r>
          </w:p>
        </w:tc>
        <w:tc>
          <w:tcPr>
            <w:tcW w:w="836" w:type="dxa"/>
            <w:shd w:val="clear" w:color="auto" w:fill="auto"/>
            <w:vAlign w:val="center"/>
          </w:tcPr>
          <w:p>
            <w:pPr>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w:t>
            </w:r>
          </w:p>
        </w:tc>
        <w:tc>
          <w:tcPr>
            <w:tcW w:w="3588" w:type="dxa"/>
            <w:gridSpan w:val="3"/>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近5年获得授权的有效专利且专利申请地址在广州市辖区的专利发明人或者设计人</w:t>
            </w:r>
          </w:p>
        </w:tc>
        <w:tc>
          <w:tcPr>
            <w:tcW w:w="3260" w:type="dxa"/>
            <w:gridSpan w:val="2"/>
            <w:vMerge w:val="continue"/>
            <w:shd w:val="clear" w:color="auto" w:fill="auto"/>
            <w:noWrap/>
            <w:vAlign w:val="center"/>
          </w:tcPr>
          <w:p>
            <w:pPr>
              <w:widowControl/>
              <w:spacing w:line="360" w:lineRule="exact"/>
              <w:ind w:firstLine="420" w:firstLineChars="200"/>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continue"/>
            <w:vAlign w:val="center"/>
          </w:tcPr>
          <w:p>
            <w:pPr>
              <w:widowControl/>
              <w:spacing w:line="320" w:lineRule="exact"/>
              <w:jc w:val="left"/>
              <w:rPr>
                <w:rFonts w:hint="eastAsia" w:asciiTheme="minorEastAsia" w:hAnsiTheme="minorEastAsia" w:eastAsiaTheme="minorEastAsia" w:cstheme="minorEastAsia"/>
                <w:color w:val="000000"/>
                <w:sz w:val="21"/>
                <w:szCs w:val="21"/>
              </w:rPr>
            </w:pPr>
          </w:p>
        </w:tc>
        <w:tc>
          <w:tcPr>
            <w:tcW w:w="724" w:type="dxa"/>
            <w:vMerge w:val="continue"/>
            <w:shd w:val="clear" w:color="auto" w:fill="auto"/>
            <w:vAlign w:val="center"/>
          </w:tcPr>
          <w:p>
            <w:pPr>
              <w:spacing w:line="320" w:lineRule="exact"/>
              <w:jc w:val="center"/>
              <w:rPr>
                <w:rFonts w:hint="eastAsia" w:asciiTheme="minorEastAsia" w:hAnsiTheme="minorEastAsia" w:eastAsiaTheme="minorEastAsia" w:cstheme="minorEastAsia"/>
                <w:color w:val="000000"/>
                <w:sz w:val="21"/>
                <w:szCs w:val="21"/>
              </w:rPr>
            </w:pPr>
          </w:p>
        </w:tc>
        <w:tc>
          <w:tcPr>
            <w:tcW w:w="839" w:type="dxa"/>
            <w:vMerge w:val="continue"/>
            <w:shd w:val="clear" w:color="auto" w:fill="auto"/>
            <w:vAlign w:val="center"/>
          </w:tcPr>
          <w:p>
            <w:pPr>
              <w:spacing w:line="320" w:lineRule="exact"/>
              <w:rPr>
                <w:rFonts w:hint="eastAsia" w:asciiTheme="minorEastAsia" w:hAnsiTheme="minorEastAsia" w:eastAsiaTheme="minorEastAsia" w:cstheme="minorEastAsia"/>
                <w:color w:val="000000"/>
                <w:sz w:val="21"/>
                <w:szCs w:val="21"/>
              </w:rPr>
            </w:pPr>
          </w:p>
        </w:tc>
        <w:tc>
          <w:tcPr>
            <w:tcW w:w="836" w:type="dxa"/>
            <w:shd w:val="clear" w:color="auto" w:fill="auto"/>
            <w:vAlign w:val="center"/>
          </w:tcPr>
          <w:p>
            <w:pPr>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6.2</w:t>
            </w:r>
          </w:p>
        </w:tc>
        <w:tc>
          <w:tcPr>
            <w:tcW w:w="3588" w:type="dxa"/>
            <w:gridSpan w:val="3"/>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在广州市高新技术企业、新型研发机构从事技术创新和研发的申请人</w:t>
            </w:r>
          </w:p>
        </w:tc>
        <w:tc>
          <w:tcPr>
            <w:tcW w:w="3260" w:type="dxa"/>
            <w:gridSpan w:val="2"/>
            <w:vMerge w:val="continue"/>
            <w:shd w:val="clear" w:color="auto" w:fill="auto"/>
            <w:noWrap/>
            <w:vAlign w:val="center"/>
          </w:tcPr>
          <w:p>
            <w:pPr>
              <w:widowControl/>
              <w:spacing w:line="3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continue"/>
            <w:vAlign w:val="center"/>
          </w:tcPr>
          <w:p>
            <w:pPr>
              <w:widowControl/>
              <w:spacing w:line="320" w:lineRule="exact"/>
              <w:jc w:val="left"/>
              <w:rPr>
                <w:rFonts w:hint="eastAsia" w:asciiTheme="minorEastAsia" w:hAnsiTheme="minorEastAsia" w:eastAsiaTheme="minorEastAsia" w:cstheme="minorEastAsia"/>
                <w:color w:val="000000"/>
                <w:sz w:val="21"/>
                <w:szCs w:val="21"/>
              </w:rPr>
            </w:pPr>
          </w:p>
        </w:tc>
        <w:tc>
          <w:tcPr>
            <w:tcW w:w="724" w:type="dxa"/>
            <w:vMerge w:val="restart"/>
            <w:shd w:val="clear" w:color="auto" w:fill="auto"/>
            <w:vAlign w:val="center"/>
          </w:tcPr>
          <w:p>
            <w:pPr>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p>
        </w:tc>
        <w:tc>
          <w:tcPr>
            <w:tcW w:w="839" w:type="dxa"/>
            <w:vMerge w:val="restart"/>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急需工种或职业资格（职业技能等级）、服务行业</w:t>
            </w:r>
          </w:p>
        </w:tc>
        <w:tc>
          <w:tcPr>
            <w:tcW w:w="836" w:type="dxa"/>
            <w:shd w:val="clear" w:color="auto" w:fill="auto"/>
            <w:vAlign w:val="center"/>
          </w:tcPr>
          <w:p>
            <w:pPr>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7.1</w:t>
            </w:r>
          </w:p>
        </w:tc>
        <w:tc>
          <w:tcPr>
            <w:tcW w:w="3588" w:type="dxa"/>
            <w:gridSpan w:val="3"/>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职业工种或职业资格符合当年广州市积分急需工种或职业资格目录</w:t>
            </w:r>
          </w:p>
        </w:tc>
        <w:tc>
          <w:tcPr>
            <w:tcW w:w="3260" w:type="dxa"/>
            <w:gridSpan w:val="2"/>
            <w:vMerge w:val="continue"/>
            <w:shd w:val="clear" w:color="auto" w:fill="auto"/>
            <w:noWrap/>
            <w:vAlign w:val="center"/>
          </w:tcPr>
          <w:p>
            <w:pPr>
              <w:widowControl/>
              <w:spacing w:line="3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continue"/>
            <w:vAlign w:val="center"/>
          </w:tcPr>
          <w:p>
            <w:pPr>
              <w:widowControl/>
              <w:spacing w:line="320" w:lineRule="exact"/>
              <w:jc w:val="left"/>
              <w:rPr>
                <w:rFonts w:hint="eastAsia" w:asciiTheme="minorEastAsia" w:hAnsiTheme="minorEastAsia" w:eastAsiaTheme="minorEastAsia" w:cstheme="minorEastAsia"/>
                <w:color w:val="000000"/>
                <w:sz w:val="21"/>
                <w:szCs w:val="21"/>
              </w:rPr>
            </w:pPr>
          </w:p>
        </w:tc>
        <w:tc>
          <w:tcPr>
            <w:tcW w:w="724" w:type="dxa"/>
            <w:vMerge w:val="continue"/>
            <w:shd w:val="clear" w:color="auto" w:fill="auto"/>
            <w:vAlign w:val="center"/>
          </w:tcPr>
          <w:p>
            <w:pPr>
              <w:spacing w:line="320" w:lineRule="exact"/>
              <w:jc w:val="center"/>
              <w:rPr>
                <w:rFonts w:hint="eastAsia" w:asciiTheme="minorEastAsia" w:hAnsiTheme="minorEastAsia" w:eastAsiaTheme="minorEastAsia" w:cstheme="minorEastAsia"/>
                <w:color w:val="000000"/>
                <w:sz w:val="21"/>
                <w:szCs w:val="21"/>
              </w:rPr>
            </w:pPr>
          </w:p>
        </w:tc>
        <w:tc>
          <w:tcPr>
            <w:tcW w:w="839" w:type="dxa"/>
            <w:vMerge w:val="continue"/>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p>
        </w:tc>
        <w:tc>
          <w:tcPr>
            <w:tcW w:w="836" w:type="dxa"/>
            <w:shd w:val="clear" w:color="auto" w:fill="auto"/>
            <w:vAlign w:val="center"/>
          </w:tcPr>
          <w:p>
            <w:pPr>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7.2</w:t>
            </w:r>
          </w:p>
        </w:tc>
        <w:tc>
          <w:tcPr>
            <w:tcW w:w="3588" w:type="dxa"/>
            <w:gridSpan w:val="3"/>
            <w:shd w:val="clear" w:color="auto" w:fill="auto"/>
            <w:vAlign w:val="center"/>
          </w:tcPr>
          <w:p>
            <w:pPr>
              <w:widowControl/>
              <w:spacing w:line="32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现正从事特殊艰苦行业一线人员（民办学校教师、辅助警务人员、老人护理、殡仪服务、公共交通、家政从业人员、演职人员和杂技学员、医疗卫生机构特殊艰苦一线从业人员、托育照护人员、教练员、运动员、环卫工人、网格员含出租屋管理员、残疾人照护员、合同制消防员、铁路公安）</w:t>
            </w:r>
          </w:p>
        </w:tc>
        <w:tc>
          <w:tcPr>
            <w:tcW w:w="3260" w:type="dxa"/>
            <w:gridSpan w:val="2"/>
            <w:vMerge w:val="continue"/>
            <w:shd w:val="clear" w:color="auto" w:fill="auto"/>
            <w:noWrap/>
            <w:vAlign w:val="center"/>
          </w:tcPr>
          <w:p>
            <w:pPr>
              <w:widowControl/>
              <w:spacing w:line="3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34" w:type="dxa"/>
            <w:vMerge w:val="restart"/>
            <w:shd w:val="clear" w:color="auto" w:fill="auto"/>
            <w:noWrap/>
            <w:vAlign w:val="center"/>
          </w:tcPr>
          <w:p>
            <w:pPr>
              <w:widowControl/>
              <w:spacing w:line="28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市积分制加分指标</w:t>
            </w:r>
          </w:p>
        </w:tc>
        <w:tc>
          <w:tcPr>
            <w:tcW w:w="724" w:type="dxa"/>
            <w:vMerge w:val="restart"/>
            <w:shd w:val="clear" w:color="auto" w:fill="auto"/>
            <w:vAlign w:val="center"/>
          </w:tcPr>
          <w:p>
            <w:pPr>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839" w:type="dxa"/>
            <w:vMerge w:val="restart"/>
            <w:shd w:val="clear" w:color="auto" w:fill="auto"/>
            <w:vAlign w:val="center"/>
          </w:tcPr>
          <w:p>
            <w:pPr>
              <w:widowControl/>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社会服务</w:t>
            </w:r>
          </w:p>
          <w:p>
            <w:pPr>
              <w:widowControl/>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和 公 益</w:t>
            </w:r>
          </w:p>
        </w:tc>
        <w:tc>
          <w:tcPr>
            <w:tcW w:w="836" w:type="dxa"/>
            <w:vMerge w:val="restart"/>
            <w:shd w:val="clear" w:color="auto" w:fill="auto"/>
            <w:vAlign w:val="center"/>
          </w:tcPr>
          <w:p>
            <w:pPr>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8.1</w:t>
            </w:r>
          </w:p>
        </w:tc>
        <w:tc>
          <w:tcPr>
            <w:tcW w:w="1037" w:type="dxa"/>
            <w:vMerge w:val="restart"/>
            <w:shd w:val="clear" w:color="auto" w:fill="auto"/>
            <w:vAlign w:val="center"/>
          </w:tcPr>
          <w:p>
            <w:pPr>
              <w:widowControl/>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近5年内参加社会服务和公益</w:t>
            </w:r>
          </w:p>
        </w:tc>
        <w:tc>
          <w:tcPr>
            <w:tcW w:w="850" w:type="dxa"/>
            <w:shd w:val="clear" w:color="auto" w:fill="auto"/>
            <w:vAlign w:val="center"/>
          </w:tcPr>
          <w:p>
            <w:pPr>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8.1.1</w:t>
            </w:r>
          </w:p>
        </w:tc>
        <w:tc>
          <w:tcPr>
            <w:tcW w:w="1701" w:type="dxa"/>
            <w:shd w:val="clear" w:color="auto" w:fill="auto"/>
            <w:vAlign w:val="center"/>
          </w:tcPr>
          <w:p>
            <w:pPr>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在广州市参加无偿献血</w:t>
            </w:r>
          </w:p>
        </w:tc>
        <w:tc>
          <w:tcPr>
            <w:tcW w:w="3260" w:type="dxa"/>
            <w:gridSpan w:val="2"/>
            <w:vMerge w:val="continue"/>
            <w:shd w:val="clear" w:color="auto" w:fill="auto"/>
            <w:vAlign w:val="center"/>
          </w:tcPr>
          <w:p>
            <w:pPr>
              <w:widowControl/>
              <w:spacing w:line="36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spacing w:line="360" w:lineRule="exact"/>
              <w:jc w:val="left"/>
              <w:rPr>
                <w:rFonts w:hint="eastAsia" w:asciiTheme="minorEastAsia" w:hAnsiTheme="minorEastAsia" w:eastAsiaTheme="minorEastAsia" w:cstheme="minorEastAsia"/>
                <w:color w:val="000000"/>
                <w:sz w:val="21"/>
                <w:szCs w:val="21"/>
              </w:rPr>
            </w:pPr>
          </w:p>
        </w:tc>
        <w:tc>
          <w:tcPr>
            <w:tcW w:w="724" w:type="dxa"/>
            <w:vMerge w:val="continue"/>
            <w:shd w:val="clear" w:color="auto" w:fill="auto"/>
            <w:vAlign w:val="center"/>
          </w:tcPr>
          <w:p>
            <w:pPr>
              <w:widowControl/>
              <w:spacing w:line="360" w:lineRule="exact"/>
              <w:jc w:val="center"/>
              <w:rPr>
                <w:rFonts w:hint="eastAsia" w:asciiTheme="minorEastAsia" w:hAnsiTheme="minorEastAsia" w:eastAsiaTheme="minorEastAsia" w:cstheme="minorEastAsia"/>
                <w:color w:val="000000"/>
                <w:sz w:val="21"/>
                <w:szCs w:val="21"/>
              </w:rPr>
            </w:pPr>
          </w:p>
        </w:tc>
        <w:tc>
          <w:tcPr>
            <w:tcW w:w="839" w:type="dxa"/>
            <w:vMerge w:val="continue"/>
            <w:shd w:val="clear" w:color="auto" w:fill="auto"/>
            <w:vAlign w:val="center"/>
          </w:tcPr>
          <w:p>
            <w:pPr>
              <w:widowControl/>
              <w:spacing w:line="360" w:lineRule="exact"/>
              <w:jc w:val="center"/>
              <w:rPr>
                <w:rFonts w:hint="eastAsia" w:asciiTheme="minorEastAsia" w:hAnsiTheme="minorEastAsia" w:eastAsiaTheme="minorEastAsia" w:cstheme="minorEastAsia"/>
                <w:color w:val="000000"/>
                <w:sz w:val="21"/>
                <w:szCs w:val="21"/>
              </w:rPr>
            </w:pPr>
          </w:p>
        </w:tc>
        <w:tc>
          <w:tcPr>
            <w:tcW w:w="836" w:type="dxa"/>
            <w:vMerge w:val="continue"/>
            <w:shd w:val="clear" w:color="auto" w:fill="auto"/>
            <w:vAlign w:val="center"/>
          </w:tcPr>
          <w:p>
            <w:pPr>
              <w:widowControl/>
              <w:spacing w:line="360" w:lineRule="exact"/>
              <w:jc w:val="center"/>
              <w:rPr>
                <w:rFonts w:hint="eastAsia" w:asciiTheme="minorEastAsia" w:hAnsiTheme="minorEastAsia" w:eastAsiaTheme="minorEastAsia" w:cstheme="minorEastAsia"/>
                <w:color w:val="000000"/>
                <w:sz w:val="21"/>
                <w:szCs w:val="21"/>
              </w:rPr>
            </w:pPr>
          </w:p>
        </w:tc>
        <w:tc>
          <w:tcPr>
            <w:tcW w:w="1037" w:type="dxa"/>
            <w:vMerge w:val="continue"/>
            <w:shd w:val="clear" w:color="auto" w:fill="auto"/>
            <w:vAlign w:val="center"/>
          </w:tcPr>
          <w:p>
            <w:pPr>
              <w:widowControl/>
              <w:spacing w:line="360" w:lineRule="exact"/>
              <w:jc w:val="left"/>
              <w:rPr>
                <w:rFonts w:hint="eastAsia" w:asciiTheme="minorEastAsia" w:hAnsiTheme="minorEastAsia" w:eastAsiaTheme="minorEastAsia" w:cstheme="minorEastAsia"/>
                <w:color w:val="000000"/>
                <w:sz w:val="21"/>
                <w:szCs w:val="21"/>
              </w:rPr>
            </w:pPr>
          </w:p>
        </w:tc>
        <w:tc>
          <w:tcPr>
            <w:tcW w:w="850" w:type="dxa"/>
            <w:shd w:val="clear" w:color="auto" w:fill="auto"/>
            <w:vAlign w:val="center"/>
          </w:tcPr>
          <w:p>
            <w:pPr>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8.1.2</w:t>
            </w:r>
          </w:p>
          <w:p>
            <w:pPr>
              <w:spacing w:line="360" w:lineRule="exact"/>
              <w:jc w:val="center"/>
              <w:rPr>
                <w:rFonts w:hint="eastAsia" w:asciiTheme="minorEastAsia" w:hAnsiTheme="minorEastAsia" w:eastAsiaTheme="minorEastAsia" w:cstheme="minorEastAsia"/>
                <w:color w:val="000000"/>
                <w:sz w:val="21"/>
                <w:szCs w:val="21"/>
              </w:rPr>
            </w:pPr>
          </w:p>
        </w:tc>
        <w:tc>
          <w:tcPr>
            <w:tcW w:w="1701"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在广州市参加志愿（义工）服务</w:t>
            </w:r>
          </w:p>
        </w:tc>
        <w:tc>
          <w:tcPr>
            <w:tcW w:w="3260" w:type="dxa"/>
            <w:gridSpan w:val="2"/>
            <w:vMerge w:val="continue"/>
            <w:shd w:val="clear" w:color="auto" w:fill="auto"/>
            <w:vAlign w:val="center"/>
          </w:tcPr>
          <w:p>
            <w:pPr>
              <w:widowControl/>
              <w:spacing w:line="36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spacing w:line="360" w:lineRule="exact"/>
              <w:jc w:val="left"/>
              <w:rPr>
                <w:rFonts w:hint="eastAsia" w:asciiTheme="minorEastAsia" w:hAnsiTheme="minorEastAsia" w:eastAsiaTheme="minorEastAsia" w:cstheme="minorEastAsia"/>
                <w:color w:val="000000"/>
                <w:sz w:val="21"/>
                <w:szCs w:val="21"/>
              </w:rPr>
            </w:pPr>
          </w:p>
        </w:tc>
        <w:tc>
          <w:tcPr>
            <w:tcW w:w="724" w:type="dxa"/>
            <w:vMerge w:val="continue"/>
            <w:shd w:val="clear" w:color="auto" w:fill="auto"/>
            <w:vAlign w:val="center"/>
          </w:tcPr>
          <w:p>
            <w:pPr>
              <w:widowControl/>
              <w:spacing w:line="360" w:lineRule="exact"/>
              <w:jc w:val="center"/>
              <w:rPr>
                <w:rFonts w:hint="eastAsia" w:asciiTheme="minorEastAsia" w:hAnsiTheme="minorEastAsia" w:eastAsiaTheme="minorEastAsia" w:cstheme="minorEastAsia"/>
                <w:color w:val="000000"/>
                <w:sz w:val="21"/>
                <w:szCs w:val="21"/>
              </w:rPr>
            </w:pPr>
          </w:p>
        </w:tc>
        <w:tc>
          <w:tcPr>
            <w:tcW w:w="839" w:type="dxa"/>
            <w:vMerge w:val="continue"/>
            <w:shd w:val="clear" w:color="auto" w:fill="auto"/>
            <w:vAlign w:val="center"/>
          </w:tcPr>
          <w:p>
            <w:pPr>
              <w:widowControl/>
              <w:spacing w:line="360" w:lineRule="exact"/>
              <w:jc w:val="center"/>
              <w:rPr>
                <w:rFonts w:hint="eastAsia" w:asciiTheme="minorEastAsia" w:hAnsiTheme="minorEastAsia" w:eastAsiaTheme="minorEastAsia" w:cstheme="minorEastAsia"/>
                <w:color w:val="000000"/>
                <w:sz w:val="21"/>
                <w:szCs w:val="21"/>
              </w:rPr>
            </w:pPr>
          </w:p>
        </w:tc>
        <w:tc>
          <w:tcPr>
            <w:tcW w:w="836" w:type="dxa"/>
            <w:vMerge w:val="continue"/>
            <w:shd w:val="clear" w:color="auto" w:fill="auto"/>
            <w:vAlign w:val="center"/>
          </w:tcPr>
          <w:p>
            <w:pPr>
              <w:widowControl/>
              <w:spacing w:line="360" w:lineRule="exact"/>
              <w:jc w:val="center"/>
              <w:rPr>
                <w:rFonts w:hint="eastAsia" w:asciiTheme="minorEastAsia" w:hAnsiTheme="minorEastAsia" w:eastAsiaTheme="minorEastAsia" w:cstheme="minorEastAsia"/>
                <w:color w:val="000000"/>
                <w:sz w:val="21"/>
                <w:szCs w:val="21"/>
              </w:rPr>
            </w:pPr>
          </w:p>
        </w:tc>
        <w:tc>
          <w:tcPr>
            <w:tcW w:w="1037" w:type="dxa"/>
            <w:vMerge w:val="continue"/>
            <w:shd w:val="clear" w:color="auto" w:fill="auto"/>
            <w:vAlign w:val="center"/>
          </w:tcPr>
          <w:p>
            <w:pPr>
              <w:widowControl/>
              <w:spacing w:line="360" w:lineRule="exact"/>
              <w:jc w:val="left"/>
              <w:rPr>
                <w:rFonts w:hint="eastAsia" w:asciiTheme="minorEastAsia" w:hAnsiTheme="minorEastAsia" w:eastAsiaTheme="minorEastAsia" w:cstheme="minorEastAsia"/>
                <w:color w:val="000000"/>
                <w:sz w:val="21"/>
                <w:szCs w:val="21"/>
              </w:rPr>
            </w:pPr>
          </w:p>
        </w:tc>
        <w:tc>
          <w:tcPr>
            <w:tcW w:w="850" w:type="dxa"/>
            <w:shd w:val="clear" w:color="auto" w:fill="auto"/>
            <w:vAlign w:val="center"/>
          </w:tcPr>
          <w:p>
            <w:pPr>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8.1.3</w:t>
            </w:r>
          </w:p>
        </w:tc>
        <w:tc>
          <w:tcPr>
            <w:tcW w:w="1701"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在广州市参加志愿者服务</w:t>
            </w:r>
          </w:p>
        </w:tc>
        <w:tc>
          <w:tcPr>
            <w:tcW w:w="3260" w:type="dxa"/>
            <w:gridSpan w:val="2"/>
            <w:vMerge w:val="continue"/>
            <w:shd w:val="clear" w:color="auto" w:fill="auto"/>
            <w:vAlign w:val="center"/>
          </w:tcPr>
          <w:p>
            <w:pPr>
              <w:widowControl/>
              <w:spacing w:line="36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4" w:type="dxa"/>
            <w:vMerge w:val="continue"/>
            <w:vAlign w:val="center"/>
          </w:tcPr>
          <w:p>
            <w:pPr>
              <w:widowControl/>
              <w:spacing w:line="360" w:lineRule="exact"/>
              <w:jc w:val="left"/>
              <w:rPr>
                <w:rFonts w:hint="eastAsia" w:asciiTheme="minorEastAsia" w:hAnsiTheme="minorEastAsia" w:eastAsiaTheme="minorEastAsia" w:cstheme="minorEastAsia"/>
                <w:color w:val="000000"/>
                <w:sz w:val="21"/>
                <w:szCs w:val="21"/>
              </w:rPr>
            </w:pPr>
          </w:p>
        </w:tc>
        <w:tc>
          <w:tcPr>
            <w:tcW w:w="724" w:type="dxa"/>
            <w:shd w:val="clear" w:color="auto" w:fill="auto"/>
            <w:vAlign w:val="center"/>
          </w:tcPr>
          <w:p>
            <w:pPr>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p>
        </w:tc>
        <w:tc>
          <w:tcPr>
            <w:tcW w:w="5263" w:type="dxa"/>
            <w:gridSpan w:val="5"/>
            <w:shd w:val="clear" w:color="auto" w:fill="auto"/>
            <w:vAlign w:val="center"/>
          </w:tcPr>
          <w:p>
            <w:pPr>
              <w:widowControl/>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纳税</w:t>
            </w:r>
          </w:p>
        </w:tc>
        <w:tc>
          <w:tcPr>
            <w:tcW w:w="3260" w:type="dxa"/>
            <w:gridSpan w:val="2"/>
            <w:vMerge w:val="continue"/>
            <w:shd w:val="clear" w:color="auto" w:fill="auto"/>
            <w:vAlign w:val="center"/>
          </w:tcPr>
          <w:p>
            <w:pPr>
              <w:widowControl/>
              <w:spacing w:line="36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34" w:type="dxa"/>
            <w:vMerge w:val="continue"/>
            <w:shd w:val="clear" w:color="auto" w:fill="auto"/>
            <w:noWrap/>
            <w:textDirection w:val="tbRlV"/>
            <w:vAlign w:val="center"/>
          </w:tcPr>
          <w:p>
            <w:pPr>
              <w:widowControl/>
              <w:spacing w:line="360" w:lineRule="exact"/>
              <w:rPr>
                <w:rFonts w:hint="eastAsia" w:asciiTheme="minorEastAsia" w:hAnsiTheme="minorEastAsia" w:eastAsiaTheme="minorEastAsia" w:cstheme="minorEastAsia"/>
                <w:color w:val="000000"/>
                <w:sz w:val="21"/>
                <w:szCs w:val="21"/>
              </w:rPr>
            </w:pPr>
          </w:p>
        </w:tc>
        <w:tc>
          <w:tcPr>
            <w:tcW w:w="724" w:type="dxa"/>
            <w:shd w:val="clear" w:color="auto" w:fill="auto"/>
            <w:vAlign w:val="center"/>
          </w:tcPr>
          <w:p>
            <w:pPr>
              <w:spacing w:line="3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5263" w:type="dxa"/>
            <w:gridSpan w:val="5"/>
            <w:shd w:val="clear" w:color="auto" w:fill="auto"/>
            <w:vAlign w:val="center"/>
          </w:tcPr>
          <w:p>
            <w:pPr>
              <w:widowControl/>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表彰奖项</w:t>
            </w:r>
          </w:p>
        </w:tc>
        <w:tc>
          <w:tcPr>
            <w:tcW w:w="3260" w:type="dxa"/>
            <w:gridSpan w:val="2"/>
            <w:vMerge w:val="continue"/>
            <w:shd w:val="clear" w:color="auto" w:fill="auto"/>
            <w:vAlign w:val="center"/>
          </w:tcPr>
          <w:p>
            <w:pPr>
              <w:widowControl/>
              <w:spacing w:line="36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34" w:type="dxa"/>
            <w:vMerge w:val="restart"/>
            <w:shd w:val="clear" w:color="000000" w:fill="D7E4BC"/>
            <w:noWrap/>
            <w:vAlign w:val="center"/>
          </w:tcPr>
          <w:p>
            <w:pPr>
              <w:widowControl/>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番禺区加分指标</w:t>
            </w:r>
          </w:p>
        </w:tc>
        <w:tc>
          <w:tcPr>
            <w:tcW w:w="724" w:type="dxa"/>
            <w:vMerge w:val="restart"/>
            <w:shd w:val="clear" w:color="000000" w:fill="D7E4BC"/>
            <w:vAlign w:val="center"/>
          </w:tcPr>
          <w:p>
            <w:pPr>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w:t>
            </w:r>
          </w:p>
        </w:tc>
        <w:tc>
          <w:tcPr>
            <w:tcW w:w="839" w:type="dxa"/>
            <w:vMerge w:val="restart"/>
            <w:shd w:val="clear" w:color="000000" w:fill="D7E4BC"/>
            <w:vAlign w:val="center"/>
          </w:tcPr>
          <w:p>
            <w:pPr>
              <w:widowControl/>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区域加分</w:t>
            </w:r>
          </w:p>
        </w:tc>
        <w:tc>
          <w:tcPr>
            <w:tcW w:w="836" w:type="dxa"/>
            <w:shd w:val="clear" w:color="000000" w:fill="D7E4BC"/>
            <w:vAlign w:val="center"/>
          </w:tcPr>
          <w:p>
            <w:pPr>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w:t>
            </w:r>
          </w:p>
        </w:tc>
        <w:tc>
          <w:tcPr>
            <w:tcW w:w="3588" w:type="dxa"/>
            <w:gridSpan w:val="3"/>
            <w:shd w:val="clear" w:color="000000" w:fill="D7E4BC"/>
            <w:vAlign w:val="center"/>
          </w:tcPr>
          <w:p>
            <w:pPr>
              <w:widowControl/>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持在番禺区办理（申办或签注）且在有效期内的《广东省居住证》。父（母）或监护人均符合的计21分，仅一方符合的计11分，否则不得分。</w:t>
            </w:r>
          </w:p>
        </w:tc>
        <w:tc>
          <w:tcPr>
            <w:tcW w:w="2552" w:type="dxa"/>
            <w:shd w:val="clear" w:color="000000" w:fill="D7E4BC"/>
            <w:vAlign w:val="center"/>
          </w:tcPr>
          <w:p>
            <w:pPr>
              <w:widowControl/>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在“番禺区来穗人员随迁子女积分制入学申请系统”上根据居住证地址进行审核积分。</w:t>
            </w:r>
          </w:p>
        </w:tc>
        <w:tc>
          <w:tcPr>
            <w:tcW w:w="708" w:type="dxa"/>
            <w:vMerge w:val="restart"/>
            <w:shd w:val="clear" w:color="000000" w:fill="D7E4BC"/>
            <w:vAlign w:val="center"/>
          </w:tcPr>
          <w:p>
            <w:pPr>
              <w:widowControl/>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计算截至积分入学申请月的上月底。</w:t>
            </w: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其中：11.2.1和11.2.2项不同时得分。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34" w:type="dxa"/>
            <w:vMerge w:val="continue"/>
            <w:vAlign w:val="center"/>
          </w:tcPr>
          <w:p>
            <w:pPr>
              <w:widowControl/>
              <w:spacing w:line="320" w:lineRule="exact"/>
              <w:jc w:val="left"/>
              <w:rPr>
                <w:rFonts w:hint="eastAsia" w:asciiTheme="minorEastAsia" w:hAnsiTheme="minorEastAsia" w:eastAsiaTheme="minorEastAsia" w:cstheme="minorEastAsia"/>
                <w:color w:val="000000"/>
                <w:sz w:val="21"/>
                <w:szCs w:val="21"/>
              </w:rPr>
            </w:pPr>
          </w:p>
        </w:tc>
        <w:tc>
          <w:tcPr>
            <w:tcW w:w="724" w:type="dxa"/>
            <w:vMerge w:val="continue"/>
            <w:vAlign w:val="center"/>
          </w:tcPr>
          <w:p>
            <w:pPr>
              <w:widowControl/>
              <w:spacing w:line="320" w:lineRule="exact"/>
              <w:jc w:val="left"/>
              <w:rPr>
                <w:rFonts w:hint="eastAsia" w:asciiTheme="minorEastAsia" w:hAnsiTheme="minorEastAsia" w:eastAsiaTheme="minorEastAsia" w:cstheme="minorEastAsia"/>
                <w:sz w:val="21"/>
                <w:szCs w:val="21"/>
              </w:rPr>
            </w:pPr>
          </w:p>
        </w:tc>
        <w:tc>
          <w:tcPr>
            <w:tcW w:w="839" w:type="dxa"/>
            <w:vMerge w:val="continue"/>
            <w:vAlign w:val="center"/>
          </w:tcPr>
          <w:p>
            <w:pPr>
              <w:widowControl/>
              <w:spacing w:line="320" w:lineRule="exact"/>
              <w:jc w:val="left"/>
              <w:rPr>
                <w:rFonts w:hint="eastAsia" w:asciiTheme="minorEastAsia" w:hAnsiTheme="minorEastAsia" w:eastAsiaTheme="minorEastAsia" w:cstheme="minorEastAsia"/>
                <w:sz w:val="21"/>
                <w:szCs w:val="21"/>
              </w:rPr>
            </w:pPr>
          </w:p>
        </w:tc>
        <w:tc>
          <w:tcPr>
            <w:tcW w:w="836" w:type="dxa"/>
            <w:vMerge w:val="restart"/>
            <w:shd w:val="clear" w:color="000000" w:fill="D7E4BC"/>
            <w:vAlign w:val="center"/>
          </w:tcPr>
          <w:p>
            <w:pPr>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w:t>
            </w:r>
          </w:p>
        </w:tc>
        <w:tc>
          <w:tcPr>
            <w:tcW w:w="1037" w:type="dxa"/>
            <w:vMerge w:val="restart"/>
            <w:shd w:val="clear" w:color="000000" w:fill="D7E4BC"/>
            <w:vAlign w:val="center"/>
          </w:tcPr>
          <w:p>
            <w:pPr>
              <w:widowControl/>
              <w:spacing w:line="32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在番禺区</w:t>
            </w:r>
          </w:p>
          <w:p>
            <w:pPr>
              <w:widowControl/>
              <w:spacing w:line="32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合法稳定</w:t>
            </w:r>
          </w:p>
          <w:p>
            <w:pPr>
              <w:widowControl/>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住    所</w:t>
            </w:r>
          </w:p>
        </w:tc>
        <w:tc>
          <w:tcPr>
            <w:tcW w:w="850" w:type="dxa"/>
            <w:shd w:val="clear" w:color="000000" w:fill="D7E4BC"/>
            <w:vAlign w:val="center"/>
          </w:tcPr>
          <w:p>
            <w:pPr>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11.2.1</w:t>
            </w:r>
          </w:p>
        </w:tc>
        <w:tc>
          <w:tcPr>
            <w:tcW w:w="1701" w:type="dxa"/>
            <w:shd w:val="clear" w:color="000000" w:fill="D7E4BC"/>
            <w:vAlign w:val="center"/>
          </w:tcPr>
          <w:p>
            <w:pPr>
              <w:widowControl/>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在番禺区合法租住获得安全星级评定的出租屋，安全星级评定为3星级计9分，2星级计6分，1星级计3分。</w:t>
            </w:r>
          </w:p>
        </w:tc>
        <w:tc>
          <w:tcPr>
            <w:tcW w:w="2552" w:type="dxa"/>
            <w:shd w:val="clear" w:color="000000" w:fill="D7E4BC"/>
            <w:vAlign w:val="center"/>
          </w:tcPr>
          <w:p>
            <w:pPr>
              <w:widowControl/>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在“番禺区来穗人员随迁子女积分制入学申请系统”上根据居住证地址进行审核积分。当前居住证地址需与合法租住获得安全星级评定的出租屋地址一致。此项取父（母）或监护人分值高的一方。</w:t>
            </w:r>
          </w:p>
        </w:tc>
        <w:tc>
          <w:tcPr>
            <w:tcW w:w="708" w:type="dxa"/>
            <w:vMerge w:val="continue"/>
            <w:shd w:val="clear" w:color="000000" w:fill="D7E4BC"/>
            <w:vAlign w:val="center"/>
          </w:tcPr>
          <w:p>
            <w:pPr>
              <w:widowControl/>
              <w:spacing w:line="320" w:lineRule="exact"/>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34" w:type="dxa"/>
            <w:vMerge w:val="continue"/>
            <w:vAlign w:val="center"/>
          </w:tcPr>
          <w:p>
            <w:pPr>
              <w:widowControl/>
              <w:spacing w:line="320" w:lineRule="exact"/>
              <w:jc w:val="left"/>
              <w:rPr>
                <w:rFonts w:hint="eastAsia" w:asciiTheme="minorEastAsia" w:hAnsiTheme="minorEastAsia" w:eastAsiaTheme="minorEastAsia" w:cstheme="minorEastAsia"/>
                <w:color w:val="000000"/>
                <w:sz w:val="21"/>
                <w:szCs w:val="21"/>
              </w:rPr>
            </w:pPr>
          </w:p>
        </w:tc>
        <w:tc>
          <w:tcPr>
            <w:tcW w:w="724" w:type="dxa"/>
            <w:vMerge w:val="continue"/>
            <w:vAlign w:val="center"/>
          </w:tcPr>
          <w:p>
            <w:pPr>
              <w:widowControl/>
              <w:spacing w:line="320" w:lineRule="exact"/>
              <w:jc w:val="left"/>
              <w:rPr>
                <w:rFonts w:hint="eastAsia" w:asciiTheme="minorEastAsia" w:hAnsiTheme="minorEastAsia" w:eastAsiaTheme="minorEastAsia" w:cstheme="minorEastAsia"/>
                <w:sz w:val="21"/>
                <w:szCs w:val="21"/>
              </w:rPr>
            </w:pPr>
          </w:p>
        </w:tc>
        <w:tc>
          <w:tcPr>
            <w:tcW w:w="839" w:type="dxa"/>
            <w:vMerge w:val="continue"/>
            <w:vAlign w:val="center"/>
          </w:tcPr>
          <w:p>
            <w:pPr>
              <w:widowControl/>
              <w:spacing w:line="320" w:lineRule="exact"/>
              <w:jc w:val="left"/>
              <w:rPr>
                <w:rFonts w:hint="eastAsia" w:asciiTheme="minorEastAsia" w:hAnsiTheme="minorEastAsia" w:eastAsiaTheme="minorEastAsia" w:cstheme="minorEastAsia"/>
                <w:sz w:val="21"/>
                <w:szCs w:val="21"/>
              </w:rPr>
            </w:pPr>
          </w:p>
        </w:tc>
        <w:tc>
          <w:tcPr>
            <w:tcW w:w="836" w:type="dxa"/>
            <w:vMerge w:val="continue"/>
            <w:shd w:val="clear" w:color="000000" w:fill="D7E4BC"/>
            <w:vAlign w:val="center"/>
          </w:tcPr>
          <w:p>
            <w:pPr>
              <w:widowControl/>
              <w:spacing w:line="320" w:lineRule="exact"/>
              <w:jc w:val="center"/>
              <w:rPr>
                <w:rFonts w:hint="eastAsia" w:asciiTheme="minorEastAsia" w:hAnsiTheme="minorEastAsia" w:eastAsiaTheme="minorEastAsia" w:cstheme="minorEastAsia"/>
                <w:sz w:val="21"/>
                <w:szCs w:val="21"/>
              </w:rPr>
            </w:pPr>
          </w:p>
        </w:tc>
        <w:tc>
          <w:tcPr>
            <w:tcW w:w="1037" w:type="dxa"/>
            <w:vMerge w:val="continue"/>
            <w:shd w:val="clear" w:color="000000" w:fill="D7E4BC"/>
            <w:vAlign w:val="center"/>
          </w:tcPr>
          <w:p>
            <w:pPr>
              <w:widowControl/>
              <w:spacing w:line="320" w:lineRule="exact"/>
              <w:jc w:val="center"/>
              <w:rPr>
                <w:rFonts w:hint="eastAsia" w:asciiTheme="minorEastAsia" w:hAnsiTheme="minorEastAsia" w:eastAsiaTheme="minorEastAsia" w:cstheme="minorEastAsia"/>
                <w:sz w:val="21"/>
                <w:szCs w:val="21"/>
              </w:rPr>
            </w:pPr>
          </w:p>
        </w:tc>
        <w:tc>
          <w:tcPr>
            <w:tcW w:w="850" w:type="dxa"/>
            <w:shd w:val="clear" w:color="000000" w:fill="D7E4BC"/>
            <w:vAlign w:val="center"/>
          </w:tcPr>
          <w:p>
            <w:pPr>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11.2.2</w:t>
            </w:r>
          </w:p>
        </w:tc>
        <w:tc>
          <w:tcPr>
            <w:tcW w:w="1701" w:type="dxa"/>
            <w:shd w:val="clear" w:color="000000" w:fill="D7E4BC"/>
            <w:vAlign w:val="center"/>
          </w:tcPr>
          <w:p>
            <w:pPr>
              <w:widowControl/>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在番禺区拥有自有合法产权房计9分。</w:t>
            </w:r>
          </w:p>
        </w:tc>
        <w:tc>
          <w:tcPr>
            <w:tcW w:w="2552" w:type="dxa"/>
            <w:shd w:val="clear" w:color="000000" w:fill="D7E4BC"/>
            <w:vAlign w:val="center"/>
          </w:tcPr>
          <w:p>
            <w:pPr>
              <w:widowControl/>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在“番禺区来穗人员随迁子女积分制入学申请系统”上根据所填房产证相关资料进行审核积分。此项取父（母）或监护人分值高的一方。</w:t>
            </w:r>
          </w:p>
        </w:tc>
        <w:tc>
          <w:tcPr>
            <w:tcW w:w="708" w:type="dxa"/>
            <w:vMerge w:val="continue"/>
            <w:shd w:val="clear" w:color="000000" w:fill="D7E4BC"/>
            <w:vAlign w:val="center"/>
          </w:tcPr>
          <w:p>
            <w:pPr>
              <w:widowControl/>
              <w:spacing w:line="320" w:lineRule="exact"/>
              <w:jc w:val="left"/>
              <w:rPr>
                <w:rFonts w:hint="eastAsia" w:asciiTheme="minorEastAsia" w:hAnsiTheme="minorEastAsia" w:eastAsiaTheme="minorEastAsia" w:cstheme="minorEastAsia"/>
                <w:sz w:val="21"/>
                <w:szCs w:val="21"/>
              </w:rPr>
            </w:pPr>
          </w:p>
        </w:tc>
      </w:tr>
    </w:tbl>
    <w:p>
      <w:pPr>
        <w:widowControl/>
        <w:shd w:val="clear" w:color="auto" w:fill="FFFFFF"/>
        <w:ind w:firstLine="452" w:firstLineChars="200"/>
        <w:rPr>
          <w:rFonts w:ascii="仿宋_GB2312" w:hAnsi="微软雅黑" w:eastAsia="仿宋_GB2312"/>
          <w:spacing w:val="8"/>
          <w:szCs w:val="32"/>
        </w:rPr>
      </w:pPr>
      <w:r>
        <w:rPr>
          <w:rFonts w:hint="eastAsia" w:ascii="仿宋_GB2312" w:hAnsi="微软雅黑" w:eastAsia="仿宋_GB2312"/>
          <w:spacing w:val="8"/>
          <w:szCs w:val="32"/>
        </w:rPr>
        <w:t>本表说明：</w:t>
      </w:r>
    </w:p>
    <w:p>
      <w:pPr>
        <w:widowControl/>
        <w:shd w:val="clear" w:color="auto" w:fill="FFFFFF"/>
        <w:ind w:firstLine="480"/>
        <w:rPr>
          <w:rFonts w:ascii="仿宋_GB2312" w:hAnsi="微软雅黑" w:eastAsia="仿宋_GB2312"/>
          <w:spacing w:val="8"/>
          <w:szCs w:val="32"/>
        </w:rPr>
      </w:pPr>
      <w:r>
        <w:rPr>
          <w:rFonts w:hint="eastAsia" w:ascii="仿宋_GB2312" w:hAnsi="微软雅黑" w:eastAsia="仿宋_GB2312"/>
          <w:spacing w:val="8"/>
          <w:szCs w:val="32"/>
        </w:rPr>
        <w:t>一、来穗人员（以下称“父（母）或监护人”）经“广州市来穗人员积分制服务管理信息系统”核定有效积分、不在积分异议或积分调整流程中，且其在广州市居住并办理《广东省居住证》（或其申请入学的港澳籍适龄子女持有港澳居民居住证）截至提出入学申请当年8月31日前满1年的，可为随迁子女提出积分申请入学。</w:t>
      </w:r>
    </w:p>
    <w:p>
      <w:pPr>
        <w:widowControl/>
        <w:shd w:val="clear" w:color="auto" w:fill="FFFFFF"/>
        <w:ind w:firstLine="480"/>
        <w:rPr>
          <w:rFonts w:ascii="仿宋_GB2312" w:hAnsi="微软雅黑" w:eastAsia="仿宋_GB2312"/>
          <w:spacing w:val="8"/>
          <w:szCs w:val="32"/>
        </w:rPr>
      </w:pPr>
      <w:r>
        <w:rPr>
          <w:rFonts w:hint="eastAsia" w:ascii="仿宋_GB2312" w:hAnsi="微软雅黑" w:eastAsia="仿宋_GB2312"/>
          <w:spacing w:val="8"/>
          <w:szCs w:val="32"/>
        </w:rPr>
        <w:t>二、父（母）或监护人其中一方满足以下条件，即在番禺区居住并连续办理有效居住证满5年（截至积分入学申请月的上月底）、在广州市依法缴纳社会保险费（其中一个险种）满5年（积分结果以“广州市来穗人员积分制服务管理信息系统”审定为准）、有稳定职业，为第一批优先批次积分。</w:t>
      </w:r>
    </w:p>
    <w:p>
      <w:pPr>
        <w:widowControl/>
        <w:shd w:val="clear" w:color="auto" w:fill="FFFFFF"/>
        <w:ind w:firstLine="480"/>
        <w:rPr>
          <w:rFonts w:hint="eastAsia" w:ascii="仿宋_GB2312" w:hAnsi="微软雅黑" w:eastAsia="仿宋_GB2312"/>
          <w:spacing w:val="8"/>
          <w:szCs w:val="32"/>
        </w:rPr>
      </w:pPr>
      <w:r>
        <w:rPr>
          <w:rFonts w:hint="eastAsia" w:ascii="仿宋_GB2312" w:hAnsi="微软雅黑" w:eastAsia="仿宋_GB2312"/>
          <w:spacing w:val="8"/>
          <w:szCs w:val="32"/>
        </w:rPr>
        <w:t>三、父（母）或监护人双方同是来穗人员，且其《广东省居住证》符合上述第一款条件的，可累计积分（第11项番禺区加分项除外）。</w:t>
      </w:r>
    </w:p>
    <w:p>
      <w:pPr>
        <w:widowControl/>
        <w:shd w:val="clear" w:color="auto" w:fill="FFFFFF"/>
        <w:ind w:firstLine="480"/>
        <w:rPr>
          <w:rFonts w:ascii="仿宋_GB2312" w:eastAsia="仿宋_GB2312"/>
          <w:szCs w:val="32"/>
        </w:rPr>
      </w:pPr>
      <w:r>
        <w:rPr>
          <w:rFonts w:hint="eastAsia" w:ascii="仿宋_GB2312" w:hAnsi="微软雅黑" w:eastAsia="仿宋_GB2312"/>
          <w:spacing w:val="8"/>
          <w:szCs w:val="32"/>
        </w:rPr>
        <w:t>四、根据《广州市人民政府关于印发广州市来穗人员积分制服务管理规定（试行）的通知》及其实施细则要求，各区在广州市来穗人员积分制指标体系之外，补充不超过30分的加分指标。本积分项目第1项至第10项需父（母）或监护人提前在“广州市来穗人员积分制服务管理信息系统 ”上提出积分申请。第11项为番禺区区域加分项，需父（母）或监护人在“番禺区来穗人员随迁子女积分制入学申请系统”上提出加分申请</w:t>
      </w:r>
      <w:r>
        <w:rPr>
          <w:rFonts w:hint="eastAsia" w:ascii="仿宋_GB2312" w:eastAsia="仿宋_GB2312"/>
          <w:szCs w:val="32"/>
        </w:rPr>
        <w:t>。</w:t>
      </w:r>
    </w:p>
    <w:p/>
    <w:sectPr>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37032"/>
    <w:rsid w:val="7013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2022-02-16T07:15:00Z</dcterms:created>
  <dc:creator>Administrator</dc:creator>
  <cp:lastModifiedBy>Administrator</cp:lastModifiedBy>
  <dcterms:modified xsi:type="dcterms:W3CDTF">2022-02-16T07:16:51Z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