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line="523" w:lineRule="exact"/>
        <w:ind w:left="613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9"/>
          <w:sz w:val="20"/>
          <w:szCs w:val="20"/>
        </w:rPr>
        <w:drawing>
          <wp:inline distT="0" distB="0" distL="0" distR="0">
            <wp:extent cx="5313680" cy="3321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187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line="523" w:lineRule="exact"/>
        <w:ind w:left="402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9"/>
          <w:sz w:val="20"/>
          <w:szCs w:val="20"/>
        </w:rPr>
        <w:drawing>
          <wp:inline distT="0" distB="0" distL="0" distR="0">
            <wp:extent cx="5595620" cy="3321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127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before="141" w:line="357" w:lineRule="auto"/>
        <w:ind w:right="0"/>
        <w:jc w:val="left"/>
      </w:pPr>
      <w:r>
        <w:rPr>
          <w:spacing w:val="-1"/>
          <w:w w:val="95"/>
        </w:rPr>
        <w:t>各地级以上市财政局，财政省直管县（市）财政局，横琴粤澳深</w:t>
      </w:r>
      <w:r>
        <w:rPr>
          <w:spacing w:val="62"/>
          <w:w w:val="95"/>
        </w:rPr>
        <w:t xml:space="preserve"> </w:t>
      </w:r>
      <w:r>
        <w:rPr>
          <w:spacing w:val="3"/>
        </w:rPr>
        <w:t>度合作区财政局：</w:t>
      </w:r>
    </w:p>
    <w:p>
      <w:pPr>
        <w:pStyle w:val="2"/>
        <w:spacing w:before="46" w:line="357" w:lineRule="auto"/>
        <w:ind w:right="192" w:firstLine="641"/>
        <w:jc w:val="both"/>
      </w:pPr>
      <w:r>
        <w:rPr>
          <w:spacing w:val="3"/>
        </w:rPr>
        <w:t>为支持地方落实好其他减税降费政策，根据《财政部关于下</w:t>
      </w:r>
      <w:r>
        <w:rPr>
          <w:w w:val="98"/>
        </w:rPr>
        <w:t xml:space="preserve"> </w:t>
      </w:r>
      <w:r>
        <w:rPr>
          <w:spacing w:val="15"/>
        </w:rPr>
        <w:t>达第二批支持基层落实减税降费和重点民生等转移支付资金预</w:t>
      </w:r>
      <w:r>
        <w:rPr>
          <w:w w:val="98"/>
        </w:rPr>
        <w:t xml:space="preserve"> </w:t>
      </w:r>
      <w:r>
        <w:rPr>
          <w:spacing w:val="-10"/>
        </w:rPr>
        <w:t>算的通知》（财预〔2022〕64</w:t>
      </w:r>
      <w:r>
        <w:rPr>
          <w:spacing w:val="-102"/>
        </w:rPr>
        <w:t xml:space="preserve"> </w:t>
      </w:r>
      <w:r>
        <w:rPr>
          <w:spacing w:val="-11"/>
        </w:rPr>
        <w:t>号），现下达你市</w:t>
      </w:r>
      <w:r>
        <w:rPr>
          <w:rFonts w:ascii="宋体" w:hAnsi="宋体" w:eastAsia="宋体" w:cs="宋体"/>
          <w:spacing w:val="-11"/>
        </w:rPr>
        <w:t>、</w:t>
      </w:r>
      <w:r>
        <w:rPr>
          <w:spacing w:val="-11"/>
        </w:rPr>
        <w:t>县（市、区）第</w:t>
      </w:r>
      <w:r>
        <w:rPr>
          <w:w w:val="98"/>
        </w:rPr>
        <w:t xml:space="preserve"> </w:t>
      </w:r>
      <w:r>
        <w:rPr>
          <w:spacing w:val="14"/>
        </w:rPr>
        <w:t>二批支持基层落实减税降费和重点民生等转移支付资金预算指</w:t>
      </w:r>
      <w:r>
        <w:rPr>
          <w:w w:val="98"/>
        </w:rPr>
        <w:t xml:space="preserve"> </w:t>
      </w:r>
      <w:r>
        <w:rPr>
          <w:spacing w:val="2"/>
        </w:rPr>
        <w:t>标（资金额度、科目、项目代码详见附件），用于弥补政策性减</w:t>
      </w:r>
      <w:r>
        <w:rPr>
          <w:w w:val="98"/>
        </w:rPr>
        <w:t xml:space="preserve"> </w:t>
      </w:r>
      <w:r>
        <w:rPr>
          <w:spacing w:val="-3"/>
          <w:w w:val="95"/>
        </w:rPr>
        <w:t>收，缓解财政收支矛盾，促进县区财政平稳运行。有关要求如下：</w:t>
      </w:r>
    </w:p>
    <w:p>
      <w:pPr>
        <w:pStyle w:val="2"/>
        <w:spacing w:before="48" w:line="357" w:lineRule="auto"/>
        <w:ind w:right="179" w:firstLine="641"/>
        <w:jc w:val="both"/>
      </w:pPr>
      <w:r>
        <w:rPr>
          <w:spacing w:val="-17"/>
          <w:w w:val="95"/>
        </w:rPr>
        <w:t>一、该项补助纳入直达资金范围，标识为“01</w:t>
      </w:r>
      <w:r>
        <w:rPr>
          <w:spacing w:val="-10"/>
          <w:w w:val="95"/>
        </w:rPr>
        <w:t xml:space="preserve"> </w:t>
      </w:r>
      <w:r>
        <w:rPr>
          <w:spacing w:val="-17"/>
          <w:w w:val="95"/>
        </w:rPr>
        <w:t>中央直达资金”，</w:t>
      </w:r>
      <w:r>
        <w:rPr>
          <w:w w:val="99"/>
        </w:rPr>
        <w:t xml:space="preserve"> </w:t>
      </w:r>
      <w:r>
        <w:rPr>
          <w:spacing w:val="3"/>
        </w:rPr>
        <w:t>该标识贯穿资金分配、拨付、使用等整个环节，且保持不变。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before="10"/>
        <w:ind w:left="0" w:right="107" w:firstLine="0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/>
          <w:sz w:val="31"/>
        </w:rPr>
        <w:t>- 1</w:t>
      </w:r>
      <w:r>
        <w:rPr>
          <w:rFonts w:ascii="宋体"/>
          <w:spacing w:val="16"/>
          <w:sz w:val="31"/>
        </w:rPr>
        <w:t xml:space="preserve"> </w:t>
      </w:r>
      <w:r>
        <w:rPr>
          <w:rFonts w:ascii="宋体"/>
          <w:sz w:val="31"/>
        </w:rPr>
        <w:t>-</w:t>
      </w:r>
    </w:p>
    <w:p>
      <w:pPr>
        <w:spacing w:after="0"/>
        <w:jc w:val="right"/>
        <w:rPr>
          <w:rFonts w:ascii="宋体" w:hAnsi="宋体" w:eastAsia="宋体" w:cs="宋体"/>
          <w:sz w:val="31"/>
          <w:szCs w:val="31"/>
        </w:rPr>
        <w:sectPr>
          <w:type w:val="continuous"/>
          <w:pgSz w:w="11900" w:h="16840"/>
          <w:pgMar w:top="1600" w:right="1060" w:bottom="280" w:left="1160" w:header="720" w:footer="720" w:gutter="0"/>
        </w:sectPr>
      </w:pPr>
    </w:p>
    <w:p>
      <w:pPr>
        <w:spacing w:before="8" w:line="240" w:lineRule="auto"/>
        <w:rPr>
          <w:rFonts w:ascii="宋体" w:hAnsi="宋体" w:eastAsia="宋体" w:cs="宋体"/>
          <w:sz w:val="29"/>
          <w:szCs w:val="29"/>
        </w:rPr>
      </w:pPr>
    </w:p>
    <w:p>
      <w:pPr>
        <w:pStyle w:val="2"/>
        <w:spacing w:line="240" w:lineRule="auto"/>
        <w:ind w:left="1111" w:right="0"/>
        <w:jc w:val="left"/>
      </w:pPr>
      <w:r>
        <w:rPr>
          <w:spacing w:val="9"/>
        </w:rPr>
        <w:t>二、地级以上市财政部门请在</w:t>
      </w:r>
      <w:r>
        <w:rPr>
          <w:spacing w:val="-87"/>
        </w:rPr>
        <w:t xml:space="preserve"> </w:t>
      </w:r>
      <w:r>
        <w:t>4</w:t>
      </w:r>
      <w:r>
        <w:rPr>
          <w:spacing w:val="-92"/>
        </w:rPr>
        <w:t xml:space="preserve"> </w:t>
      </w:r>
      <w:r>
        <w:t>月</w:t>
      </w:r>
      <w:r>
        <w:rPr>
          <w:spacing w:val="-90"/>
        </w:rPr>
        <w:t xml:space="preserve"> </w:t>
      </w:r>
      <w:r>
        <w:t>27</w:t>
      </w:r>
      <w:r>
        <w:rPr>
          <w:spacing w:val="-90"/>
        </w:rPr>
        <w:t xml:space="preserve"> </w:t>
      </w:r>
      <w:r>
        <w:rPr>
          <w:spacing w:val="8"/>
        </w:rPr>
        <w:t>日前将省级带帽至县</w:t>
      </w:r>
    </w:p>
    <w:p>
      <w:pPr>
        <w:pStyle w:val="2"/>
        <w:spacing w:before="204" w:line="357" w:lineRule="auto"/>
        <w:ind w:left="470" w:right="99"/>
        <w:jc w:val="both"/>
      </w:pPr>
      <w:r>
        <w:rPr>
          <w:spacing w:val="2"/>
          <w:w w:val="95"/>
        </w:rPr>
        <w:t>（市、区）的资金预算指标下达至有关县（市、区），并将资金</w:t>
      </w:r>
      <w:r>
        <w:rPr>
          <w:spacing w:val="78"/>
          <w:w w:val="95"/>
        </w:rPr>
        <w:t xml:space="preserve"> </w:t>
      </w:r>
      <w:r>
        <w:rPr>
          <w:spacing w:val="2"/>
          <w:w w:val="95"/>
        </w:rPr>
        <w:t>发文抄送省财政厅（预算处）。地级以上市财政在下达直达资金</w:t>
      </w:r>
      <w:r>
        <w:rPr>
          <w:spacing w:val="76"/>
          <w:w w:val="95"/>
        </w:rPr>
        <w:t xml:space="preserve"> </w:t>
      </w:r>
      <w:r>
        <w:rPr>
          <w:spacing w:val="3"/>
          <w:w w:val="95"/>
        </w:rPr>
        <w:t>时，应单独下发预算指标文件，并保持中央直达资金标识不变，</w:t>
      </w:r>
      <w:r>
        <w:rPr>
          <w:spacing w:val="77"/>
          <w:w w:val="95"/>
        </w:rPr>
        <w:t xml:space="preserve"> </w:t>
      </w:r>
      <w:r>
        <w:rPr>
          <w:spacing w:val="3"/>
          <w:w w:val="95"/>
        </w:rPr>
        <w:t>同时，在指标管理系统中及时登录有关指标和直达资金标识，导</w:t>
      </w:r>
      <w:r>
        <w:rPr>
          <w:spacing w:val="54"/>
          <w:w w:val="95"/>
        </w:rPr>
        <w:t xml:space="preserve"> </w:t>
      </w:r>
      <w:r>
        <w:rPr>
          <w:spacing w:val="3"/>
        </w:rPr>
        <w:t>入直达资金监控系统，确保数据真实、账目清晰、流向明确。</w:t>
      </w:r>
    </w:p>
    <w:p>
      <w:pPr>
        <w:pStyle w:val="2"/>
        <w:spacing w:before="49" w:line="357" w:lineRule="auto"/>
        <w:ind w:left="470" w:right="117" w:firstLine="641"/>
        <w:jc w:val="both"/>
      </w:pPr>
      <w:r>
        <w:rPr>
          <w:spacing w:val="3"/>
          <w:w w:val="95"/>
        </w:rPr>
        <w:t>三、将上述直达资金分解落实到基层财政部门时，对于资金</w:t>
      </w:r>
      <w:r>
        <w:rPr>
          <w:w w:val="98"/>
        </w:rPr>
        <w:t xml:space="preserve"> </w:t>
      </w:r>
      <w:r>
        <w:rPr>
          <w:spacing w:val="14"/>
          <w:w w:val="95"/>
        </w:rPr>
        <w:t>来源既包含上述直达资金又包含其他资金的，应在预算指标文</w:t>
      </w:r>
      <w:r>
        <w:rPr>
          <w:spacing w:val="48"/>
          <w:w w:val="95"/>
        </w:rPr>
        <w:t xml:space="preserve"> </w:t>
      </w:r>
      <w:r>
        <w:rPr>
          <w:spacing w:val="3"/>
          <w:w w:val="95"/>
        </w:rPr>
        <w:t>件、指标管理系统中按资金明细来源分别列示，在指标系统中分</w:t>
      </w:r>
      <w:r>
        <w:rPr>
          <w:spacing w:val="58"/>
          <w:w w:val="95"/>
        </w:rPr>
        <w:t xml:space="preserve"> </w:t>
      </w:r>
      <w:r>
        <w:rPr>
          <w:spacing w:val="3"/>
        </w:rPr>
        <w:t>别登录，并将上述直达资金部分导入直达资金监控系统。</w:t>
      </w:r>
    </w:p>
    <w:p>
      <w:pPr>
        <w:spacing w:before="10" w:line="240" w:lineRule="auto"/>
        <w:rPr>
          <w:rFonts w:ascii="宋体" w:hAnsi="宋体" w:eastAsia="宋体" w:cs="宋体"/>
          <w:sz w:val="45"/>
          <w:szCs w:val="45"/>
        </w:rPr>
      </w:pPr>
    </w:p>
    <w:p>
      <w:pPr>
        <w:pStyle w:val="2"/>
        <w:spacing w:line="355" w:lineRule="auto"/>
        <w:ind w:left="2054" w:right="0" w:hanging="951"/>
        <w:jc w:val="left"/>
      </w:pPr>
      <w:r>
        <w:rPr>
          <w:spacing w:val="3"/>
          <w:w w:val="95"/>
        </w:rPr>
        <w:t>附件：支持基层落实减税降费和重点民生等转移支付预算分</w:t>
      </w:r>
      <w:r>
        <w:rPr>
          <w:spacing w:val="42"/>
          <w:w w:val="95"/>
        </w:rPr>
        <w:t xml:space="preserve"> </w:t>
      </w:r>
      <w:r>
        <w:t>配表（第二批）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1" w:line="240" w:lineRule="auto"/>
        <w:rPr>
          <w:rFonts w:ascii="宋体" w:hAnsi="宋体" w:eastAsia="宋体" w:cs="宋体"/>
          <w:sz w:val="45"/>
          <w:szCs w:val="45"/>
        </w:rPr>
      </w:pPr>
    </w:p>
    <w:p>
      <w:pPr>
        <w:pStyle w:val="2"/>
        <w:spacing w:line="357" w:lineRule="auto"/>
        <w:ind w:left="5919" w:right="983" w:firstLine="100"/>
        <w:jc w:val="left"/>
        <w:sectPr>
          <w:footerReference r:id="rId3" w:type="even"/>
          <w:pgSz w:w="11900" w:h="16840"/>
          <w:pgMar w:top="1600" w:right="1280" w:bottom="900" w:left="1060" w:header="0" w:footer="719" w:gutter="0"/>
          <w:pgNumType w:start="2"/>
        </w:sectPr>
      </w:pPr>
      <w:r>
        <w:rPr>
          <w:spacing w:val="3"/>
        </w:rPr>
        <w:t>广东省财政厅</w:t>
      </w:r>
      <w:r>
        <w:rPr>
          <w:w w:val="99"/>
        </w:rPr>
        <w:t xml:space="preserve"> </w:t>
      </w:r>
      <w:r>
        <w:t>2022</w:t>
      </w:r>
      <w:r>
        <w:rPr>
          <w:spacing w:val="-81"/>
        </w:rPr>
        <w:t xml:space="preserve"> </w:t>
      </w:r>
      <w:r>
        <w:t>年</w:t>
      </w:r>
      <w:r>
        <w:rPr>
          <w:spacing w:val="-81"/>
        </w:rPr>
        <w:t xml:space="preserve"> </w:t>
      </w:r>
      <w:r>
        <w:t>4</w:t>
      </w:r>
      <w:r>
        <w:rPr>
          <w:spacing w:val="-81"/>
        </w:rPr>
        <w:t xml:space="preserve"> </w:t>
      </w:r>
      <w:r>
        <w:t>月</w:t>
      </w:r>
      <w:r>
        <w:rPr>
          <w:spacing w:val="-79"/>
        </w:rPr>
        <w:t xml:space="preserve"> </w:t>
      </w:r>
      <w:r>
        <w:t>26</w:t>
      </w:r>
      <w:r>
        <w:rPr>
          <w:rFonts w:hint="eastAsia"/>
          <w:lang w:eastAsia="zh-CN"/>
        </w:rPr>
        <w:t>日</w:t>
      </w:r>
      <w:r>
        <w:rPr>
          <w:spacing w:val="-81"/>
        </w:rPr>
        <w:t xml:space="preserve"> </w:t>
      </w:r>
    </w:p>
    <w:p>
      <w:pPr>
        <w:spacing w:line="28" w:lineRule="exact"/>
        <w:ind w:right="0"/>
        <w:rPr>
          <w:rFonts w:ascii="宋体" w:hAnsi="宋体" w:eastAsia="宋体" w:cs="宋体"/>
          <w:sz w:val="2"/>
          <w:szCs w:val="2"/>
        </w:rPr>
      </w:pPr>
      <w:bookmarkStart w:id="0" w:name="_GoBack"/>
      <w:bookmarkEnd w:id="0"/>
    </w:p>
    <w:sectPr>
      <w:footerReference r:id="rId4" w:type="default"/>
      <w:footerReference r:id="rId5" w:type="even"/>
      <w:pgSz w:w="11910" w:h="16850"/>
      <w:pgMar w:top="1600" w:right="1440" w:bottom="280" w:left="14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57.65pt;margin-top:794.05pt;height:19.2pt;width:4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62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/>
                    <w:w w:val="102"/>
                    <w:sz w:val="31"/>
                  </w:rPr>
                  <w:t>-</w:t>
                </w:r>
                <w:r>
                  <w:rPr>
                    <w:rFonts w:ascii="宋体"/>
                    <w:spacing w:val="3"/>
                    <w:sz w:val="3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w w:val="102"/>
                    <w:sz w:val="3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pacing w:val="3"/>
                    <w:sz w:val="31"/>
                  </w:rPr>
                  <w:t xml:space="preserve"> </w:t>
                </w:r>
                <w:r>
                  <w:rPr>
                    <w:rFonts w:ascii="宋体"/>
                    <w:w w:val="102"/>
                    <w:sz w:val="31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57.65pt;margin-top:795.35pt;height:17.85pt;width:4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36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/>
                    <w:w w:val="102"/>
                    <w:sz w:val="31"/>
                  </w:rPr>
                  <w:t>-</w:t>
                </w:r>
                <w:r>
                  <w:rPr>
                    <w:rFonts w:ascii="宋体"/>
                    <w:spacing w:val="3"/>
                    <w:sz w:val="3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w w:val="102"/>
                    <w:sz w:val="31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宋体"/>
                    <w:spacing w:val="3"/>
                    <w:sz w:val="31"/>
                  </w:rPr>
                  <w:t xml:space="preserve"> </w:t>
                </w:r>
                <w:r>
                  <w:rPr>
                    <w:rFonts w:ascii="宋体"/>
                    <w:w w:val="102"/>
                    <w:sz w:val="31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71A5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70"/>
    </w:pPr>
    <w:rPr>
      <w:rFonts w:ascii="宋体" w:hAnsi="宋体" w:eastAsia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2022-05-24T10:31:00Z</dcterms:created>
  <dc:creator>Administrator</dc:creator>
  <cp:lastModifiedBy>叶玲</cp:lastModifiedBy>
  <dcterms:modified xsi:type="dcterms:W3CDTF">2022-05-24T02:32:44Z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