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360" w:lineRule="auto"/>
        <w:ind w:left="-5" w:leftChars="-85" w:hanging="173" w:hangingChars="24"/>
        <w:jc w:val="center"/>
        <w:rPr>
          <w:rFonts w:hint="eastAsia" w:ascii="宋体" w:hAnsi="宋体"/>
          <w:b/>
          <w:sz w:val="72"/>
          <w:szCs w:val="72"/>
        </w:rPr>
      </w:pPr>
    </w:p>
    <w:p>
      <w:pPr>
        <w:spacing w:before="312" w:line="360" w:lineRule="auto"/>
        <w:ind w:left="-5" w:leftChars="-85" w:hanging="173" w:hangingChars="24"/>
        <w:jc w:val="center"/>
        <w:rPr>
          <w:rFonts w:ascii="宋体" w:hAnsi="宋体"/>
          <w:b/>
          <w:sz w:val="72"/>
          <w:szCs w:val="72"/>
        </w:rPr>
      </w:pPr>
      <w:r>
        <w:rPr>
          <w:rFonts w:hint="eastAsia" w:ascii="宋体" w:hAnsi="宋体"/>
          <w:b/>
          <w:sz w:val="72"/>
          <w:szCs w:val="72"/>
        </w:rPr>
        <w:t>技术服务合同</w:t>
      </w:r>
    </w:p>
    <w:p>
      <w:pPr>
        <w:snapToGrid w:val="0"/>
        <w:spacing w:line="360" w:lineRule="auto"/>
        <w:jc w:val="center"/>
        <w:rPr>
          <w:rFonts w:hint="eastAsia" w:eastAsia="宋体"/>
          <w:sz w:val="30"/>
          <w:lang w:eastAsia="zh-CN"/>
        </w:rPr>
      </w:pPr>
      <w:r>
        <w:rPr>
          <w:rFonts w:hint="eastAsia"/>
          <w:sz w:val="30"/>
          <w:lang w:eastAsia="zh-CN"/>
        </w:rPr>
        <w:t>（</w:t>
      </w:r>
      <w:r>
        <w:rPr>
          <w:rFonts w:hint="eastAsia"/>
          <w:sz w:val="30"/>
          <w:lang w:val="en-US" w:eastAsia="zh-CN"/>
        </w:rPr>
        <w:t>此合同内容为示范模板，最终以双方签订的合同为准</w:t>
      </w:r>
      <w:r>
        <w:rPr>
          <w:rFonts w:hint="eastAsia"/>
          <w:sz w:val="30"/>
          <w:lang w:eastAsia="zh-CN"/>
        </w:rPr>
        <w:t>）</w:t>
      </w:r>
    </w:p>
    <w:p>
      <w:pPr>
        <w:snapToGrid w:val="0"/>
        <w:spacing w:line="360" w:lineRule="auto"/>
        <w:ind w:left="840" w:leftChars="400" w:firstLine="1800" w:firstLineChars="600"/>
        <w:rPr>
          <w:rFonts w:hint="eastAsia"/>
          <w:sz w:val="30"/>
        </w:rPr>
      </w:pPr>
      <w:r>
        <w:rPr>
          <w:rFonts w:hint="eastAsia"/>
          <w:sz w:val="30"/>
        </w:rPr>
        <w:t>合同编号：</w:t>
      </w:r>
      <w:bookmarkStart w:id="0" w:name="_GoBack"/>
      <w:bookmarkEnd w:id="0"/>
    </w:p>
    <w:p>
      <w:pPr>
        <w:spacing w:line="360" w:lineRule="auto"/>
        <w:ind w:left="-103" w:leftChars="-49" w:firstLine="2800" w:firstLineChars="875"/>
        <w:jc w:val="left"/>
        <w:rPr>
          <w:sz w:val="32"/>
          <w:szCs w:val="32"/>
        </w:rPr>
      </w:pPr>
    </w:p>
    <w:p>
      <w:pPr>
        <w:spacing w:line="360" w:lineRule="auto"/>
        <w:jc w:val="left"/>
        <w:rPr>
          <w:sz w:val="32"/>
          <w:szCs w:val="32"/>
        </w:rPr>
      </w:pPr>
    </w:p>
    <w:p>
      <w:pPr>
        <w:spacing w:after="120" w:line="360" w:lineRule="auto"/>
        <w:rPr>
          <w:rFonts w:hint="eastAsia" w:ascii="宋体" w:hAnsi="宋体" w:eastAsia="宋体" w:cs="宋体"/>
          <w:sz w:val="28"/>
          <w:szCs w:val="28"/>
          <w:u w:val="single"/>
          <w:lang w:eastAsia="zh-CN"/>
        </w:rPr>
      </w:pPr>
      <w:r>
        <w:rPr>
          <w:rFonts w:hint="eastAsia"/>
          <w:sz w:val="28"/>
          <w:szCs w:val="28"/>
        </w:rPr>
        <w:t>项目名称</w:t>
      </w:r>
      <w:r>
        <w:rPr>
          <w:rFonts w:hint="eastAsia"/>
          <w:sz w:val="28"/>
        </w:rPr>
        <w:t>：</w:t>
      </w:r>
      <w:r>
        <w:rPr>
          <w:rFonts w:hint="eastAsia" w:ascii="宋体" w:hAnsi="宋体" w:cs="宋体"/>
          <w:spacing w:val="1"/>
          <w:w w:val="88"/>
          <w:kern w:val="0"/>
          <w:sz w:val="28"/>
          <w:szCs w:val="28"/>
          <w:u w:val="single"/>
          <w:fitText w:val="8400" w:id="1071000128"/>
        </w:rPr>
        <w:t>化龙镇柏沙路逸鼎不锈钢制品有限公司后山边坡治理工程--工程检测监测服务</w:t>
      </w:r>
      <w:r>
        <w:rPr>
          <w:rFonts w:hint="eastAsia" w:ascii="宋体" w:hAnsi="宋体" w:cs="宋体"/>
          <w:kern w:val="0"/>
          <w:sz w:val="28"/>
          <w:szCs w:val="28"/>
          <w:u w:val="single"/>
          <w:lang w:eastAsia="zh-CN"/>
        </w:rPr>
        <w:t>（第二次招标）</w:t>
      </w:r>
    </w:p>
    <w:p>
      <w:pPr>
        <w:spacing w:after="120" w:line="360" w:lineRule="auto"/>
        <w:rPr>
          <w:rFonts w:hint="default" w:ascii="宋体" w:hAnsi="宋体" w:eastAsia="宋体" w:cs="宋体"/>
          <w:sz w:val="28"/>
          <w:szCs w:val="28"/>
          <w:u w:val="single"/>
          <w:lang w:val="en-US" w:eastAsia="zh-CN"/>
        </w:rPr>
      </w:pPr>
      <w:r>
        <w:rPr>
          <w:rFonts w:hint="eastAsia" w:ascii="宋体" w:hAnsi="宋体" w:cs="宋体"/>
          <w:sz w:val="28"/>
          <w:szCs w:val="28"/>
          <w:u w:val="none"/>
          <w:lang w:val="en-US" w:eastAsia="zh-CN"/>
        </w:rPr>
        <w:t>项目编号：</w:t>
      </w:r>
      <w:r>
        <w:rPr>
          <w:rFonts w:hint="eastAsia" w:ascii="宋体" w:hAnsi="宋体" w:cs="宋体"/>
          <w:sz w:val="28"/>
          <w:szCs w:val="28"/>
          <w:u w:val="single"/>
          <w:lang w:val="en-US" w:eastAsia="zh-CN"/>
        </w:rPr>
        <w:t>专招[2023]24号</w:t>
      </w:r>
    </w:p>
    <w:p>
      <w:pPr>
        <w:tabs>
          <w:tab w:val="left" w:pos="8260"/>
        </w:tabs>
        <w:spacing w:line="360" w:lineRule="auto"/>
        <w:jc w:val="left"/>
      </w:pPr>
      <w:r>
        <w:rPr>
          <w:rFonts w:hint="eastAsia"/>
          <w:sz w:val="28"/>
          <w:szCs w:val="28"/>
        </w:rPr>
        <w:t>工程地点：</w:t>
      </w:r>
      <w:r>
        <w:rPr>
          <w:rFonts w:hint="eastAsia"/>
          <w:sz w:val="28"/>
          <w:szCs w:val="28"/>
          <w:u w:val="single"/>
        </w:rPr>
        <w:t>广州市番禺区</w:t>
      </w:r>
      <w:r>
        <w:rPr>
          <w:rFonts w:hint="eastAsia"/>
          <w:sz w:val="28"/>
          <w:szCs w:val="28"/>
          <w:u w:val="single"/>
          <w:lang w:val="en-US" w:eastAsia="zh-CN"/>
        </w:rPr>
        <w:t>化龙镇</w:t>
      </w:r>
    </w:p>
    <w:p>
      <w:pPr>
        <w:jc w:val="both"/>
        <w:rPr>
          <w:rFonts w:hint="eastAsia"/>
          <w:sz w:val="28"/>
          <w:szCs w:val="28"/>
          <w:u w:val="single"/>
          <w:lang w:val="en-US" w:eastAsia="zh-CN"/>
        </w:rPr>
      </w:pPr>
      <w:r>
        <w:rPr>
          <w:rFonts w:hint="eastAsia"/>
          <w:sz w:val="28"/>
          <w:szCs w:val="28"/>
        </w:rPr>
        <w:t>委托单位（甲方）：</w:t>
      </w:r>
      <w:r>
        <w:rPr>
          <w:rFonts w:hint="eastAsia"/>
          <w:sz w:val="28"/>
          <w:szCs w:val="28"/>
          <w:u w:val="single"/>
          <w:lang w:val="zh-CN"/>
        </w:rPr>
        <w:t>广州市番禺区化龙镇人民政府</w:t>
      </w:r>
    </w:p>
    <w:p>
      <w:pPr>
        <w:jc w:val="both"/>
        <w:rPr>
          <w:rFonts w:hint="default" w:eastAsia="宋体"/>
          <w:sz w:val="28"/>
          <w:szCs w:val="28"/>
          <w:lang w:val="en-US" w:eastAsia="zh-CN"/>
        </w:rPr>
      </w:pPr>
      <w:r>
        <w:rPr>
          <w:rFonts w:hint="eastAsia"/>
          <w:sz w:val="28"/>
          <w:szCs w:val="28"/>
        </w:rPr>
        <w:t>服务单位（乙方）：</w:t>
      </w:r>
      <w:r>
        <w:rPr>
          <w:rFonts w:hint="eastAsia"/>
          <w:sz w:val="28"/>
          <w:szCs w:val="28"/>
          <w:u w:val="single"/>
          <w:lang w:val="en-US" w:eastAsia="zh-CN"/>
        </w:rPr>
        <w:t xml:space="preserve">                         </w:t>
      </w:r>
    </w:p>
    <w:p>
      <w:pPr>
        <w:jc w:val="center"/>
        <w:rPr>
          <w:rFonts w:hint="eastAsia"/>
          <w:sz w:val="28"/>
          <w:szCs w:val="28"/>
        </w:rPr>
      </w:pPr>
    </w:p>
    <w:p>
      <w:pPr>
        <w:jc w:val="both"/>
        <w:rPr>
          <w:rFonts w:hint="eastAsia"/>
          <w:sz w:val="28"/>
          <w:szCs w:val="28"/>
        </w:rPr>
      </w:pPr>
    </w:p>
    <w:p>
      <w:pPr>
        <w:jc w:val="center"/>
        <w:rPr>
          <w:rFonts w:hint="default" w:eastAsia="宋体"/>
          <w:sz w:val="28"/>
          <w:szCs w:val="28"/>
          <w:lang w:val="en-US" w:eastAsia="zh-CN"/>
        </w:rPr>
      </w:pPr>
      <w:r>
        <w:rPr>
          <w:rFonts w:hint="eastAsia"/>
          <w:sz w:val="28"/>
          <w:szCs w:val="28"/>
        </w:rPr>
        <w:t>签订日期：</w:t>
      </w:r>
      <w:r>
        <w:rPr>
          <w:sz w:val="28"/>
          <w:szCs w:val="28"/>
        </w:rPr>
        <w:t xml:space="preserve"> </w:t>
      </w:r>
      <w:r>
        <w:rPr>
          <w:rFonts w:hint="eastAsia"/>
          <w:sz w:val="28"/>
          <w:szCs w:val="28"/>
          <w:lang w:val="en-US" w:eastAsia="zh-CN"/>
        </w:rPr>
        <w:t xml:space="preserve">   </w:t>
      </w:r>
      <w:r>
        <w:rPr>
          <w:rFonts w:hint="eastAsia"/>
          <w:sz w:val="28"/>
          <w:szCs w:val="28"/>
        </w:rPr>
        <w:t>年  月</w:t>
      </w:r>
      <w:r>
        <w:rPr>
          <w:rFonts w:hint="eastAsia"/>
          <w:sz w:val="28"/>
          <w:szCs w:val="28"/>
          <w:lang w:val="en-US" w:eastAsia="zh-CN"/>
        </w:rPr>
        <w:t xml:space="preserve">  日</w:t>
      </w:r>
    </w:p>
    <w:p>
      <w:pPr>
        <w:rPr>
          <w:rFonts w:hint="eastAsia" w:ascii="宋体" w:hAnsi="宋体" w:cs="宋体"/>
          <w:b/>
          <w:bCs/>
          <w:kern w:val="0"/>
          <w:sz w:val="24"/>
          <w:lang w:val="zh-CN"/>
        </w:rPr>
      </w:pPr>
      <w:r>
        <w:rPr>
          <w:rFonts w:hint="eastAsia" w:ascii="宋体" w:hAnsi="宋体" w:cs="宋体"/>
          <w:b/>
          <w:bCs/>
          <w:kern w:val="0"/>
          <w:sz w:val="24"/>
          <w:lang w:val="zh-CN"/>
        </w:rPr>
        <w:br w:type="page"/>
      </w:r>
    </w:p>
    <w:p>
      <w:pPr>
        <w:autoSpaceDE w:val="0"/>
        <w:autoSpaceDN w:val="0"/>
        <w:adjustRightInd w:val="0"/>
        <w:spacing w:line="360" w:lineRule="auto"/>
        <w:ind w:left="0" w:leftChars="0" w:firstLine="0" w:firstLineChars="0"/>
        <w:jc w:val="center"/>
        <w:rPr>
          <w:rFonts w:hint="eastAsia" w:ascii="宋体" w:hAnsi="宋体" w:cs="宋体"/>
          <w:b/>
          <w:bCs/>
          <w:kern w:val="0"/>
          <w:sz w:val="32"/>
          <w:szCs w:val="22"/>
          <w:lang w:val="zh-CN"/>
        </w:rPr>
      </w:pPr>
      <w:r>
        <w:rPr>
          <w:rFonts w:hint="eastAsia" w:ascii="宋体" w:hAnsi="宋体" w:cs="宋体"/>
          <w:b/>
          <w:bCs/>
          <w:kern w:val="0"/>
          <w:sz w:val="32"/>
          <w:szCs w:val="22"/>
          <w:lang w:val="zh-CN"/>
        </w:rPr>
        <w:t>技术服务合同</w:t>
      </w:r>
    </w:p>
    <w:p>
      <w:pPr>
        <w:autoSpaceDE w:val="0"/>
        <w:autoSpaceDN w:val="0"/>
        <w:adjustRightInd w:val="0"/>
        <w:spacing w:line="360" w:lineRule="auto"/>
        <w:ind w:firstLine="472" w:firstLineChars="196"/>
        <w:jc w:val="left"/>
        <w:rPr>
          <w:rFonts w:hint="eastAsia" w:ascii="宋体" w:hAnsi="宋体" w:cs="宋体"/>
          <w:b/>
          <w:bCs/>
          <w:kern w:val="0"/>
          <w:sz w:val="24"/>
          <w:lang w:val="zh-CN"/>
        </w:rPr>
      </w:pPr>
      <w:r>
        <w:rPr>
          <w:rFonts w:hint="eastAsia" w:ascii="宋体" w:hAnsi="宋体" w:cs="宋体"/>
          <w:b/>
          <w:bCs/>
          <w:kern w:val="0"/>
          <w:sz w:val="24"/>
          <w:lang w:val="zh-CN"/>
        </w:rPr>
        <w:t>委托单位（甲方）：</w:t>
      </w:r>
      <w:r>
        <w:rPr>
          <w:rFonts w:hint="eastAsia" w:ascii="宋体" w:hAnsi="宋体" w:cs="宋体"/>
          <w:b/>
          <w:bCs/>
          <w:kern w:val="0"/>
          <w:sz w:val="24"/>
          <w:u w:val="single"/>
          <w:lang w:val="zh-CN"/>
        </w:rPr>
        <w:t>广州市番禺区化龙镇人民政府</w:t>
      </w:r>
    </w:p>
    <w:p>
      <w:pPr>
        <w:autoSpaceDE w:val="0"/>
        <w:autoSpaceDN w:val="0"/>
        <w:adjustRightInd w:val="0"/>
        <w:spacing w:line="360" w:lineRule="auto"/>
        <w:ind w:firstLine="472" w:firstLineChars="196"/>
        <w:jc w:val="left"/>
        <w:rPr>
          <w:rFonts w:hint="default" w:ascii="宋体" w:hAnsi="宋体" w:eastAsia="宋体" w:cs="宋体"/>
          <w:b/>
          <w:bCs/>
          <w:kern w:val="0"/>
          <w:sz w:val="24"/>
          <w:u w:val="single"/>
          <w:lang w:val="en-US" w:eastAsia="zh-CN"/>
        </w:rPr>
      </w:pPr>
      <w:r>
        <w:rPr>
          <w:rFonts w:hint="eastAsia" w:ascii="宋体" w:hAnsi="宋体" w:cs="宋体"/>
          <w:b/>
          <w:bCs/>
          <w:kern w:val="0"/>
          <w:sz w:val="24"/>
          <w:lang w:val="zh-CN"/>
        </w:rPr>
        <w:t>承接单位（乙方）：</w:t>
      </w:r>
      <w:r>
        <w:rPr>
          <w:rFonts w:hint="eastAsia" w:ascii="宋体" w:hAnsi="宋体" w:cs="宋体"/>
          <w:b/>
          <w:bCs/>
          <w:kern w:val="0"/>
          <w:sz w:val="24"/>
          <w:u w:val="single"/>
          <w:lang w:val="en-US" w:eastAsia="zh-CN"/>
        </w:rPr>
        <w:t xml:space="preserve">            </w:t>
      </w:r>
    </w:p>
    <w:p>
      <w:pPr>
        <w:autoSpaceDE w:val="0"/>
        <w:autoSpaceDN w:val="0"/>
        <w:adjustRightInd w:val="0"/>
        <w:spacing w:line="360" w:lineRule="auto"/>
        <w:ind w:firstLine="470" w:firstLineChars="196"/>
        <w:jc w:val="left"/>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甲方现委托乙方承担</w:t>
      </w:r>
      <w:r>
        <w:rPr>
          <w:rFonts w:hint="eastAsia" w:ascii="宋体" w:hAnsi="宋体" w:eastAsia="宋体" w:cs="Times New Roman"/>
          <w:kern w:val="0"/>
          <w:sz w:val="24"/>
          <w:szCs w:val="24"/>
          <w:u w:val="single"/>
          <w:lang w:val="zh-CN" w:eastAsia="zh-CN" w:bidi="ar-SA"/>
        </w:rPr>
        <w:t>化龙镇柏沙路逸鼎不锈钢制品有限公司后山边坡治理工程--工程检测监测服务</w:t>
      </w:r>
      <w:r>
        <w:rPr>
          <w:rFonts w:hint="eastAsia" w:ascii="宋体" w:hAnsi="宋体" w:cs="Times New Roman"/>
          <w:kern w:val="0"/>
          <w:sz w:val="24"/>
          <w:szCs w:val="24"/>
          <w:u w:val="single"/>
          <w:lang w:val="zh-CN" w:eastAsia="zh-CN" w:bidi="ar-SA"/>
        </w:rPr>
        <w:t>（第二次招标）</w:t>
      </w:r>
      <w:r>
        <w:rPr>
          <w:rFonts w:hint="eastAsia" w:ascii="宋体" w:hAnsi="宋体" w:eastAsia="宋体" w:cs="Times New Roman"/>
          <w:kern w:val="0"/>
          <w:sz w:val="24"/>
          <w:szCs w:val="24"/>
          <w:lang w:val="zh-CN" w:eastAsia="zh-CN" w:bidi="ar-SA"/>
        </w:rPr>
        <w:t>技术服务工作，根据《中华人民共和国合同法》有关规定，结合本工程的具体情况，为明确双方承担工作任务和经济责任，经充分协商，签订本合同，共同信守。</w:t>
      </w:r>
    </w:p>
    <w:p>
      <w:pPr>
        <w:pStyle w:val="3"/>
        <w:spacing w:before="120" w:beforeLines="50" w:after="120" w:afterLines="50" w:line="360" w:lineRule="auto"/>
        <w:rPr>
          <w:rFonts w:hint="eastAsia"/>
          <w:b/>
          <w:sz w:val="28"/>
          <w:szCs w:val="28"/>
          <w:lang w:val="zh-CN" w:eastAsia="zh-CN"/>
        </w:rPr>
      </w:pPr>
      <w:r>
        <w:rPr>
          <w:rFonts w:hint="eastAsia"/>
          <w:b/>
          <w:sz w:val="28"/>
          <w:szCs w:val="28"/>
          <w:lang w:val="zh-CN" w:eastAsia="zh-CN"/>
        </w:rPr>
        <w:t>第一条  项目概况</w:t>
      </w:r>
    </w:p>
    <w:p>
      <w:pPr>
        <w:autoSpaceDE w:val="0"/>
        <w:autoSpaceDN w:val="0"/>
        <w:adjustRightInd w:val="0"/>
        <w:spacing w:line="360" w:lineRule="auto"/>
        <w:ind w:firstLine="470" w:firstLineChars="196"/>
        <w:jc w:val="both"/>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番禺区化龙镇柏沙路逸鼎不锈钢制品有限公司后山边坡进行治理，宽约95米，坡高17.4-48.23米，治理边坡采用放坡+锚杆+格构梁+坡角挡土墙+截排水沟+绿化支护型式（以施工图纸为准）。</w:t>
      </w:r>
    </w:p>
    <w:p>
      <w:pPr>
        <w:pStyle w:val="3"/>
        <w:spacing w:before="120" w:beforeLines="50" w:after="120" w:afterLines="50" w:line="360" w:lineRule="auto"/>
        <w:jc w:val="left"/>
        <w:rPr>
          <w:rFonts w:hint="eastAsia"/>
          <w:b/>
          <w:sz w:val="28"/>
          <w:szCs w:val="28"/>
          <w:lang w:val="zh-CN" w:eastAsia="zh-CN"/>
        </w:rPr>
      </w:pPr>
      <w:r>
        <w:rPr>
          <w:rFonts w:hint="eastAsia"/>
          <w:b/>
          <w:sz w:val="28"/>
          <w:szCs w:val="28"/>
          <w:lang w:val="zh-CN" w:eastAsia="zh-CN"/>
        </w:rPr>
        <w:t>第二条  技术要求</w:t>
      </w:r>
    </w:p>
    <w:p>
      <w:pPr>
        <w:rPr>
          <w:rFonts w:hint="eastAsia"/>
          <w:lang w:val="en-US" w:eastAsia="zh-CN"/>
        </w:rPr>
      </w:pPr>
      <w:r>
        <w:rPr>
          <w:rFonts w:hint="eastAsia" w:ascii="宋体" w:cs="Times New Roman"/>
          <w:b/>
          <w:kern w:val="2"/>
          <w:sz w:val="25"/>
          <w:szCs w:val="25"/>
          <w:lang w:val="en-US" w:eastAsia="zh-CN" w:bidi="ar-SA"/>
        </w:rPr>
        <w:t>1、检测内容：</w:t>
      </w:r>
      <w:r>
        <w:rPr>
          <w:rFonts w:hint="eastAsia" w:ascii="宋体" w:hAnsi="Times New Roman" w:eastAsia="宋体" w:cs="Times New Roman"/>
          <w:b w:val="0"/>
          <w:bCs/>
          <w:kern w:val="2"/>
          <w:sz w:val="25"/>
          <w:szCs w:val="25"/>
          <w:lang w:val="en-US" w:eastAsia="zh-CN" w:bidi="ar-SA"/>
        </w:rPr>
        <w:t>锚杆（索）基本抗拔试验</w:t>
      </w:r>
    </w:p>
    <w:p>
      <w:pPr>
        <w:rPr>
          <w:rFonts w:hint="eastAsia" w:ascii="宋体" w:cs="Times New Roman"/>
          <w:b/>
          <w:kern w:val="2"/>
          <w:sz w:val="25"/>
          <w:szCs w:val="25"/>
          <w:lang w:val="en-US" w:eastAsia="zh-CN" w:bidi="ar-SA"/>
        </w:rPr>
      </w:pPr>
      <w:r>
        <w:rPr>
          <w:rFonts w:hint="eastAsia" w:ascii="宋体" w:cs="Times New Roman"/>
          <w:b/>
          <w:kern w:val="2"/>
          <w:sz w:val="25"/>
          <w:szCs w:val="25"/>
          <w:lang w:val="en-US" w:eastAsia="zh-CN" w:bidi="ar-SA"/>
        </w:rPr>
        <w:t>2、检测依据：</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en-US" w:eastAsia="zh-CN" w:bidi="ar-SA"/>
        </w:rPr>
      </w:pPr>
      <w:r>
        <w:rPr>
          <w:rFonts w:hint="eastAsia" w:ascii="宋体" w:hAnsi="Times New Roman" w:eastAsia="宋体" w:cs="Times New Roman"/>
          <w:b w:val="0"/>
          <w:bCs/>
          <w:kern w:val="2"/>
          <w:sz w:val="24"/>
          <w:szCs w:val="24"/>
          <w:lang w:val="en-US" w:eastAsia="zh-CN" w:bidi="ar-SA"/>
        </w:rPr>
        <w:t>（1）</w:t>
      </w:r>
      <w:r>
        <w:rPr>
          <w:rFonts w:hint="eastAsia" w:ascii="宋体" w:hAnsi="Times New Roman" w:eastAsia="宋体" w:cs="Times New Roman"/>
          <w:b w:val="0"/>
          <w:bCs/>
          <w:kern w:val="2"/>
          <w:sz w:val="24"/>
          <w:szCs w:val="24"/>
          <w:lang w:val="zh-CN" w:eastAsia="zh-CN" w:bidi="ar-SA"/>
        </w:rPr>
        <w:t>《</w:t>
      </w:r>
      <w:r>
        <w:rPr>
          <w:rFonts w:hint="eastAsia" w:ascii="宋体" w:hAnsi="Times New Roman" w:eastAsia="宋体" w:cs="Times New Roman"/>
          <w:b w:val="0"/>
          <w:bCs/>
          <w:kern w:val="2"/>
          <w:sz w:val="24"/>
          <w:szCs w:val="24"/>
          <w:lang w:val="en-US" w:eastAsia="zh-CN" w:bidi="ar-SA"/>
        </w:rPr>
        <w:t>建筑地基基础检测规范》DBJ/T 15-60-2019；</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en-US" w:eastAsia="zh-CN" w:bidi="ar-SA"/>
        </w:rPr>
      </w:pPr>
      <w:r>
        <w:rPr>
          <w:rFonts w:hint="eastAsia" w:ascii="宋体" w:hAnsi="Times New Roman" w:eastAsia="宋体" w:cs="Times New Roman"/>
          <w:b w:val="0"/>
          <w:bCs/>
          <w:kern w:val="2"/>
          <w:sz w:val="24"/>
          <w:szCs w:val="24"/>
          <w:lang w:val="en-US" w:eastAsia="zh-CN" w:bidi="ar-SA"/>
        </w:rPr>
        <w:t>（2）《混凝土中钢筋检测技术规程》（JGJ/T152-2008）；</w:t>
      </w:r>
    </w:p>
    <w:p>
      <w:pPr>
        <w:numPr>
          <w:ilvl w:val="0"/>
          <w:numId w:val="0"/>
        </w:numPr>
        <w:autoSpaceDE w:val="0"/>
        <w:autoSpaceDN w:val="0"/>
        <w:adjustRightInd w:val="0"/>
        <w:spacing w:line="360" w:lineRule="auto"/>
        <w:ind w:firstLine="480" w:firstLineChars="200"/>
        <w:jc w:val="left"/>
        <w:rPr>
          <w:rFonts w:hint="default" w:ascii="宋体" w:hAnsi="Times New Roman" w:eastAsia="宋体" w:cs="Times New Roman"/>
          <w:b w:val="0"/>
          <w:bCs/>
          <w:kern w:val="2"/>
          <w:sz w:val="24"/>
          <w:szCs w:val="24"/>
          <w:lang w:val="en-US" w:eastAsia="zh-CN" w:bidi="ar-SA"/>
        </w:rPr>
      </w:pPr>
      <w:r>
        <w:rPr>
          <w:rFonts w:hint="eastAsia" w:ascii="宋体" w:hAnsi="Times New Roman" w:eastAsia="宋体" w:cs="Times New Roman"/>
          <w:b w:val="0"/>
          <w:bCs/>
          <w:kern w:val="2"/>
          <w:sz w:val="24"/>
          <w:szCs w:val="24"/>
          <w:lang w:val="en-US" w:eastAsia="zh-CN" w:bidi="ar-SA"/>
        </w:rPr>
        <w:t>（3）其他相关标准、规范及本项目的设计文件。</w:t>
      </w:r>
    </w:p>
    <w:p>
      <w:pPr>
        <w:rPr>
          <w:rFonts w:hint="eastAsia"/>
          <w:lang w:val="zh-CN" w:eastAsia="zh-CN"/>
        </w:rPr>
      </w:pPr>
      <w:r>
        <w:rPr>
          <w:rFonts w:hint="eastAsia" w:ascii="宋体" w:cs="Times New Roman"/>
          <w:b/>
          <w:kern w:val="2"/>
          <w:sz w:val="25"/>
          <w:szCs w:val="25"/>
          <w:lang w:val="en-US" w:eastAsia="zh-CN" w:bidi="ar-SA"/>
        </w:rPr>
        <w:t>3、</w:t>
      </w:r>
      <w:r>
        <w:rPr>
          <w:rFonts w:hint="eastAsia" w:ascii="宋体" w:cs="Times New Roman"/>
          <w:b/>
          <w:kern w:val="2"/>
          <w:sz w:val="25"/>
          <w:szCs w:val="25"/>
          <w:lang w:val="zh-CN" w:eastAsia="zh-CN" w:bidi="ar-SA"/>
        </w:rPr>
        <w:t>监测</w:t>
      </w:r>
      <w:r>
        <w:rPr>
          <w:rFonts w:hint="eastAsia" w:ascii="宋体" w:cs="Times New Roman"/>
          <w:b/>
          <w:kern w:val="2"/>
          <w:sz w:val="25"/>
          <w:szCs w:val="25"/>
          <w:lang w:val="en-US" w:eastAsia="zh-CN" w:bidi="ar-SA"/>
        </w:rPr>
        <w:t>内容：</w:t>
      </w:r>
      <w:r>
        <w:rPr>
          <w:rFonts w:hint="eastAsia" w:ascii="宋体" w:hAnsi="Times New Roman" w:eastAsia="宋体" w:cs="Times New Roman"/>
          <w:b w:val="0"/>
          <w:bCs/>
          <w:kern w:val="2"/>
          <w:sz w:val="25"/>
          <w:szCs w:val="25"/>
          <w:lang w:val="en-US" w:eastAsia="zh-CN" w:bidi="ar-SA"/>
        </w:rPr>
        <w:t>基准点、监测点埋设；</w:t>
      </w:r>
      <w:r>
        <w:rPr>
          <w:rFonts w:hint="eastAsia" w:ascii="宋体" w:hAnsi="Times New Roman" w:eastAsia="宋体" w:cs="Times New Roman"/>
          <w:b w:val="0"/>
          <w:bCs/>
          <w:kern w:val="2"/>
          <w:sz w:val="25"/>
          <w:szCs w:val="25"/>
          <w:lang w:val="zh-CN" w:eastAsia="zh-CN" w:bidi="ar-SA"/>
        </w:rPr>
        <w:t>边坡</w:t>
      </w:r>
      <w:r>
        <w:rPr>
          <w:rFonts w:hint="eastAsia" w:ascii="宋体" w:hAnsi="Times New Roman" w:eastAsia="宋体" w:cs="Times New Roman"/>
          <w:b w:val="0"/>
          <w:bCs/>
          <w:kern w:val="2"/>
          <w:sz w:val="25"/>
          <w:szCs w:val="25"/>
          <w:lang w:val="en-US" w:eastAsia="zh-CN" w:bidi="ar-SA"/>
        </w:rPr>
        <w:t>水平</w:t>
      </w:r>
      <w:r>
        <w:rPr>
          <w:rFonts w:hint="eastAsia" w:ascii="宋体" w:hAnsi="Times New Roman" w:eastAsia="宋体" w:cs="Times New Roman"/>
          <w:b w:val="0"/>
          <w:bCs/>
          <w:kern w:val="2"/>
          <w:sz w:val="25"/>
          <w:szCs w:val="25"/>
          <w:lang w:val="zh-CN" w:eastAsia="zh-CN" w:bidi="ar-SA"/>
        </w:rPr>
        <w:t>位移、沉降</w:t>
      </w:r>
      <w:r>
        <w:rPr>
          <w:rFonts w:hint="eastAsia" w:ascii="宋体" w:hAnsi="Times New Roman" w:eastAsia="宋体" w:cs="Times New Roman"/>
          <w:b w:val="0"/>
          <w:bCs/>
          <w:kern w:val="2"/>
          <w:sz w:val="25"/>
          <w:szCs w:val="25"/>
          <w:lang w:val="en-US" w:eastAsia="zh-CN" w:bidi="ar-SA"/>
        </w:rPr>
        <w:t>监</w:t>
      </w:r>
      <w:r>
        <w:rPr>
          <w:rFonts w:hint="eastAsia" w:ascii="宋体" w:hAnsi="Times New Roman" w:eastAsia="宋体" w:cs="Times New Roman"/>
          <w:b w:val="0"/>
          <w:bCs/>
          <w:kern w:val="2"/>
          <w:sz w:val="25"/>
          <w:szCs w:val="25"/>
          <w:lang w:val="zh-CN" w:eastAsia="zh-CN" w:bidi="ar-SA"/>
        </w:rPr>
        <w:t>测；边坡巡视等。</w:t>
      </w:r>
    </w:p>
    <w:p>
      <w:pPr>
        <w:rPr>
          <w:rFonts w:hint="eastAsia" w:ascii="宋体" w:cs="Times New Roman"/>
          <w:b/>
          <w:kern w:val="2"/>
          <w:sz w:val="25"/>
          <w:szCs w:val="25"/>
          <w:lang w:val="zh-CN" w:eastAsia="zh-CN" w:bidi="ar-SA"/>
        </w:rPr>
      </w:pPr>
      <w:r>
        <w:rPr>
          <w:rFonts w:hint="eastAsia" w:ascii="宋体" w:cs="Times New Roman"/>
          <w:b/>
          <w:kern w:val="2"/>
          <w:sz w:val="25"/>
          <w:szCs w:val="25"/>
          <w:lang w:val="en-US" w:eastAsia="zh-CN" w:bidi="ar-SA"/>
        </w:rPr>
        <w:t>4</w:t>
      </w:r>
      <w:r>
        <w:rPr>
          <w:rFonts w:hint="eastAsia" w:ascii="宋体" w:cs="Times New Roman"/>
          <w:b/>
          <w:kern w:val="2"/>
          <w:sz w:val="25"/>
          <w:szCs w:val="25"/>
          <w:lang w:val="zh-CN" w:eastAsia="zh-CN" w:bidi="ar-SA"/>
        </w:rPr>
        <w:t>、监测依据：</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（1）本项目的设计图纸及相关资料；</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 xml:space="preserve">（2）《工程测量规范》（GB 50026-2007）； </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（3）《建筑变形测量规范》（JGJ 8-2016）；</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 xml:space="preserve">（4）《建筑边坡工程技术规范》（GB 50330-2013）； </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（5）与边坡监测相关的现行国家及省市规范、规程及标准。</w:t>
      </w:r>
    </w:p>
    <w:p>
      <w:pPr>
        <w:autoSpaceDE w:val="0"/>
        <w:autoSpaceDN w:val="0"/>
        <w:adjustRightInd w:val="0"/>
        <w:spacing w:line="360" w:lineRule="auto"/>
        <w:ind w:left="0" w:leftChars="0" w:firstLine="218" w:firstLineChars="87"/>
        <w:jc w:val="left"/>
        <w:rPr>
          <w:rFonts w:hint="eastAsia" w:ascii="宋体" w:hAnsi="Times New Roman" w:eastAsia="宋体" w:cs="Times New Roman"/>
          <w:b/>
          <w:kern w:val="2"/>
          <w:sz w:val="25"/>
          <w:szCs w:val="25"/>
          <w:lang w:val="zh-CN" w:eastAsia="zh-CN" w:bidi="ar-SA"/>
        </w:rPr>
      </w:pPr>
      <w:r>
        <w:rPr>
          <w:rFonts w:hint="eastAsia" w:ascii="宋体" w:cs="Times New Roman"/>
          <w:b/>
          <w:kern w:val="2"/>
          <w:sz w:val="25"/>
          <w:szCs w:val="25"/>
          <w:lang w:val="en-US" w:eastAsia="zh-CN" w:bidi="ar-SA"/>
        </w:rPr>
        <w:t>5</w:t>
      </w:r>
      <w:r>
        <w:rPr>
          <w:rFonts w:hint="eastAsia" w:ascii="宋体" w:hAnsi="Times New Roman" w:eastAsia="宋体" w:cs="Times New Roman"/>
          <w:b/>
          <w:kern w:val="2"/>
          <w:sz w:val="25"/>
          <w:szCs w:val="25"/>
          <w:lang w:val="zh-CN" w:eastAsia="zh-CN" w:bidi="ar-SA"/>
        </w:rPr>
        <w:t>、监测工期及频率</w:t>
      </w:r>
      <w:r>
        <w:rPr>
          <w:rFonts w:hint="eastAsia" w:ascii="宋体" w:cs="Times New Roman"/>
          <w:b/>
          <w:kern w:val="2"/>
          <w:sz w:val="25"/>
          <w:szCs w:val="25"/>
          <w:lang w:val="zh-CN" w:eastAsia="zh-CN" w:bidi="ar-SA"/>
        </w:rPr>
        <w:t>：</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本边坡安全等级为二级，施工期暂定3个月。监测频率：边坡施工期间，每两天监测一次，遇有大雨或特殊情况时应加强观测；边坡支护工程施工完工后，第1－2个月，每周测一次；第3－6个月，每一个月测一次；第7－24个月，每三个月测一次。竣工后监测不少于2年，监测次数暂定为80次。</w:t>
      </w:r>
    </w:p>
    <w:p>
      <w:pPr>
        <w:numPr>
          <w:ilvl w:val="0"/>
          <w:numId w:val="1"/>
        </w:numPr>
        <w:autoSpaceDE w:val="0"/>
        <w:autoSpaceDN w:val="0"/>
        <w:adjustRightInd w:val="0"/>
        <w:spacing w:line="360" w:lineRule="auto"/>
        <w:ind w:firstLine="551" w:firstLineChars="196"/>
        <w:jc w:val="left"/>
        <w:rPr>
          <w:rFonts w:hint="eastAsia" w:ascii="宋体" w:hAnsi="Times New Roman" w:eastAsia="宋体" w:cs="Times New Roman"/>
          <w:b/>
          <w:kern w:val="2"/>
          <w:sz w:val="28"/>
          <w:szCs w:val="28"/>
          <w:lang w:val="zh-CN" w:eastAsia="zh-CN" w:bidi="ar-SA"/>
        </w:rPr>
      </w:pPr>
      <w:r>
        <w:rPr>
          <w:rFonts w:hint="eastAsia" w:ascii="宋体" w:hAnsi="Times New Roman" w:eastAsia="宋体" w:cs="Times New Roman"/>
          <w:b/>
          <w:kern w:val="2"/>
          <w:sz w:val="28"/>
          <w:szCs w:val="28"/>
          <w:lang w:val="zh-CN" w:eastAsia="zh-CN" w:bidi="ar-SA"/>
        </w:rPr>
        <w:t xml:space="preserve"> 承包方式及付款方式</w:t>
      </w:r>
    </w:p>
    <w:p>
      <w:pPr>
        <w:numPr>
          <w:ilvl w:val="0"/>
          <w:numId w:val="0"/>
        </w:numPr>
        <w:autoSpaceDE w:val="0"/>
        <w:autoSpaceDN w:val="0"/>
        <w:adjustRightInd w:val="0"/>
        <w:spacing w:line="360" w:lineRule="auto"/>
        <w:jc w:val="left"/>
        <w:rPr>
          <w:rFonts w:hint="eastAsia" w:ascii="宋体" w:hAnsi="Times New Roman" w:eastAsia="宋体" w:cs="Times New Roman"/>
          <w:b/>
          <w:kern w:val="2"/>
          <w:sz w:val="24"/>
          <w:szCs w:val="24"/>
          <w:lang w:val="zh-CN" w:eastAsia="zh-CN" w:bidi="ar-SA"/>
        </w:rPr>
      </w:pPr>
      <w:r>
        <w:rPr>
          <w:rFonts w:hint="eastAsia" w:ascii="宋体" w:hAnsi="Times New Roman" w:eastAsia="宋体" w:cs="Times New Roman"/>
          <w:b/>
          <w:kern w:val="2"/>
          <w:sz w:val="24"/>
          <w:szCs w:val="24"/>
          <w:lang w:val="zh-CN" w:eastAsia="zh-CN" w:bidi="ar-SA"/>
        </w:rPr>
        <w:t>1、承包方式</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kern w:val="2"/>
          <w:sz w:val="28"/>
          <w:szCs w:val="28"/>
          <w:lang w:val="zh-CN" w:eastAsia="zh-CN" w:bidi="ar-SA"/>
        </w:rPr>
      </w:pPr>
      <w:r>
        <w:rPr>
          <w:rFonts w:hint="eastAsia" w:ascii="宋体" w:hAnsi="Times New Roman" w:eastAsia="宋体" w:cs="Times New Roman"/>
          <w:b w:val="0"/>
          <w:bCs/>
          <w:kern w:val="2"/>
          <w:sz w:val="24"/>
          <w:szCs w:val="24"/>
          <w:lang w:val="zh-CN" w:eastAsia="zh-CN" w:bidi="ar-SA"/>
        </w:rPr>
        <w:t>本合同价为¥</w:t>
      </w:r>
      <w:r>
        <w:rPr>
          <w:rFonts w:hint="eastAsia" w:ascii="宋体" w:cs="Times New Roman"/>
          <w:b w:val="0"/>
          <w:bCs/>
          <w:kern w:val="2"/>
          <w:sz w:val="24"/>
          <w:szCs w:val="24"/>
          <w:u w:val="single"/>
          <w:lang w:val="en-US" w:eastAsia="zh-CN" w:bidi="ar-SA"/>
        </w:rPr>
        <w:t xml:space="preserve">     </w:t>
      </w:r>
      <w:r>
        <w:rPr>
          <w:rFonts w:hint="eastAsia" w:ascii="宋体" w:hAnsi="Times New Roman" w:eastAsia="宋体" w:cs="Times New Roman"/>
          <w:b w:val="0"/>
          <w:bCs/>
          <w:kern w:val="2"/>
          <w:sz w:val="24"/>
          <w:szCs w:val="24"/>
          <w:lang w:val="zh-CN" w:eastAsia="zh-CN" w:bidi="ar-SA"/>
        </w:rPr>
        <w:t>元（大写：人民币</w:t>
      </w:r>
      <w:r>
        <w:rPr>
          <w:rFonts w:hint="eastAsia" w:ascii="宋体" w:cs="Times New Roman"/>
          <w:b w:val="0"/>
          <w:bCs/>
          <w:kern w:val="2"/>
          <w:sz w:val="24"/>
          <w:szCs w:val="24"/>
          <w:u w:val="single"/>
          <w:lang w:val="en-US" w:eastAsia="zh-CN" w:bidi="ar-SA"/>
        </w:rPr>
        <w:t xml:space="preserve">       </w:t>
      </w:r>
      <w:r>
        <w:rPr>
          <w:rFonts w:hint="eastAsia" w:ascii="宋体" w:hAnsi="Times New Roman" w:eastAsia="宋体" w:cs="Times New Roman"/>
          <w:b w:val="0"/>
          <w:bCs/>
          <w:kern w:val="2"/>
          <w:sz w:val="24"/>
          <w:szCs w:val="24"/>
          <w:lang w:val="zh-CN" w:eastAsia="zh-CN" w:bidi="ar-SA"/>
        </w:rPr>
        <w:t>），实行固定总价包干，该合同综合单价包含</w:t>
      </w:r>
      <w:r>
        <w:rPr>
          <w:rFonts w:hint="eastAsia" w:ascii="宋体" w:hAnsi="Times New Roman" w:eastAsia="宋体" w:cs="Times New Roman"/>
          <w:b w:val="0"/>
          <w:bCs/>
          <w:kern w:val="2"/>
          <w:sz w:val="24"/>
          <w:szCs w:val="24"/>
          <w:u w:val="none"/>
          <w:lang w:val="zh-CN" w:eastAsia="zh-CN" w:bidi="ar-SA"/>
        </w:rPr>
        <w:t>所有材料、人工、税金等费</w:t>
      </w:r>
      <w:r>
        <w:rPr>
          <w:rFonts w:hint="eastAsia" w:ascii="宋体" w:hAnsi="Times New Roman" w:eastAsia="宋体" w:cs="Times New Roman"/>
          <w:b w:val="0"/>
          <w:bCs/>
          <w:kern w:val="2"/>
          <w:sz w:val="24"/>
          <w:szCs w:val="24"/>
          <w:lang w:val="zh-CN" w:eastAsia="zh-CN" w:bidi="ar-SA"/>
        </w:rPr>
        <w:t>用，如因</w:t>
      </w:r>
      <w:r>
        <w:rPr>
          <w:rFonts w:hint="eastAsia" w:ascii="宋体" w:cs="Times New Roman"/>
          <w:b w:val="0"/>
          <w:bCs/>
          <w:kern w:val="2"/>
          <w:sz w:val="24"/>
          <w:szCs w:val="24"/>
          <w:lang w:val="en-US" w:eastAsia="zh-CN" w:bidi="ar-SA"/>
        </w:rPr>
        <w:t>检测、</w:t>
      </w:r>
      <w:r>
        <w:rPr>
          <w:rFonts w:hint="eastAsia" w:ascii="宋体" w:hAnsi="Times New Roman" w:eastAsia="宋体" w:cs="Times New Roman"/>
          <w:b w:val="0"/>
          <w:bCs/>
          <w:kern w:val="2"/>
          <w:sz w:val="24"/>
          <w:szCs w:val="24"/>
          <w:lang w:val="zh-CN" w:eastAsia="zh-CN" w:bidi="ar-SA"/>
        </w:rPr>
        <w:t>监测方案变更、工期延长、增加</w:t>
      </w:r>
      <w:r>
        <w:rPr>
          <w:rFonts w:hint="eastAsia" w:ascii="宋体" w:cs="Times New Roman"/>
          <w:b w:val="0"/>
          <w:bCs/>
          <w:kern w:val="2"/>
          <w:sz w:val="24"/>
          <w:szCs w:val="24"/>
          <w:lang w:val="en-US" w:eastAsia="zh-CN" w:bidi="ar-SA"/>
        </w:rPr>
        <w:t>检测数、</w:t>
      </w:r>
      <w:r>
        <w:rPr>
          <w:rFonts w:hint="eastAsia" w:ascii="宋体" w:hAnsi="Times New Roman" w:eastAsia="宋体" w:cs="Times New Roman"/>
          <w:b w:val="0"/>
          <w:bCs/>
          <w:kern w:val="2"/>
          <w:sz w:val="24"/>
          <w:szCs w:val="24"/>
          <w:lang w:val="zh-CN" w:eastAsia="zh-CN" w:bidi="ar-SA"/>
        </w:rPr>
        <w:t>监测点、特殊应急状况处理（例：变形超过有关标准加密监测）、监测点遭第三方（例：施工方）破坏等非乙方原因导致的工作量增加，在经甲方或甲方委托的监理人确认后，监测费用</w:t>
      </w:r>
      <w:r>
        <w:rPr>
          <w:rFonts w:hint="eastAsia" w:ascii="宋体" w:hAnsi="Times New Roman" w:eastAsia="宋体" w:cs="Times New Roman"/>
          <w:b w:val="0"/>
          <w:bCs/>
          <w:kern w:val="2"/>
          <w:sz w:val="24"/>
          <w:szCs w:val="24"/>
          <w:u w:val="single"/>
          <w:lang w:val="zh-CN" w:eastAsia="zh-CN" w:bidi="ar-SA"/>
        </w:rPr>
        <w:t>根据实际工作量按以下</w:t>
      </w:r>
      <w:r>
        <w:rPr>
          <w:rFonts w:hint="eastAsia" w:ascii="宋体" w:cs="Times New Roman"/>
          <w:b w:val="0"/>
          <w:bCs/>
          <w:kern w:val="2"/>
          <w:sz w:val="24"/>
          <w:szCs w:val="24"/>
          <w:u w:val="single"/>
          <w:lang w:val="en-US" w:eastAsia="zh-CN" w:bidi="ar-SA"/>
        </w:rPr>
        <w:t>综合</w:t>
      </w:r>
      <w:r>
        <w:rPr>
          <w:rFonts w:hint="eastAsia" w:ascii="宋体" w:hAnsi="Times New Roman" w:eastAsia="宋体" w:cs="Times New Roman"/>
          <w:b w:val="0"/>
          <w:bCs/>
          <w:kern w:val="2"/>
          <w:sz w:val="24"/>
          <w:szCs w:val="24"/>
          <w:u w:val="single"/>
          <w:lang w:val="zh-CN" w:eastAsia="zh-CN" w:bidi="ar-SA"/>
        </w:rPr>
        <w:t>单价结算</w:t>
      </w:r>
      <w:r>
        <w:rPr>
          <w:rFonts w:hint="eastAsia" w:ascii="宋体" w:hAnsi="Times New Roman" w:eastAsia="宋体" w:cs="Times New Roman"/>
          <w:b w:val="0"/>
          <w:bCs/>
          <w:kern w:val="2"/>
          <w:sz w:val="24"/>
          <w:szCs w:val="24"/>
          <w:lang w:val="zh-CN" w:eastAsia="zh-CN" w:bidi="ar-SA"/>
        </w:rPr>
        <w:t>。</w:t>
      </w:r>
    </w:p>
    <w:tbl>
      <w:tblPr>
        <w:tblStyle w:val="7"/>
        <w:tblW w:w="9696" w:type="dxa"/>
        <w:jc w:val="center"/>
        <w:tblLayout w:type="fixed"/>
        <w:tblCellMar>
          <w:top w:w="0" w:type="dxa"/>
          <w:left w:w="108" w:type="dxa"/>
          <w:bottom w:w="0" w:type="dxa"/>
          <w:right w:w="108" w:type="dxa"/>
        </w:tblCellMar>
      </w:tblPr>
      <w:tblGrid>
        <w:gridCol w:w="973"/>
        <w:gridCol w:w="2909"/>
        <w:gridCol w:w="996"/>
        <w:gridCol w:w="782"/>
        <w:gridCol w:w="1029"/>
        <w:gridCol w:w="1477"/>
        <w:gridCol w:w="1530"/>
      </w:tblGrid>
      <w:tr>
        <w:tblPrEx>
          <w:tblCellMar>
            <w:top w:w="0" w:type="dxa"/>
            <w:left w:w="108" w:type="dxa"/>
            <w:bottom w:w="0" w:type="dxa"/>
            <w:right w:w="108" w:type="dxa"/>
          </w:tblCellMar>
        </w:tblPrEx>
        <w:trPr>
          <w:trHeight w:val="660" w:hRule="atLeast"/>
          <w:jc w:val="center"/>
        </w:trPr>
        <w:tc>
          <w:tcPr>
            <w:tcW w:w="9696"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化龙镇柏沙路逸鼎不锈钢制品有限公司后山边坡治理工程</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工程检测、监测工作量清单</w:t>
            </w:r>
          </w:p>
        </w:tc>
      </w:tr>
      <w:tr>
        <w:tblPrEx>
          <w:tblCellMar>
            <w:top w:w="0" w:type="dxa"/>
            <w:left w:w="108" w:type="dxa"/>
            <w:bottom w:w="0" w:type="dxa"/>
            <w:right w:w="108" w:type="dxa"/>
          </w:tblCellMar>
        </w:tblPrEx>
        <w:trPr>
          <w:trHeight w:val="552" w:hRule="atLeast"/>
          <w:jc w:val="center"/>
        </w:trPr>
        <w:tc>
          <w:tcPr>
            <w:tcW w:w="97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序号</w:t>
            </w:r>
          </w:p>
        </w:tc>
        <w:tc>
          <w:tcPr>
            <w:tcW w:w="29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检测项目</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数量</w:t>
            </w:r>
          </w:p>
        </w:tc>
        <w:tc>
          <w:tcPr>
            <w:tcW w:w="7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单位</w:t>
            </w:r>
          </w:p>
        </w:tc>
        <w:tc>
          <w:tcPr>
            <w:tcW w:w="10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检测数</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Arial"/>
                <w:kern w:val="0"/>
                <w:szCs w:val="21"/>
                <w:lang w:val="zh-CN" w:eastAsia="zh-CN"/>
              </w:rPr>
              <w:t>综合单价（元）</w:t>
            </w:r>
          </w:p>
        </w:tc>
        <w:tc>
          <w:tcPr>
            <w:tcW w:w="153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Arial"/>
                <w:kern w:val="0"/>
                <w:szCs w:val="21"/>
                <w:lang w:val="zh-CN" w:eastAsia="zh-CN"/>
              </w:rPr>
              <w:t>合价（元）</w:t>
            </w:r>
          </w:p>
        </w:tc>
      </w:tr>
      <w:tr>
        <w:tblPrEx>
          <w:tblCellMar>
            <w:top w:w="0" w:type="dxa"/>
            <w:left w:w="108" w:type="dxa"/>
            <w:bottom w:w="0" w:type="dxa"/>
            <w:right w:w="108" w:type="dxa"/>
          </w:tblCellMar>
        </w:tblPrEx>
        <w:trPr>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1</w:t>
            </w:r>
          </w:p>
        </w:tc>
        <w:tc>
          <w:tcPr>
            <w:tcW w:w="290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zh-CN" w:eastAsia="zh-CN"/>
              </w:rPr>
            </w:pPr>
            <w:r>
              <w:rPr>
                <w:rFonts w:hint="eastAsia" w:ascii="宋体" w:hAnsi="宋体" w:eastAsia="宋体" w:cs="宋体"/>
                <w:i w:val="0"/>
                <w:iCs w:val="0"/>
                <w:color w:val="000000"/>
                <w:kern w:val="0"/>
                <w:sz w:val="21"/>
                <w:szCs w:val="21"/>
                <w:u w:val="none"/>
                <w:lang w:val="en-US" w:eastAsia="zh-CN" w:bidi="ar"/>
              </w:rPr>
              <w:t>锚杆（索）基本抗拔试验</w:t>
            </w:r>
          </w:p>
        </w:tc>
        <w:tc>
          <w:tcPr>
            <w:tcW w:w="996"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319</w:t>
            </w:r>
          </w:p>
        </w:tc>
        <w:tc>
          <w:tcPr>
            <w:tcW w:w="782"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个</w:t>
            </w:r>
          </w:p>
        </w:tc>
        <w:tc>
          <w:tcPr>
            <w:tcW w:w="102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477"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jc w:val="center"/>
        </w:trPr>
        <w:tc>
          <w:tcPr>
            <w:tcW w:w="8166" w:type="dxa"/>
            <w:gridSpan w:val="6"/>
            <w:tcBorders>
              <w:top w:val="nil"/>
              <w:left w:val="single" w:color="auto" w:sz="4" w:space="0"/>
              <w:bottom w:val="single" w:color="auto" w:sz="4" w:space="0"/>
              <w:right w:val="single" w:color="auto" w:sz="4" w:space="0"/>
            </w:tcBorders>
            <w:shd w:val="clear" w:color="000000" w:fill="D7D7D7" w:themeFill="background1" w:themeFillShade="D8"/>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检测费合计</w:t>
            </w:r>
          </w:p>
        </w:tc>
        <w:tc>
          <w:tcPr>
            <w:tcW w:w="1530" w:type="dxa"/>
            <w:tcBorders>
              <w:top w:val="nil"/>
              <w:left w:val="nil"/>
              <w:bottom w:val="single" w:color="auto" w:sz="4" w:space="0"/>
              <w:right w:val="single" w:color="auto" w:sz="4" w:space="0"/>
            </w:tcBorders>
            <w:shd w:val="clear" w:color="000000"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40" w:hRule="atLeast"/>
          <w:jc w:val="center"/>
        </w:trPr>
        <w:tc>
          <w:tcPr>
            <w:tcW w:w="9696" w:type="dxa"/>
            <w:gridSpan w:val="7"/>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说明：锚杆成孔150mm，倾角均为25°。锚杆采用φ32Ⅲ级钢筋制作，抗拔力设计值80kN、100kN，D=150，L=15、18m，@3000。检测数按试验数量的5%核定。</w:t>
            </w:r>
          </w:p>
        </w:tc>
      </w:tr>
      <w:tr>
        <w:tblPrEx>
          <w:tblCellMar>
            <w:top w:w="0" w:type="dxa"/>
            <w:left w:w="108" w:type="dxa"/>
            <w:bottom w:w="0" w:type="dxa"/>
            <w:right w:w="108" w:type="dxa"/>
          </w:tblCellMar>
        </w:tblPrEx>
        <w:trPr>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序号</w:t>
            </w:r>
          </w:p>
        </w:tc>
        <w:tc>
          <w:tcPr>
            <w:tcW w:w="2909"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监测项目</w:t>
            </w:r>
          </w:p>
        </w:tc>
        <w:tc>
          <w:tcPr>
            <w:tcW w:w="996"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数量</w:t>
            </w:r>
          </w:p>
        </w:tc>
        <w:tc>
          <w:tcPr>
            <w:tcW w:w="782"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单位</w:t>
            </w:r>
          </w:p>
        </w:tc>
        <w:tc>
          <w:tcPr>
            <w:tcW w:w="102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监测</w:t>
            </w:r>
          </w:p>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default" w:ascii="Arial" w:hAnsi="Arial" w:eastAsia="宋体" w:cs="Arial"/>
                <w:i w:val="0"/>
                <w:iCs w:val="0"/>
                <w:color w:val="000000"/>
                <w:kern w:val="0"/>
                <w:sz w:val="21"/>
                <w:szCs w:val="21"/>
                <w:u w:val="none"/>
                <w:lang w:val="en-US" w:eastAsia="zh-CN" w:bidi="ar"/>
              </w:rPr>
              <w:t>次数</w:t>
            </w:r>
          </w:p>
        </w:tc>
        <w:tc>
          <w:tcPr>
            <w:tcW w:w="1477" w:type="dxa"/>
            <w:tcBorders>
              <w:top w:val="nil"/>
              <w:left w:val="nil"/>
              <w:bottom w:val="single" w:color="auto" w:sz="4" w:space="0"/>
              <w:right w:val="single" w:color="auto" w:sz="4" w:space="0"/>
            </w:tcBorders>
            <w:shd w:val="clear" w:color="000000" w:fill="auto"/>
            <w:noWrap/>
            <w:vAlign w:val="center"/>
          </w:tcPr>
          <w:p>
            <w:pPr>
              <w:widowControl/>
              <w:jc w:val="center"/>
              <w:rPr>
                <w:rFonts w:hint="default" w:ascii="Arial" w:hAnsi="Arial" w:eastAsia="宋体" w:cs="Arial"/>
                <w:i w:val="0"/>
                <w:iCs w:val="0"/>
                <w:color w:val="000000"/>
                <w:kern w:val="0"/>
                <w:sz w:val="21"/>
                <w:szCs w:val="21"/>
                <w:u w:val="none"/>
                <w:lang w:val="en-US" w:eastAsia="zh-CN" w:bidi="ar"/>
              </w:rPr>
            </w:pPr>
            <w:r>
              <w:rPr>
                <w:rFonts w:hint="eastAsia" w:ascii="宋体" w:hAnsi="宋体" w:cs="Arial"/>
                <w:kern w:val="0"/>
                <w:szCs w:val="21"/>
                <w:lang w:val="zh-CN" w:eastAsia="zh-CN"/>
              </w:rPr>
              <w:t>综合单价（元）</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hint="default" w:ascii="Arial" w:hAnsi="Arial" w:eastAsia="宋体" w:cs="Arial"/>
                <w:i w:val="0"/>
                <w:iCs w:val="0"/>
                <w:color w:val="000000"/>
                <w:kern w:val="0"/>
                <w:sz w:val="21"/>
                <w:szCs w:val="21"/>
                <w:u w:val="none"/>
                <w:lang w:val="en-US" w:eastAsia="zh-CN" w:bidi="ar"/>
              </w:rPr>
            </w:pPr>
            <w:r>
              <w:rPr>
                <w:rFonts w:hint="eastAsia" w:ascii="宋体" w:hAnsi="宋体" w:cs="Arial"/>
                <w:kern w:val="0"/>
                <w:szCs w:val="21"/>
                <w:lang w:val="zh-CN" w:eastAsia="zh-CN"/>
              </w:rPr>
              <w:t>合价（元）</w:t>
            </w:r>
          </w:p>
        </w:tc>
      </w:tr>
      <w:tr>
        <w:tblPrEx>
          <w:tblCellMar>
            <w:top w:w="0" w:type="dxa"/>
            <w:left w:w="108" w:type="dxa"/>
            <w:bottom w:w="0" w:type="dxa"/>
            <w:right w:w="108" w:type="dxa"/>
          </w:tblCellMar>
        </w:tblPrEx>
        <w:trPr>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一</w:t>
            </w:r>
          </w:p>
        </w:tc>
        <w:tc>
          <w:tcPr>
            <w:tcW w:w="7193" w:type="dxa"/>
            <w:gridSpan w:val="5"/>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Arial"/>
                <w:kern w:val="0"/>
                <w:szCs w:val="21"/>
                <w:lang w:val="zh-CN" w:eastAsia="zh-CN"/>
              </w:rPr>
              <w:t>埋设费</w:t>
            </w:r>
          </w:p>
        </w:tc>
        <w:tc>
          <w:tcPr>
            <w:tcW w:w="1530" w:type="dxa"/>
            <w:tcBorders>
              <w:top w:val="nil"/>
              <w:left w:val="single" w:color="auto" w:sz="4" w:space="0"/>
              <w:bottom w:val="single" w:color="auto" w:sz="4" w:space="0"/>
              <w:right w:val="single" w:color="auto" w:sz="4" w:space="0"/>
            </w:tcBorders>
            <w:shd w:val="clear" w:color="000000" w:fill="auto"/>
            <w:noWrap w:val="0"/>
            <w:vAlign w:val="center"/>
          </w:tcPr>
          <w:p>
            <w:pPr>
              <w:keepNext w:val="0"/>
              <w:keepLines w:val="0"/>
              <w:widowControl/>
              <w:suppressLineNumbers w:val="0"/>
              <w:jc w:val="left"/>
              <w:textAlignment w:val="center"/>
              <w:rPr>
                <w:rFonts w:hint="eastAsia" w:ascii="宋体" w:hAnsi="宋体" w:cs="Arial"/>
                <w:kern w:val="0"/>
                <w:szCs w:val="21"/>
                <w:lang w:val="zh-CN" w:eastAsia="zh-CN"/>
              </w:rPr>
            </w:pPr>
          </w:p>
        </w:tc>
      </w:tr>
      <w:tr>
        <w:tblPrEx>
          <w:tblCellMar>
            <w:top w:w="0" w:type="dxa"/>
            <w:left w:w="108" w:type="dxa"/>
            <w:bottom w:w="0" w:type="dxa"/>
            <w:right w:w="108" w:type="dxa"/>
          </w:tblCellMar>
        </w:tblPrEx>
        <w:trPr>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1</w:t>
            </w:r>
          </w:p>
        </w:tc>
        <w:tc>
          <w:tcPr>
            <w:tcW w:w="2909"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zh-CN" w:eastAsia="zh-CN"/>
              </w:rPr>
            </w:pPr>
            <w:r>
              <w:rPr>
                <w:rFonts w:hint="default" w:ascii="Arial" w:hAnsi="Arial" w:eastAsia="宋体" w:cs="Arial"/>
                <w:i w:val="0"/>
                <w:iCs w:val="0"/>
                <w:color w:val="000000"/>
                <w:kern w:val="0"/>
                <w:sz w:val="21"/>
                <w:szCs w:val="21"/>
                <w:u w:val="none"/>
                <w:lang w:val="en-US" w:eastAsia="zh-CN" w:bidi="ar"/>
              </w:rPr>
              <w:t>基准点埋设</w:t>
            </w:r>
          </w:p>
        </w:tc>
        <w:tc>
          <w:tcPr>
            <w:tcW w:w="996"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3</w:t>
            </w:r>
          </w:p>
        </w:tc>
        <w:tc>
          <w:tcPr>
            <w:tcW w:w="782"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个</w:t>
            </w:r>
          </w:p>
        </w:tc>
        <w:tc>
          <w:tcPr>
            <w:tcW w:w="102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w:t>
            </w:r>
          </w:p>
        </w:tc>
        <w:tc>
          <w:tcPr>
            <w:tcW w:w="1477"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2</w:t>
            </w:r>
          </w:p>
        </w:tc>
        <w:tc>
          <w:tcPr>
            <w:tcW w:w="2909"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left"/>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边坡位移、沉降监测点</w:t>
            </w:r>
          </w:p>
        </w:tc>
        <w:tc>
          <w:tcPr>
            <w:tcW w:w="996"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12</w:t>
            </w:r>
          </w:p>
        </w:tc>
        <w:tc>
          <w:tcPr>
            <w:tcW w:w="782"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个</w:t>
            </w:r>
          </w:p>
        </w:tc>
        <w:tc>
          <w:tcPr>
            <w:tcW w:w="102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w:t>
            </w:r>
          </w:p>
        </w:tc>
        <w:tc>
          <w:tcPr>
            <w:tcW w:w="1477"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3</w:t>
            </w:r>
          </w:p>
        </w:tc>
        <w:tc>
          <w:tcPr>
            <w:tcW w:w="2909"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left"/>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锚杆（锚索）应力监测点</w:t>
            </w:r>
          </w:p>
        </w:tc>
        <w:tc>
          <w:tcPr>
            <w:tcW w:w="996"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12</w:t>
            </w:r>
          </w:p>
        </w:tc>
        <w:tc>
          <w:tcPr>
            <w:tcW w:w="782"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个</w:t>
            </w:r>
          </w:p>
        </w:tc>
        <w:tc>
          <w:tcPr>
            <w:tcW w:w="102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w:t>
            </w:r>
          </w:p>
        </w:tc>
        <w:tc>
          <w:tcPr>
            <w:tcW w:w="1477"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zh-CN" w:eastAsia="zh-CN"/>
              </w:rPr>
            </w:pPr>
            <w:r>
              <w:rPr>
                <w:rFonts w:hint="default" w:ascii="Arial" w:hAnsi="Arial" w:eastAsia="宋体" w:cs="Arial"/>
                <w:i w:val="0"/>
                <w:iCs w:val="0"/>
                <w:color w:val="000000"/>
                <w:kern w:val="0"/>
                <w:sz w:val="21"/>
                <w:szCs w:val="21"/>
                <w:u w:val="none"/>
                <w:lang w:val="en-US" w:eastAsia="zh-CN" w:bidi="ar"/>
              </w:rPr>
              <w:t>二</w:t>
            </w:r>
          </w:p>
        </w:tc>
        <w:tc>
          <w:tcPr>
            <w:tcW w:w="7193" w:type="dxa"/>
            <w:gridSpan w:val="5"/>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w:t>
            </w:r>
            <w:r>
              <w:rPr>
                <w:rFonts w:hint="eastAsia" w:ascii="宋体" w:hAnsi="宋体" w:cs="宋体"/>
                <w:i w:val="0"/>
                <w:iCs w:val="0"/>
                <w:color w:val="000000"/>
                <w:kern w:val="0"/>
                <w:sz w:val="21"/>
                <w:szCs w:val="21"/>
                <w:u w:val="none"/>
                <w:lang w:val="en-US" w:eastAsia="zh-CN" w:bidi="ar"/>
              </w:rPr>
              <w:t>费</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74"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Times New Roman" w:eastAsia="宋体" w:cs="Times New Roman"/>
                <w:b w:val="0"/>
                <w:bCs/>
                <w:kern w:val="2"/>
                <w:sz w:val="25"/>
                <w:szCs w:val="25"/>
                <w:lang w:val="zh-CN" w:eastAsia="zh-CN" w:bidi="ar-SA"/>
              </w:rPr>
            </w:pPr>
            <w:r>
              <w:rPr>
                <w:rFonts w:hint="eastAsia" w:ascii="宋体" w:hAnsi="宋体" w:eastAsia="宋体" w:cs="宋体"/>
                <w:i w:val="0"/>
                <w:iCs w:val="0"/>
                <w:color w:val="000000"/>
                <w:kern w:val="0"/>
                <w:sz w:val="21"/>
                <w:szCs w:val="21"/>
                <w:u w:val="none"/>
                <w:lang w:val="en-US" w:eastAsia="zh-CN" w:bidi="ar"/>
              </w:rPr>
              <w:t>1</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pPr>
            <w:r>
              <w:rPr>
                <w:rFonts w:hint="default" w:ascii="Arial" w:hAnsi="Arial" w:eastAsia="宋体" w:cs="Arial"/>
                <w:i w:val="0"/>
                <w:iCs w:val="0"/>
                <w:color w:val="000000"/>
                <w:kern w:val="0"/>
                <w:sz w:val="21"/>
                <w:szCs w:val="21"/>
                <w:u w:val="none"/>
                <w:lang w:val="en-US" w:eastAsia="zh-CN" w:bidi="ar"/>
              </w:rPr>
              <w:t>边坡水平位移监测</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点·次</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80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85"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边坡沉降监测</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点·次</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39"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锚杆（锚索）应力监测</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点·次</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39" w:hRule="atLeast"/>
          <w:jc w:val="center"/>
        </w:trPr>
        <w:tc>
          <w:tcPr>
            <w:tcW w:w="8166" w:type="dxa"/>
            <w:gridSpan w:val="6"/>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监测费合计</w:t>
            </w:r>
          </w:p>
        </w:tc>
        <w:tc>
          <w:tcPr>
            <w:tcW w:w="153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39" w:hRule="atLeast"/>
          <w:jc w:val="center"/>
        </w:trPr>
        <w:tc>
          <w:tcPr>
            <w:tcW w:w="8166" w:type="dxa"/>
            <w:gridSpan w:val="6"/>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合同清单总计</w:t>
            </w:r>
          </w:p>
        </w:tc>
        <w:tc>
          <w:tcPr>
            <w:tcW w:w="153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765" w:hRule="atLeast"/>
          <w:jc w:val="center"/>
        </w:trPr>
        <w:tc>
          <w:tcPr>
            <w:tcW w:w="96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本边坡安全等级为二级，施工期暂定3个月。监测频率：边坡施工期间，每两天监测一次，遇有大雨或特殊情况时应加强观测；边坡支护工程施工完工后，第1－2个月，每周测一次；第3－6个月，每一个月测一次；第7－24个月，每三个月测一次。竣工后监测不少于2年，监测次数暂定为80次。</w:t>
            </w:r>
          </w:p>
        </w:tc>
      </w:tr>
    </w:tbl>
    <w:p>
      <w:pPr>
        <w:autoSpaceDE w:val="0"/>
        <w:autoSpaceDN w:val="0"/>
        <w:adjustRightInd w:val="0"/>
        <w:spacing w:line="360" w:lineRule="auto"/>
        <w:ind w:firstLine="492" w:firstLineChars="196"/>
        <w:jc w:val="left"/>
        <w:rPr>
          <w:rFonts w:hint="eastAsia" w:ascii="宋体" w:hAnsi="Times New Roman" w:eastAsia="宋体" w:cs="Times New Roman"/>
          <w:b/>
          <w:bCs w:val="0"/>
          <w:kern w:val="2"/>
          <w:sz w:val="25"/>
          <w:szCs w:val="25"/>
          <w:lang w:val="zh-CN" w:eastAsia="zh-CN" w:bidi="ar-SA"/>
        </w:rPr>
      </w:pPr>
      <w:r>
        <w:rPr>
          <w:rFonts w:hint="eastAsia" w:ascii="宋体" w:hAnsi="Times New Roman" w:eastAsia="宋体" w:cs="Times New Roman"/>
          <w:b/>
          <w:bCs w:val="0"/>
          <w:kern w:val="2"/>
          <w:sz w:val="25"/>
          <w:szCs w:val="25"/>
          <w:lang w:val="zh-CN" w:eastAsia="zh-CN" w:bidi="ar-SA"/>
        </w:rPr>
        <w:t>2、付款方式：</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本合同签订后，乙方进场开始</w:t>
      </w:r>
      <w:r>
        <w:rPr>
          <w:rFonts w:hint="eastAsia" w:ascii="宋体" w:cs="Times New Roman"/>
          <w:b w:val="0"/>
          <w:bCs/>
          <w:kern w:val="2"/>
          <w:sz w:val="24"/>
          <w:szCs w:val="24"/>
          <w:lang w:val="en-US" w:eastAsia="zh-CN" w:bidi="ar-SA"/>
        </w:rPr>
        <w:t>检测、</w:t>
      </w:r>
      <w:r>
        <w:rPr>
          <w:rFonts w:hint="eastAsia" w:ascii="宋体" w:hAnsi="Times New Roman" w:eastAsia="宋体" w:cs="Times New Roman"/>
          <w:b w:val="0"/>
          <w:bCs/>
          <w:kern w:val="2"/>
          <w:sz w:val="24"/>
          <w:szCs w:val="24"/>
          <w:lang w:val="zh-CN" w:eastAsia="zh-CN" w:bidi="ar-SA"/>
        </w:rPr>
        <w:t>监测（边坡施工完成后），</w:t>
      </w:r>
      <w:r>
        <w:rPr>
          <w:rFonts w:hint="eastAsia" w:ascii="宋体" w:hAnsi="Times New Roman" w:eastAsia="宋体" w:cs="Times New Roman"/>
          <w:b w:val="0"/>
          <w:bCs/>
          <w:kern w:val="2"/>
          <w:sz w:val="24"/>
          <w:szCs w:val="24"/>
          <w:lang w:val="en-US" w:eastAsia="zh-CN" w:bidi="ar-SA"/>
        </w:rPr>
        <w:t>完成点位埋设工作，经甲方确认，按甲方要求</w:t>
      </w:r>
      <w:r>
        <w:rPr>
          <w:rFonts w:hint="eastAsia" w:ascii="宋体" w:hAnsi="Times New Roman" w:eastAsia="宋体" w:cs="Times New Roman"/>
          <w:b w:val="0"/>
          <w:bCs/>
          <w:kern w:val="2"/>
          <w:sz w:val="24"/>
          <w:szCs w:val="24"/>
          <w:lang w:val="zh-CN" w:eastAsia="zh-CN" w:bidi="ar-SA"/>
        </w:rPr>
        <w:t>提交</w:t>
      </w:r>
      <w:r>
        <w:rPr>
          <w:rFonts w:hint="eastAsia" w:ascii="宋体" w:hAnsi="Times New Roman" w:eastAsia="宋体" w:cs="Times New Roman"/>
          <w:b w:val="0"/>
          <w:bCs/>
          <w:kern w:val="2"/>
          <w:sz w:val="24"/>
          <w:szCs w:val="24"/>
          <w:lang w:val="en-US" w:eastAsia="zh-CN" w:bidi="ar-SA"/>
        </w:rPr>
        <w:t>完整的</w:t>
      </w:r>
      <w:r>
        <w:rPr>
          <w:rFonts w:hint="eastAsia" w:ascii="宋体" w:hAnsi="Times New Roman" w:eastAsia="宋体" w:cs="Times New Roman"/>
          <w:b w:val="0"/>
          <w:bCs/>
          <w:kern w:val="2"/>
          <w:sz w:val="24"/>
          <w:szCs w:val="24"/>
          <w:lang w:val="zh-CN" w:eastAsia="zh-CN" w:bidi="ar-SA"/>
        </w:rPr>
        <w:t>请款资料，</w:t>
      </w:r>
      <w:r>
        <w:rPr>
          <w:rFonts w:hint="eastAsia" w:ascii="宋体" w:hAnsi="Times New Roman" w:eastAsia="宋体" w:cs="Times New Roman"/>
          <w:b w:val="0"/>
          <w:bCs/>
          <w:kern w:val="2"/>
          <w:sz w:val="24"/>
          <w:szCs w:val="24"/>
          <w:lang w:val="en-US" w:eastAsia="zh-CN" w:bidi="ar-SA"/>
        </w:rPr>
        <w:t>甲方5天内向政府财政支付部门提出办理财政支付</w:t>
      </w:r>
      <w:r>
        <w:rPr>
          <w:rFonts w:hint="eastAsia" w:ascii="宋体" w:hAnsi="Times New Roman" w:eastAsia="宋体" w:cs="Times New Roman"/>
          <w:b w:val="0"/>
          <w:bCs/>
          <w:kern w:val="2"/>
          <w:sz w:val="24"/>
          <w:szCs w:val="24"/>
          <w:lang w:val="zh-CN" w:eastAsia="zh-CN" w:bidi="ar-SA"/>
        </w:rPr>
        <w:t>合同价款的50%；乙方完成</w:t>
      </w:r>
      <w:r>
        <w:rPr>
          <w:rFonts w:hint="eastAsia" w:ascii="宋体" w:hAnsi="Times New Roman" w:eastAsia="宋体" w:cs="Times New Roman"/>
          <w:b w:val="0"/>
          <w:bCs/>
          <w:kern w:val="2"/>
          <w:sz w:val="24"/>
          <w:szCs w:val="24"/>
          <w:lang w:val="en-US" w:eastAsia="zh-CN" w:bidi="ar-SA"/>
        </w:rPr>
        <w:t>工程全部</w:t>
      </w:r>
      <w:r>
        <w:rPr>
          <w:rFonts w:hint="eastAsia" w:ascii="宋体" w:cs="Times New Roman"/>
          <w:b w:val="0"/>
          <w:bCs/>
          <w:kern w:val="2"/>
          <w:sz w:val="24"/>
          <w:szCs w:val="24"/>
          <w:lang w:val="en-US" w:eastAsia="zh-CN" w:bidi="ar-SA"/>
        </w:rPr>
        <w:t>检测、</w:t>
      </w:r>
      <w:r>
        <w:rPr>
          <w:rFonts w:hint="eastAsia" w:ascii="宋体" w:hAnsi="Times New Roman" w:eastAsia="宋体" w:cs="Times New Roman"/>
          <w:b w:val="0"/>
          <w:bCs/>
          <w:kern w:val="2"/>
          <w:sz w:val="24"/>
          <w:szCs w:val="24"/>
          <w:lang w:val="en-US" w:eastAsia="zh-CN" w:bidi="ar-SA"/>
        </w:rPr>
        <w:t>监测</w:t>
      </w:r>
      <w:r>
        <w:rPr>
          <w:rFonts w:hint="eastAsia" w:ascii="宋体" w:hAnsi="Times New Roman" w:eastAsia="宋体" w:cs="Times New Roman"/>
          <w:b w:val="0"/>
          <w:bCs/>
          <w:kern w:val="2"/>
          <w:sz w:val="24"/>
          <w:szCs w:val="24"/>
          <w:lang w:val="zh-CN" w:eastAsia="zh-CN" w:bidi="ar-SA"/>
        </w:rPr>
        <w:t>工作，并交付成果报告后，</w:t>
      </w:r>
      <w:r>
        <w:rPr>
          <w:rFonts w:hint="eastAsia" w:ascii="宋体" w:hAnsi="Times New Roman" w:eastAsia="宋体" w:cs="Times New Roman"/>
          <w:b w:val="0"/>
          <w:bCs/>
          <w:kern w:val="2"/>
          <w:sz w:val="24"/>
          <w:szCs w:val="24"/>
          <w:lang w:val="en-US" w:eastAsia="zh-CN" w:bidi="ar-SA"/>
        </w:rPr>
        <w:t>与甲方及甲方委托的监理人确认实际监测工作量，完成办理结算工作后，</w:t>
      </w:r>
      <w:r>
        <w:rPr>
          <w:rFonts w:hint="eastAsia" w:ascii="宋体" w:hAnsi="Times New Roman" w:eastAsia="宋体" w:cs="Times New Roman"/>
          <w:b w:val="0"/>
          <w:bCs/>
          <w:kern w:val="2"/>
          <w:sz w:val="24"/>
          <w:szCs w:val="24"/>
          <w:lang w:val="zh-CN" w:eastAsia="zh-CN" w:bidi="ar-SA"/>
        </w:rPr>
        <w:t>按甲方要求提交完整的请款资料，甲方</w:t>
      </w:r>
      <w:r>
        <w:rPr>
          <w:rFonts w:hint="eastAsia" w:ascii="宋体" w:hAnsi="Times New Roman" w:eastAsia="宋体" w:cs="Times New Roman"/>
          <w:b w:val="0"/>
          <w:bCs/>
          <w:kern w:val="2"/>
          <w:sz w:val="24"/>
          <w:szCs w:val="24"/>
          <w:lang w:val="en-US" w:eastAsia="zh-CN" w:bidi="ar-SA"/>
        </w:rPr>
        <w:t>5天内</w:t>
      </w:r>
      <w:r>
        <w:rPr>
          <w:rFonts w:hint="eastAsia" w:ascii="宋体" w:hAnsi="Times New Roman" w:eastAsia="宋体" w:cs="Times New Roman"/>
          <w:b w:val="0"/>
          <w:bCs/>
          <w:kern w:val="2"/>
          <w:sz w:val="24"/>
          <w:szCs w:val="24"/>
          <w:lang w:val="zh-CN" w:eastAsia="zh-CN" w:bidi="ar-SA"/>
        </w:rPr>
        <w:t>向政府财政支付部门提出办理财政支付合同</w:t>
      </w:r>
      <w:r>
        <w:rPr>
          <w:rFonts w:hint="eastAsia" w:ascii="宋体" w:hAnsi="Times New Roman" w:eastAsia="宋体" w:cs="Times New Roman"/>
          <w:b w:val="0"/>
          <w:bCs/>
          <w:kern w:val="2"/>
          <w:sz w:val="24"/>
          <w:szCs w:val="24"/>
          <w:lang w:val="en-US" w:eastAsia="zh-CN" w:bidi="ar-SA"/>
        </w:rPr>
        <w:t>结算尾</w:t>
      </w:r>
      <w:r>
        <w:rPr>
          <w:rFonts w:hint="eastAsia" w:ascii="宋体" w:hAnsi="Times New Roman" w:eastAsia="宋体" w:cs="Times New Roman"/>
          <w:b w:val="0"/>
          <w:bCs/>
          <w:kern w:val="2"/>
          <w:sz w:val="24"/>
          <w:szCs w:val="24"/>
          <w:lang w:val="zh-CN" w:eastAsia="zh-CN" w:bidi="ar-SA"/>
        </w:rPr>
        <w:t>款。</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因</w:t>
      </w:r>
      <w:r>
        <w:rPr>
          <w:rFonts w:hint="eastAsia" w:ascii="宋体" w:hAnsi="Times New Roman" w:eastAsia="宋体" w:cs="Times New Roman"/>
          <w:b w:val="0"/>
          <w:bCs/>
          <w:kern w:val="2"/>
          <w:sz w:val="24"/>
          <w:szCs w:val="24"/>
          <w:lang w:val="en-US" w:eastAsia="zh-CN" w:bidi="ar-SA"/>
        </w:rPr>
        <w:t>甲方</w:t>
      </w:r>
      <w:r>
        <w:rPr>
          <w:rFonts w:hint="eastAsia" w:ascii="宋体" w:hAnsi="Times New Roman" w:eastAsia="宋体" w:cs="Times New Roman"/>
          <w:b w:val="0"/>
          <w:bCs/>
          <w:kern w:val="2"/>
          <w:sz w:val="24"/>
          <w:szCs w:val="24"/>
          <w:lang w:val="zh-CN" w:eastAsia="zh-CN" w:bidi="ar-SA"/>
        </w:rPr>
        <w:t>使用的是财政资金，</w:t>
      </w:r>
      <w:r>
        <w:rPr>
          <w:rFonts w:hint="eastAsia" w:ascii="宋体" w:hAnsi="Times New Roman" w:eastAsia="宋体" w:cs="Times New Roman"/>
          <w:b w:val="0"/>
          <w:bCs/>
          <w:kern w:val="2"/>
          <w:sz w:val="24"/>
          <w:szCs w:val="24"/>
          <w:lang w:val="en-US" w:eastAsia="zh-CN" w:bidi="ar-SA"/>
        </w:rPr>
        <w:t>甲方</w:t>
      </w:r>
      <w:r>
        <w:rPr>
          <w:rFonts w:hint="eastAsia" w:ascii="宋体" w:hAnsi="Times New Roman" w:eastAsia="宋体" w:cs="Times New Roman"/>
          <w:b w:val="0"/>
          <w:bCs/>
          <w:kern w:val="2"/>
          <w:sz w:val="24"/>
          <w:szCs w:val="24"/>
          <w:lang w:val="zh-CN" w:eastAsia="zh-CN" w:bidi="ar-SA"/>
        </w:rPr>
        <w:t>在约定时间内向政府财政支付部门提出办理财政支付申请手续即视为</w:t>
      </w:r>
      <w:r>
        <w:rPr>
          <w:rFonts w:hint="eastAsia" w:ascii="宋体" w:hAnsi="Times New Roman" w:eastAsia="宋体" w:cs="Times New Roman"/>
          <w:b w:val="0"/>
          <w:bCs/>
          <w:kern w:val="2"/>
          <w:sz w:val="24"/>
          <w:szCs w:val="24"/>
          <w:lang w:val="en-US" w:eastAsia="zh-CN" w:bidi="ar-SA"/>
        </w:rPr>
        <w:t>甲方</w:t>
      </w:r>
      <w:r>
        <w:rPr>
          <w:rFonts w:hint="eastAsia" w:ascii="宋体" w:hAnsi="Times New Roman" w:eastAsia="宋体" w:cs="Times New Roman"/>
          <w:b w:val="0"/>
          <w:bCs/>
          <w:kern w:val="2"/>
          <w:sz w:val="24"/>
          <w:szCs w:val="24"/>
          <w:lang w:val="zh-CN" w:eastAsia="zh-CN" w:bidi="ar-SA"/>
        </w:rPr>
        <w:t>已经按期支付。</w:t>
      </w:r>
      <w:r>
        <w:rPr>
          <w:rFonts w:hint="eastAsia" w:ascii="宋体" w:hAnsi="Times New Roman" w:eastAsia="宋体" w:cs="Times New Roman"/>
          <w:b w:val="0"/>
          <w:bCs/>
          <w:kern w:val="2"/>
          <w:sz w:val="24"/>
          <w:szCs w:val="24"/>
          <w:lang w:val="en-US" w:eastAsia="zh-CN" w:bidi="ar-SA"/>
        </w:rPr>
        <w:t>合同款项具体</w:t>
      </w:r>
      <w:r>
        <w:rPr>
          <w:rFonts w:hint="eastAsia" w:ascii="宋体" w:hAnsi="Times New Roman" w:eastAsia="宋体" w:cs="Times New Roman"/>
          <w:b w:val="0"/>
          <w:bCs/>
          <w:kern w:val="2"/>
          <w:sz w:val="24"/>
          <w:szCs w:val="24"/>
          <w:lang w:val="zh-CN" w:eastAsia="zh-CN" w:bidi="ar-SA"/>
        </w:rPr>
        <w:t>支付时间以政府财政支付部门最终拨款时间为准。</w:t>
      </w:r>
    </w:p>
    <w:p>
      <w:pPr>
        <w:spacing w:line="360" w:lineRule="auto"/>
        <w:ind w:firstLine="298" w:firstLineChars="99"/>
        <w:outlineLvl w:val="0"/>
        <w:rPr>
          <w:rFonts w:hint="eastAsia"/>
          <w:b/>
          <w:bCs/>
          <w:sz w:val="30"/>
          <w:lang w:val="zh-CN" w:eastAsia="zh-CN"/>
        </w:rPr>
      </w:pPr>
      <w:r>
        <w:rPr>
          <w:rFonts w:hint="eastAsia"/>
          <w:b/>
          <w:bCs/>
          <w:sz w:val="30"/>
          <w:lang w:val="zh-CN" w:eastAsia="zh-CN"/>
        </w:rPr>
        <w:t>第四条  双方责任与义务</w:t>
      </w:r>
    </w:p>
    <w:p>
      <w:pPr>
        <w:spacing w:line="360" w:lineRule="auto"/>
        <w:ind w:firstLine="559" w:firstLineChars="199"/>
        <w:outlineLvl w:val="0"/>
        <w:rPr>
          <w:rFonts w:hint="eastAsia"/>
          <w:b/>
          <w:bCs/>
          <w:sz w:val="24"/>
          <w:szCs w:val="24"/>
          <w:lang w:val="zh-CN" w:eastAsia="zh-CN"/>
        </w:rPr>
      </w:pPr>
      <w:r>
        <w:rPr>
          <w:rFonts w:hint="eastAsia"/>
          <w:b/>
          <w:bCs/>
          <w:sz w:val="28"/>
          <w:szCs w:val="28"/>
          <w:lang w:val="en-US" w:eastAsia="zh-CN"/>
        </w:rPr>
        <w:t>一、</w:t>
      </w:r>
      <w:r>
        <w:rPr>
          <w:rFonts w:hint="eastAsia"/>
          <w:b/>
          <w:bCs/>
          <w:sz w:val="24"/>
          <w:szCs w:val="24"/>
          <w:lang w:val="zh-CN" w:eastAsia="zh-CN"/>
        </w:rPr>
        <w:t>甲方责任：</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（1）向乙方提供进场通知书、场地内及周边《地下管线图》，和开展</w:t>
      </w:r>
      <w:r>
        <w:rPr>
          <w:rFonts w:hint="eastAsia"/>
          <w:b w:val="0"/>
          <w:bCs w:val="0"/>
          <w:sz w:val="24"/>
          <w:szCs w:val="24"/>
          <w:lang w:val="en-US" w:eastAsia="zh-CN"/>
        </w:rPr>
        <w:t>检测、</w:t>
      </w:r>
      <w:r>
        <w:rPr>
          <w:rFonts w:hint="eastAsia"/>
          <w:b w:val="0"/>
          <w:bCs w:val="0"/>
          <w:sz w:val="24"/>
          <w:szCs w:val="24"/>
          <w:lang w:val="zh-CN" w:eastAsia="zh-CN"/>
        </w:rPr>
        <w:t>监测工作所需的其他相关图纸资料，并对提供的资料的可靠性负责，因所提供资料有误或未提供相关资料而造成不良后果的，责任由甲方承担。</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（2）责令施工方对现场监测点进行保护及要求施工方配合埋设监测点。</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（3）提供</w:t>
      </w:r>
      <w:r>
        <w:rPr>
          <w:rFonts w:hint="eastAsia"/>
          <w:b w:val="0"/>
          <w:bCs w:val="0"/>
          <w:sz w:val="24"/>
          <w:szCs w:val="24"/>
          <w:lang w:val="en-US" w:eastAsia="zh-CN"/>
        </w:rPr>
        <w:t>检测、</w:t>
      </w:r>
      <w:r>
        <w:rPr>
          <w:rFonts w:hint="eastAsia"/>
          <w:b w:val="0"/>
          <w:bCs w:val="0"/>
          <w:sz w:val="24"/>
          <w:szCs w:val="24"/>
          <w:lang w:val="zh-CN" w:eastAsia="zh-CN"/>
        </w:rPr>
        <w:t>监测作业场地，</w:t>
      </w:r>
      <w:r>
        <w:rPr>
          <w:rFonts w:hint="eastAsia" w:hAnsi="宋体"/>
          <w:bCs/>
          <w:sz w:val="24"/>
          <w:szCs w:val="24"/>
        </w:rPr>
        <w:t>，保证乙方能够连续进行现场作业。</w:t>
      </w:r>
      <w:r>
        <w:rPr>
          <w:rFonts w:hint="eastAsia"/>
          <w:b w:val="0"/>
          <w:bCs w:val="0"/>
          <w:sz w:val="24"/>
          <w:szCs w:val="24"/>
          <w:lang w:val="zh-CN" w:eastAsia="zh-CN"/>
        </w:rPr>
        <w:t>如因场地与第三者产生矛盾时负责及时协调解决。</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（4）应按本合同规定的时间支付费用。</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（5）对乙方所提交的</w:t>
      </w:r>
      <w:r>
        <w:rPr>
          <w:rFonts w:hint="eastAsia"/>
          <w:b w:val="0"/>
          <w:bCs w:val="0"/>
          <w:sz w:val="24"/>
          <w:szCs w:val="24"/>
          <w:lang w:val="en-US" w:eastAsia="zh-CN"/>
        </w:rPr>
        <w:t>检测、</w:t>
      </w:r>
      <w:r>
        <w:rPr>
          <w:rFonts w:hint="eastAsia"/>
          <w:b w:val="0"/>
          <w:bCs w:val="0"/>
          <w:sz w:val="24"/>
          <w:szCs w:val="24"/>
          <w:lang w:val="zh-CN" w:eastAsia="zh-CN"/>
        </w:rPr>
        <w:t>监测成果（包括监测简报、监测总结报告），甲方不得擅自转让给与本工程无关的第三者使用。</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（6）需要时，协助乙方的方案评审工作和协调乙方与监理单位、施工、设计及工地周边单位的各种联系。</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7）支护结构施工前，甲方应及时通知乙方进行相应监测仪器埋设，若因没有及时通知导致埋设费用增加由甲方负责；对于需钻孔埋设的监测点，甲方应协助乙方共同确认安全位置，若因没有共同确认位置而造成事故或损失由甲方负责。</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（8）确保乙方申报的《监测方案》等资料及时审批，乙方提交相关送审资料后15天内未予批复的，视为所提交资料已通过相关方面审批，并承担相应的因审批延误所引起的不良后果。</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（9）根据合同约定乙方申报的工作量、费用增减及时审核、确认，乙方提交相关送审资料后15天内未予批复的，视为所提交资料已通过相关方面审核，同意、确认乙方提交的工作量及费用的增减。</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（10）甲方有义务为在交易的过程中所知悉的乙方尚未公开的知识产权信息或其他商业信息或技术信息事项进行保密。</w:t>
      </w:r>
    </w:p>
    <w:p>
      <w:pPr>
        <w:spacing w:line="360" w:lineRule="auto"/>
        <w:ind w:firstLine="559" w:firstLineChars="199"/>
        <w:outlineLvl w:val="0"/>
        <w:rPr>
          <w:rFonts w:hint="eastAsia"/>
          <w:b/>
          <w:bCs/>
          <w:sz w:val="24"/>
          <w:szCs w:val="24"/>
          <w:lang w:val="zh-CN" w:eastAsia="zh-CN"/>
        </w:rPr>
      </w:pPr>
      <w:r>
        <w:rPr>
          <w:rFonts w:hint="eastAsia"/>
          <w:b/>
          <w:bCs/>
          <w:sz w:val="28"/>
          <w:szCs w:val="28"/>
          <w:lang w:val="en-US" w:eastAsia="zh-CN"/>
        </w:rPr>
        <w:t>二、</w:t>
      </w:r>
      <w:r>
        <w:rPr>
          <w:rFonts w:hint="eastAsia"/>
          <w:b/>
          <w:bCs/>
          <w:sz w:val="24"/>
          <w:szCs w:val="24"/>
          <w:lang w:val="zh-CN" w:eastAsia="zh-CN"/>
        </w:rPr>
        <w:t>乙方责任：</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（1）在合同生效并接到甲方书面进场通知后，按双方商定的时间进场监测，按经审批的监测方案和国家现行规范标准规定开展监测工作，并接受甲方、监理等相关单位的监督检查，确保监测工作的顺利开展。</w:t>
      </w:r>
    </w:p>
    <w:p>
      <w:pPr>
        <w:spacing w:line="360" w:lineRule="auto"/>
        <w:ind w:firstLine="477" w:firstLineChars="199"/>
        <w:outlineLvl w:val="0"/>
        <w:rPr>
          <w:rFonts w:hint="default"/>
          <w:b w:val="0"/>
          <w:bCs w:val="0"/>
          <w:sz w:val="24"/>
          <w:szCs w:val="24"/>
          <w:lang w:val="en-US" w:eastAsia="zh-CN"/>
        </w:rPr>
      </w:pPr>
      <w:r>
        <w:rPr>
          <w:rFonts w:hint="eastAsia"/>
          <w:b w:val="0"/>
          <w:bCs w:val="0"/>
          <w:sz w:val="24"/>
          <w:szCs w:val="24"/>
          <w:lang w:val="zh-CN" w:eastAsia="zh-CN"/>
        </w:rPr>
        <w:t>（2）乙方应按规范安全地进行检测、</w:t>
      </w:r>
      <w:r>
        <w:rPr>
          <w:rFonts w:hint="eastAsia"/>
          <w:b w:val="0"/>
          <w:bCs w:val="0"/>
          <w:sz w:val="24"/>
          <w:szCs w:val="24"/>
          <w:lang w:val="en-US" w:eastAsia="zh-CN"/>
        </w:rPr>
        <w:t>监测工作</w:t>
      </w:r>
      <w:r>
        <w:rPr>
          <w:rFonts w:hint="eastAsia"/>
          <w:b w:val="0"/>
          <w:bCs w:val="0"/>
          <w:sz w:val="24"/>
          <w:szCs w:val="24"/>
          <w:lang w:val="zh-CN" w:eastAsia="zh-CN"/>
        </w:rPr>
        <w:t>，由于自身安全措施不到位或管理不力等造成的安全事故责任和由此发生的一切费用，由乙方承担。自行负责所有</w:t>
      </w:r>
      <w:r>
        <w:rPr>
          <w:rFonts w:hint="eastAsia"/>
          <w:b w:val="0"/>
          <w:bCs w:val="0"/>
          <w:sz w:val="24"/>
          <w:szCs w:val="24"/>
          <w:lang w:val="en-US" w:eastAsia="zh-CN"/>
        </w:rPr>
        <w:t>检测、</w:t>
      </w:r>
      <w:r>
        <w:rPr>
          <w:rFonts w:hint="eastAsia"/>
          <w:b w:val="0"/>
          <w:bCs w:val="0"/>
          <w:sz w:val="24"/>
          <w:szCs w:val="24"/>
          <w:lang w:val="zh-CN" w:eastAsia="zh-CN"/>
        </w:rPr>
        <w:t>监测仪器及监测元件安装及场内中转、进退场。保证器具在计量检定有效周期内。</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（3）对所提交的</w:t>
      </w:r>
      <w:r>
        <w:rPr>
          <w:rFonts w:hint="eastAsia"/>
          <w:b w:val="0"/>
          <w:bCs w:val="0"/>
          <w:sz w:val="24"/>
          <w:szCs w:val="24"/>
          <w:lang w:val="en-US" w:eastAsia="zh-CN"/>
        </w:rPr>
        <w:t>检测报告、</w:t>
      </w:r>
      <w:r>
        <w:rPr>
          <w:rFonts w:hint="eastAsia"/>
          <w:b w:val="0"/>
          <w:bCs w:val="0"/>
          <w:sz w:val="24"/>
          <w:szCs w:val="24"/>
          <w:lang w:val="zh-CN" w:eastAsia="zh-CN"/>
        </w:rPr>
        <w:t>监测简报、监测总结报告及有关技术数据的真实性、可靠性负责，并负责解答甲方及相关单位的疑问。</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（4）</w:t>
      </w:r>
      <w:r>
        <w:rPr>
          <w:rFonts w:hint="eastAsia"/>
          <w:b w:val="0"/>
          <w:bCs w:val="0"/>
          <w:sz w:val="24"/>
          <w:szCs w:val="24"/>
          <w:lang w:val="en-US" w:eastAsia="zh-CN"/>
        </w:rPr>
        <w:t>工作</w:t>
      </w:r>
      <w:r>
        <w:rPr>
          <w:rFonts w:hint="eastAsia"/>
          <w:b w:val="0"/>
          <w:bCs w:val="0"/>
          <w:sz w:val="24"/>
          <w:szCs w:val="24"/>
          <w:lang w:val="zh-CN" w:eastAsia="zh-CN"/>
        </w:rPr>
        <w:t>过程中如发现异常情况，应及时向甲方或甲方委托的监理单位汇报。</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（5）</w:t>
      </w:r>
      <w:r>
        <w:rPr>
          <w:rFonts w:hint="eastAsia" w:ascii="宋体" w:hAnsi="宋体"/>
          <w:sz w:val="24"/>
        </w:rPr>
        <w:t>完成现场检测后</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rFonts w:hint="eastAsia" w:ascii="宋体" w:hAnsi="宋体"/>
          <w:sz w:val="24"/>
        </w:rPr>
        <w:t>天内提供正式检测结果报告</w:t>
      </w:r>
      <w:r>
        <w:rPr>
          <w:rFonts w:hint="eastAsia"/>
          <w:b w:val="0"/>
          <w:bCs w:val="0"/>
          <w:sz w:val="24"/>
          <w:szCs w:val="24"/>
          <w:lang w:val="zh-CN" w:eastAsia="zh-CN"/>
        </w:rPr>
        <w:t>一式六份</w:t>
      </w:r>
      <w:r>
        <w:rPr>
          <w:rFonts w:hint="eastAsia" w:ascii="宋体" w:hAnsi="宋体"/>
          <w:sz w:val="24"/>
          <w:lang w:eastAsia="zh-CN"/>
        </w:rPr>
        <w:t>；</w:t>
      </w:r>
      <w:r>
        <w:rPr>
          <w:rFonts w:hint="eastAsia"/>
          <w:b w:val="0"/>
          <w:bCs w:val="0"/>
          <w:sz w:val="24"/>
          <w:szCs w:val="24"/>
          <w:lang w:val="zh-CN" w:eastAsia="zh-CN"/>
        </w:rPr>
        <w:t>每次监测后，乙方应及时向甲方报送当次的监测情况报告（48小时内提交监测报表电子档）；每周提供监测周报一式四份。如监测结果出现异常，应立即向甲方反映。全部监测工作结束15个工作日内，向甲方提供监测总结报告一式六份。</w:t>
      </w:r>
    </w:p>
    <w:p>
      <w:pPr>
        <w:spacing w:line="360" w:lineRule="auto"/>
        <w:ind w:firstLine="599" w:firstLineChars="199"/>
        <w:outlineLvl w:val="0"/>
        <w:rPr>
          <w:rFonts w:hint="default"/>
          <w:b/>
          <w:bCs/>
          <w:sz w:val="30"/>
          <w:szCs w:val="30"/>
          <w:lang w:val="en-US" w:eastAsia="zh-CN"/>
        </w:rPr>
      </w:pPr>
      <w:r>
        <w:rPr>
          <w:rFonts w:hint="eastAsia"/>
          <w:b/>
          <w:bCs/>
          <w:sz w:val="30"/>
          <w:szCs w:val="30"/>
          <w:lang w:val="zh-CN" w:eastAsia="zh-CN"/>
        </w:rPr>
        <w:t>第五条  违约</w:t>
      </w:r>
      <w:r>
        <w:rPr>
          <w:rFonts w:hint="eastAsia"/>
          <w:b/>
          <w:bCs/>
          <w:sz w:val="30"/>
          <w:szCs w:val="30"/>
          <w:lang w:val="en-US" w:eastAsia="zh-CN"/>
        </w:rPr>
        <w:t>责任</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1、双方签订合同后，甲乙双方中的任一方因自身原因要求解除合同，应向对方支付合同总价的30%作为违约金；乙方已进场的，甲方应根据乙方实际完成工作量据实结算。</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2、若提交的</w:t>
      </w:r>
      <w:r>
        <w:rPr>
          <w:rFonts w:hint="eastAsia"/>
          <w:b w:val="0"/>
          <w:bCs w:val="0"/>
          <w:sz w:val="24"/>
          <w:szCs w:val="24"/>
          <w:lang w:val="en-US" w:eastAsia="zh-CN"/>
        </w:rPr>
        <w:t>成果</w:t>
      </w:r>
      <w:r>
        <w:rPr>
          <w:rFonts w:hint="eastAsia"/>
          <w:b w:val="0"/>
          <w:bCs w:val="0"/>
          <w:sz w:val="24"/>
          <w:szCs w:val="24"/>
          <w:lang w:val="zh-CN" w:eastAsia="zh-CN"/>
        </w:rPr>
        <w:t>报告不合要求，乙方应及时采取有效措施，积极、主动地弥补过失，在合同规定时间内保证报告书能够达到要求。如乙方的监测结果存在明显的偏差或错误或遗漏，造成甲方损失的且经第三方权威机构认定，乙方应</w:t>
      </w:r>
      <w:r>
        <w:rPr>
          <w:rFonts w:hint="eastAsia"/>
          <w:b w:val="0"/>
          <w:bCs w:val="0"/>
          <w:sz w:val="24"/>
          <w:szCs w:val="24"/>
          <w:lang w:val="en-US" w:eastAsia="zh-CN"/>
        </w:rPr>
        <w:t>照价</w:t>
      </w:r>
      <w:r>
        <w:rPr>
          <w:rFonts w:hint="eastAsia"/>
          <w:b w:val="0"/>
          <w:bCs w:val="0"/>
          <w:sz w:val="24"/>
          <w:szCs w:val="24"/>
          <w:lang w:val="zh-CN" w:eastAsia="zh-CN"/>
        </w:rPr>
        <w:t>赔偿甲方相关损失。</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en-US" w:eastAsia="zh-CN"/>
        </w:rPr>
        <w:t>3</w:t>
      </w:r>
      <w:r>
        <w:rPr>
          <w:rFonts w:hint="eastAsia"/>
          <w:b w:val="0"/>
          <w:bCs w:val="0"/>
          <w:sz w:val="24"/>
          <w:szCs w:val="24"/>
          <w:lang w:val="zh-CN" w:eastAsia="zh-CN"/>
        </w:rPr>
        <w:t>、甲方如违反第四条</w:t>
      </w:r>
      <w:r>
        <w:rPr>
          <w:rFonts w:hint="eastAsia"/>
          <w:b w:val="0"/>
          <w:bCs w:val="0"/>
          <w:sz w:val="24"/>
          <w:szCs w:val="24"/>
          <w:lang w:val="en-US" w:eastAsia="zh-CN"/>
        </w:rPr>
        <w:t>第一点</w:t>
      </w:r>
      <w:r>
        <w:rPr>
          <w:rFonts w:hint="eastAsia"/>
          <w:b w:val="0"/>
          <w:bCs w:val="0"/>
          <w:sz w:val="24"/>
          <w:szCs w:val="24"/>
          <w:lang w:val="zh-CN" w:eastAsia="zh-CN"/>
        </w:rPr>
        <w:t>（10）款约定而造成乙方损失的，乙方有权向甲方追究侵权责任。</w:t>
      </w:r>
    </w:p>
    <w:p>
      <w:pPr>
        <w:spacing w:line="360" w:lineRule="auto"/>
        <w:ind w:firstLine="599" w:firstLineChars="199"/>
        <w:outlineLvl w:val="0"/>
        <w:rPr>
          <w:rFonts w:hint="eastAsia"/>
          <w:b/>
          <w:bCs/>
          <w:sz w:val="30"/>
          <w:szCs w:val="30"/>
          <w:lang w:val="zh-CN" w:eastAsia="zh-CN"/>
        </w:rPr>
      </w:pPr>
      <w:r>
        <w:rPr>
          <w:rFonts w:hint="eastAsia"/>
          <w:b/>
          <w:bCs/>
          <w:sz w:val="30"/>
          <w:szCs w:val="30"/>
          <w:lang w:val="zh-CN" w:eastAsia="zh-CN"/>
        </w:rPr>
        <w:t>第六条  争议解决方式</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本合同未明晰处均以《中华人民共和国合同法》为根本依据，合同履行中若发生争议，双方应友好协商解决，协商不成时，甲乙双方可向合同履行地仲裁委员会</w:t>
      </w:r>
      <w:r>
        <w:rPr>
          <w:rFonts w:hint="eastAsia"/>
          <w:b w:val="0"/>
          <w:bCs w:val="0"/>
          <w:sz w:val="24"/>
          <w:szCs w:val="24"/>
          <w:lang w:val="en-US" w:eastAsia="zh-CN"/>
        </w:rPr>
        <w:t>提出仲裁</w:t>
      </w:r>
      <w:r>
        <w:rPr>
          <w:rFonts w:hint="eastAsia"/>
          <w:b w:val="0"/>
          <w:bCs w:val="0"/>
          <w:sz w:val="24"/>
          <w:szCs w:val="24"/>
          <w:lang w:val="zh-CN" w:eastAsia="zh-CN"/>
        </w:rPr>
        <w:t>。</w:t>
      </w:r>
    </w:p>
    <w:p>
      <w:pPr>
        <w:spacing w:line="360" w:lineRule="auto"/>
        <w:ind w:firstLine="599" w:firstLineChars="199"/>
        <w:outlineLvl w:val="0"/>
        <w:rPr>
          <w:rFonts w:hint="eastAsia"/>
          <w:b/>
          <w:bCs/>
          <w:sz w:val="30"/>
          <w:szCs w:val="30"/>
          <w:lang w:val="zh-CN" w:eastAsia="zh-CN"/>
        </w:rPr>
      </w:pPr>
      <w:r>
        <w:rPr>
          <w:rFonts w:hint="eastAsia"/>
          <w:b/>
          <w:bCs/>
          <w:sz w:val="30"/>
          <w:szCs w:val="30"/>
          <w:lang w:val="zh-CN" w:eastAsia="zh-CN"/>
        </w:rPr>
        <w:t>第七条  其它</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本合同经各方签字盖章生效，双方履行完合同规定的义务后，本合同即行终止。</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本合同履行期间，甲方逾期90天未支付工程费用或项目停建的，乙方书面通知甲方后，可免责退场，甲方按乙方实际工作量结算后，本合同即终止。</w:t>
      </w:r>
    </w:p>
    <w:p>
      <w:pPr>
        <w:spacing w:line="360" w:lineRule="auto"/>
        <w:ind w:firstLine="477" w:firstLineChars="199"/>
        <w:outlineLvl w:val="0"/>
        <w:rPr>
          <w:rFonts w:hint="default"/>
          <w:b w:val="0"/>
          <w:bCs w:val="0"/>
          <w:sz w:val="24"/>
          <w:szCs w:val="24"/>
          <w:lang w:val="en-US" w:eastAsia="zh-CN"/>
        </w:rPr>
      </w:pPr>
      <w:r>
        <w:rPr>
          <w:rFonts w:hint="eastAsia"/>
          <w:b w:val="0"/>
          <w:bCs w:val="0"/>
          <w:sz w:val="24"/>
          <w:szCs w:val="24"/>
          <w:lang w:val="zh-CN" w:eastAsia="zh-CN"/>
        </w:rPr>
        <w:t>本合同</w:t>
      </w:r>
      <w:r>
        <w:rPr>
          <w:rFonts w:hint="eastAsia"/>
          <w:b w:val="0"/>
          <w:bCs w:val="0"/>
          <w:sz w:val="24"/>
          <w:szCs w:val="24"/>
          <w:lang w:val="en-US" w:eastAsia="zh-CN"/>
        </w:rPr>
        <w:t>一式陆份，甲方执伍份，乙方执壹份，均具有同等法律效力。</w:t>
      </w:r>
    </w:p>
    <w:p>
      <w:pPr>
        <w:spacing w:line="360" w:lineRule="auto"/>
        <w:ind w:firstLine="477" w:firstLineChars="199"/>
        <w:outlineLvl w:val="0"/>
        <w:rPr>
          <w:rFonts w:hint="eastAsia"/>
          <w:b w:val="0"/>
          <w:bCs w:val="0"/>
          <w:sz w:val="24"/>
          <w:szCs w:val="24"/>
          <w:lang w:val="zh-CN" w:eastAsia="zh-CN"/>
        </w:rPr>
      </w:pPr>
    </w:p>
    <w:tbl>
      <w:tblPr>
        <w:tblStyle w:val="7"/>
        <w:tblW w:w="0" w:type="auto"/>
        <w:tblInd w:w="0" w:type="dxa"/>
        <w:tblLayout w:type="autofit"/>
        <w:tblCellMar>
          <w:top w:w="0" w:type="dxa"/>
          <w:left w:w="108" w:type="dxa"/>
          <w:bottom w:w="0" w:type="dxa"/>
          <w:right w:w="108" w:type="dxa"/>
        </w:tblCellMar>
      </w:tblPr>
      <w:tblGrid>
        <w:gridCol w:w="4788"/>
        <w:gridCol w:w="4788"/>
      </w:tblGrid>
      <w:tr>
        <w:tblPrEx>
          <w:tblCellMar>
            <w:top w:w="0" w:type="dxa"/>
            <w:left w:w="108" w:type="dxa"/>
            <w:bottom w:w="0" w:type="dxa"/>
            <w:right w:w="108" w:type="dxa"/>
          </w:tblCellMar>
        </w:tblPrEx>
        <w:trPr>
          <w:trHeight w:val="874" w:hRule="atLeast"/>
        </w:trPr>
        <w:tc>
          <w:tcPr>
            <w:tcW w:w="4788" w:type="dxa"/>
            <w:noWrap w:val="0"/>
            <w:vAlign w:val="top"/>
          </w:tcPr>
          <w:p>
            <w:pPr>
              <w:spacing w:line="360" w:lineRule="auto"/>
              <w:ind w:left="720" w:hanging="723" w:hangingChars="300"/>
              <w:outlineLvl w:val="0"/>
              <w:rPr>
                <w:rFonts w:hint="eastAsia"/>
                <w:b/>
                <w:bCs/>
                <w:sz w:val="24"/>
                <w:szCs w:val="24"/>
                <w:u w:val="single"/>
                <w:lang w:val="zh-CN" w:eastAsia="zh-CN"/>
              </w:rPr>
            </w:pPr>
            <w:r>
              <w:rPr>
                <w:rFonts w:hint="eastAsia"/>
                <w:b/>
                <w:bCs/>
                <w:sz w:val="24"/>
                <w:szCs w:val="24"/>
                <w:u w:val="none"/>
                <w:lang w:val="zh-CN" w:eastAsia="zh-CN"/>
              </w:rPr>
              <w:t>甲方：</w:t>
            </w:r>
            <w:r>
              <w:rPr>
                <w:rFonts w:hint="eastAsia"/>
                <w:b/>
                <w:bCs/>
                <w:sz w:val="24"/>
                <w:szCs w:val="24"/>
                <w:u w:val="single"/>
                <w:lang w:val="zh-CN" w:eastAsia="zh-CN"/>
              </w:rPr>
              <w:t>广州市番禺区化龙镇人民政府</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 xml:space="preserve">             （盖章）</w:t>
            </w:r>
          </w:p>
        </w:tc>
        <w:tc>
          <w:tcPr>
            <w:tcW w:w="4788" w:type="dxa"/>
            <w:noWrap w:val="0"/>
            <w:vAlign w:val="top"/>
          </w:tcPr>
          <w:p>
            <w:pPr>
              <w:spacing w:line="360" w:lineRule="auto"/>
              <w:outlineLvl w:val="0"/>
              <w:rPr>
                <w:rFonts w:hint="default"/>
                <w:b w:val="0"/>
                <w:bCs w:val="0"/>
                <w:sz w:val="24"/>
                <w:szCs w:val="24"/>
                <w:lang w:val="en-US" w:eastAsia="zh-CN"/>
              </w:rPr>
            </w:pPr>
            <w:r>
              <w:rPr>
                <w:rFonts w:hint="eastAsia"/>
                <w:b/>
                <w:bCs/>
                <w:sz w:val="24"/>
                <w:szCs w:val="24"/>
                <w:u w:val="none"/>
                <w:lang w:val="zh-CN" w:eastAsia="zh-CN"/>
              </w:rPr>
              <w:t>乙方：</w:t>
            </w:r>
            <w:r>
              <w:rPr>
                <w:rFonts w:hint="eastAsia"/>
                <w:b/>
                <w:bCs/>
                <w:sz w:val="24"/>
                <w:szCs w:val="24"/>
                <w:u w:val="single"/>
                <w:lang w:val="en-US" w:eastAsia="zh-CN"/>
              </w:rPr>
              <w:t xml:space="preserve">           </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（盖章）</w:t>
            </w:r>
          </w:p>
        </w:tc>
      </w:tr>
      <w:tr>
        <w:tblPrEx>
          <w:tblCellMar>
            <w:top w:w="0" w:type="dxa"/>
            <w:left w:w="108" w:type="dxa"/>
            <w:bottom w:w="0" w:type="dxa"/>
            <w:right w:w="108" w:type="dxa"/>
          </w:tblCellMar>
        </w:tblPrEx>
        <w:trPr>
          <w:trHeight w:val="1214" w:hRule="atLeast"/>
        </w:trPr>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法定代表人</w:t>
            </w:r>
          </w:p>
          <w:p>
            <w:pPr>
              <w:spacing w:line="360" w:lineRule="auto"/>
              <w:outlineLvl w:val="0"/>
              <w:rPr>
                <w:rFonts w:hint="eastAsia"/>
                <w:b w:val="0"/>
                <w:bCs w:val="0"/>
                <w:sz w:val="24"/>
                <w:szCs w:val="24"/>
                <w:lang w:val="zh-CN" w:eastAsia="zh-CN"/>
              </w:rPr>
            </w:pPr>
            <w:r>
              <w:rPr>
                <w:rFonts w:hint="eastAsia"/>
                <w:b w:val="0"/>
                <w:bCs w:val="0"/>
                <w:sz w:val="24"/>
                <w:szCs w:val="24"/>
                <w:lang w:val="zh-CN" w:eastAsia="zh-CN"/>
              </w:rPr>
              <w:t>或授权代表（签名）：</w:t>
            </w: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法定代表人</w:t>
            </w:r>
          </w:p>
          <w:p>
            <w:pPr>
              <w:spacing w:line="360" w:lineRule="auto"/>
              <w:outlineLvl w:val="0"/>
              <w:rPr>
                <w:rFonts w:hint="eastAsia"/>
                <w:b w:val="0"/>
                <w:bCs w:val="0"/>
                <w:sz w:val="24"/>
                <w:szCs w:val="24"/>
                <w:lang w:val="zh-CN" w:eastAsia="zh-CN"/>
              </w:rPr>
            </w:pPr>
            <w:r>
              <w:rPr>
                <w:rFonts w:hint="eastAsia"/>
                <w:b w:val="0"/>
                <w:bCs w:val="0"/>
                <w:sz w:val="24"/>
                <w:szCs w:val="24"/>
                <w:lang w:val="zh-CN" w:eastAsia="zh-CN"/>
              </w:rPr>
              <w:t>或授权代表（签名）：</w:t>
            </w:r>
          </w:p>
        </w:tc>
      </w:tr>
      <w:tr>
        <w:tblPrEx>
          <w:tblCellMar>
            <w:top w:w="0" w:type="dxa"/>
            <w:left w:w="108" w:type="dxa"/>
            <w:bottom w:w="0" w:type="dxa"/>
            <w:right w:w="108" w:type="dxa"/>
          </w:tblCellMar>
        </w:tblPrEx>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en-US" w:eastAsia="zh-CN"/>
              </w:rPr>
              <w:t>经办</w:t>
            </w:r>
            <w:r>
              <w:rPr>
                <w:rFonts w:hint="eastAsia"/>
                <w:b w:val="0"/>
                <w:bCs w:val="0"/>
                <w:sz w:val="24"/>
                <w:szCs w:val="24"/>
                <w:lang w:val="zh-CN" w:eastAsia="zh-CN"/>
              </w:rPr>
              <w:t>人：</w:t>
            </w: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联系人：</w:t>
            </w:r>
          </w:p>
        </w:tc>
      </w:tr>
      <w:tr>
        <w:tblPrEx>
          <w:tblCellMar>
            <w:top w:w="0" w:type="dxa"/>
            <w:left w:w="108" w:type="dxa"/>
            <w:bottom w:w="0" w:type="dxa"/>
            <w:right w:w="108" w:type="dxa"/>
          </w:tblCellMar>
        </w:tblPrEx>
        <w:tc>
          <w:tcPr>
            <w:tcW w:w="4788" w:type="dxa"/>
            <w:noWrap w:val="0"/>
            <w:vAlign w:val="top"/>
          </w:tcPr>
          <w:p>
            <w:pPr>
              <w:spacing w:line="360" w:lineRule="auto"/>
              <w:outlineLvl w:val="0"/>
              <w:rPr>
                <w:rFonts w:hint="eastAsia"/>
                <w:b w:val="0"/>
                <w:bCs w:val="0"/>
                <w:sz w:val="24"/>
                <w:szCs w:val="24"/>
                <w:lang w:val="zh-CN" w:eastAsia="zh-CN"/>
              </w:rPr>
            </w:pP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 xml:space="preserve">单位地址： </w:t>
            </w:r>
          </w:p>
        </w:tc>
      </w:tr>
      <w:tr>
        <w:tblPrEx>
          <w:tblCellMar>
            <w:top w:w="0" w:type="dxa"/>
            <w:left w:w="108" w:type="dxa"/>
            <w:bottom w:w="0" w:type="dxa"/>
            <w:right w:w="108" w:type="dxa"/>
          </w:tblCellMar>
        </w:tblPrEx>
        <w:tc>
          <w:tcPr>
            <w:tcW w:w="4788" w:type="dxa"/>
            <w:noWrap w:val="0"/>
            <w:vAlign w:val="top"/>
          </w:tcPr>
          <w:p>
            <w:pPr>
              <w:spacing w:line="360" w:lineRule="auto"/>
              <w:outlineLvl w:val="0"/>
              <w:rPr>
                <w:rFonts w:hint="eastAsia"/>
                <w:b w:val="0"/>
                <w:bCs w:val="0"/>
                <w:sz w:val="24"/>
                <w:szCs w:val="24"/>
                <w:lang w:val="zh-CN" w:eastAsia="zh-CN"/>
              </w:rPr>
            </w:pP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邮政编码：</w:t>
            </w:r>
          </w:p>
        </w:tc>
      </w:tr>
      <w:tr>
        <w:tblPrEx>
          <w:tblCellMar>
            <w:top w:w="0" w:type="dxa"/>
            <w:left w:w="108" w:type="dxa"/>
            <w:bottom w:w="0" w:type="dxa"/>
            <w:right w:w="108" w:type="dxa"/>
          </w:tblCellMar>
        </w:tblPrEx>
        <w:tc>
          <w:tcPr>
            <w:tcW w:w="4788" w:type="dxa"/>
            <w:noWrap w:val="0"/>
            <w:vAlign w:val="top"/>
          </w:tcPr>
          <w:p>
            <w:pPr>
              <w:spacing w:line="360" w:lineRule="auto"/>
              <w:ind w:firstLine="477" w:firstLineChars="199"/>
              <w:outlineLvl w:val="0"/>
              <w:rPr>
                <w:rFonts w:hint="eastAsia"/>
                <w:b w:val="0"/>
                <w:bCs w:val="0"/>
                <w:sz w:val="24"/>
                <w:szCs w:val="24"/>
                <w:lang w:val="zh-CN" w:eastAsia="zh-CN"/>
              </w:rPr>
            </w:pP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开户银行：</w:t>
            </w:r>
          </w:p>
        </w:tc>
      </w:tr>
      <w:tr>
        <w:tblPrEx>
          <w:tblCellMar>
            <w:top w:w="0" w:type="dxa"/>
            <w:left w:w="108" w:type="dxa"/>
            <w:bottom w:w="0" w:type="dxa"/>
            <w:right w:w="108" w:type="dxa"/>
          </w:tblCellMar>
        </w:tblPrEx>
        <w:tc>
          <w:tcPr>
            <w:tcW w:w="4788" w:type="dxa"/>
            <w:noWrap w:val="0"/>
            <w:vAlign w:val="top"/>
          </w:tcPr>
          <w:p>
            <w:pPr>
              <w:spacing w:line="360" w:lineRule="auto"/>
              <w:ind w:firstLine="477" w:firstLineChars="199"/>
              <w:outlineLvl w:val="0"/>
              <w:rPr>
                <w:rFonts w:hint="eastAsia"/>
                <w:b w:val="0"/>
                <w:bCs w:val="0"/>
                <w:sz w:val="24"/>
                <w:szCs w:val="24"/>
                <w:lang w:val="zh-CN" w:eastAsia="zh-CN"/>
              </w:rPr>
            </w:pP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银行账号：</w:t>
            </w:r>
          </w:p>
        </w:tc>
      </w:tr>
      <w:tr>
        <w:tblPrEx>
          <w:tblCellMar>
            <w:top w:w="0" w:type="dxa"/>
            <w:left w:w="108" w:type="dxa"/>
            <w:bottom w:w="0" w:type="dxa"/>
            <w:right w:w="108" w:type="dxa"/>
          </w:tblCellMar>
        </w:tblPrEx>
        <w:trPr>
          <w:trHeight w:val="1115" w:hRule="atLeast"/>
        </w:trPr>
        <w:tc>
          <w:tcPr>
            <w:tcW w:w="9576" w:type="dxa"/>
            <w:gridSpan w:val="2"/>
            <w:noWrap w:val="0"/>
            <w:vAlign w:val="center"/>
          </w:tcPr>
          <w:p>
            <w:pPr>
              <w:spacing w:line="360" w:lineRule="auto"/>
              <w:jc w:val="center"/>
              <w:outlineLvl w:val="0"/>
              <w:rPr>
                <w:rFonts w:hint="eastAsia"/>
                <w:b w:val="0"/>
                <w:bCs w:val="0"/>
                <w:sz w:val="24"/>
                <w:szCs w:val="24"/>
                <w:lang w:val="zh-CN" w:eastAsia="zh-CN"/>
              </w:rPr>
            </w:pPr>
            <w:r>
              <w:rPr>
                <w:rFonts w:hint="eastAsia"/>
                <w:b w:val="0"/>
                <w:bCs w:val="0"/>
                <w:sz w:val="24"/>
                <w:szCs w:val="24"/>
                <w:lang w:val="en-US" w:eastAsia="zh-CN"/>
              </w:rPr>
              <w:t>合同签订</w:t>
            </w:r>
            <w:r>
              <w:rPr>
                <w:rFonts w:hint="eastAsia"/>
                <w:b w:val="0"/>
                <w:bCs w:val="0"/>
                <w:sz w:val="24"/>
                <w:szCs w:val="24"/>
                <w:lang w:val="zh-CN" w:eastAsia="zh-CN"/>
              </w:rPr>
              <w:t>日期：   年   月   日</w:t>
            </w:r>
          </w:p>
        </w:tc>
      </w:tr>
    </w:tbl>
    <w:p>
      <w:pPr>
        <w:spacing w:line="360" w:lineRule="auto"/>
        <w:ind w:firstLine="477" w:firstLineChars="199"/>
        <w:outlineLvl w:val="0"/>
        <w:rPr>
          <w:rFonts w:hint="eastAsia"/>
          <w:b w:val="0"/>
          <w:bCs w:val="0"/>
          <w:sz w:val="24"/>
          <w:szCs w:val="24"/>
          <w:lang w:val="zh-CN" w:eastAsia="zh-CN"/>
        </w:rPr>
      </w:pPr>
    </w:p>
    <w:p>
      <w:pPr>
        <w:spacing w:line="360" w:lineRule="auto"/>
        <w:ind w:firstLine="479" w:firstLineChars="199"/>
        <w:outlineLvl w:val="0"/>
        <w:rPr>
          <w:rFonts w:hint="eastAsia"/>
          <w:b/>
          <w:bCs/>
          <w:sz w:val="24"/>
          <w:szCs w:val="24"/>
          <w:lang w:val="zh-CN" w:eastAsia="zh-CN"/>
        </w:rPr>
      </w:pPr>
    </w:p>
    <w:p>
      <w:pPr>
        <w:autoSpaceDE w:val="0"/>
        <w:autoSpaceDN w:val="0"/>
        <w:adjustRightInd w:val="0"/>
        <w:spacing w:line="360" w:lineRule="auto"/>
        <w:ind w:firstLine="490" w:firstLineChars="196"/>
        <w:jc w:val="left"/>
        <w:rPr>
          <w:rFonts w:hint="eastAsia" w:ascii="宋体" w:hAnsi="Times New Roman" w:eastAsia="宋体" w:cs="Times New Roman"/>
          <w:b w:val="0"/>
          <w:bCs/>
          <w:kern w:val="2"/>
          <w:sz w:val="25"/>
          <w:szCs w:val="25"/>
          <w:lang w:val="zh-CN" w:eastAsia="zh-CN" w:bidi="ar-SA"/>
        </w:rPr>
      </w:pPr>
    </w:p>
    <w:p>
      <w:pPr>
        <w:autoSpaceDE w:val="0"/>
        <w:autoSpaceDN w:val="0"/>
        <w:adjustRightInd w:val="0"/>
        <w:spacing w:line="360" w:lineRule="auto"/>
        <w:ind w:firstLine="492" w:firstLineChars="196"/>
        <w:jc w:val="left"/>
        <w:rPr>
          <w:rFonts w:hint="eastAsia" w:ascii="宋体" w:hAnsi="Times New Roman" w:eastAsia="宋体" w:cs="Times New Roman"/>
          <w:b/>
          <w:kern w:val="2"/>
          <w:sz w:val="25"/>
          <w:szCs w:val="25"/>
          <w:lang w:val="zh-CN" w:eastAsia="zh-CN" w:bidi="ar-SA"/>
        </w:rPr>
      </w:pPr>
    </w:p>
    <w:p>
      <w:pPr>
        <w:autoSpaceDE w:val="0"/>
        <w:autoSpaceDN w:val="0"/>
        <w:adjustRightInd w:val="0"/>
        <w:spacing w:line="360" w:lineRule="auto"/>
        <w:ind w:firstLine="548" w:firstLineChars="196"/>
        <w:jc w:val="left"/>
        <w:rPr>
          <w:rFonts w:hint="eastAsia"/>
          <w:sz w:val="28"/>
          <w:szCs w:val="28"/>
        </w:rPr>
      </w:pPr>
    </w:p>
    <w:p>
      <w:pPr>
        <w:jc w:val="center"/>
        <w:rPr>
          <w:rFonts w:hint="eastAsia"/>
          <w:sz w:val="28"/>
          <w:szCs w:val="28"/>
        </w:rPr>
      </w:pPr>
    </w:p>
    <w:sectPr>
      <w:footerReference r:id="rId3" w:type="default"/>
      <w:pgSz w:w="11906" w:h="16838"/>
      <w:pgMar w:top="1157"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04AF5"/>
    <w:multiLevelType w:val="singleLevel"/>
    <w:tmpl w:val="A3C04AF5"/>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MWZhNTY1MGQxNWJmYjNkYWM4NzVjZmFmYTQ0ZmIifQ=="/>
  </w:docVars>
  <w:rsids>
    <w:rsidRoot w:val="00000000"/>
    <w:rsid w:val="0D081473"/>
    <w:rsid w:val="1A1678A4"/>
    <w:rsid w:val="1CAF7FAF"/>
    <w:rsid w:val="251039D2"/>
    <w:rsid w:val="373A460F"/>
    <w:rsid w:val="3F705DCA"/>
    <w:rsid w:val="447266A0"/>
    <w:rsid w:val="4CB33237"/>
    <w:rsid w:val="4DFB7EBA"/>
    <w:rsid w:val="4ED37E48"/>
    <w:rsid w:val="51534A07"/>
    <w:rsid w:val="57637142"/>
    <w:rsid w:val="6FD170CE"/>
    <w:rsid w:val="7395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20" w:lineRule="exact"/>
      <w:ind w:firstLine="540"/>
    </w:pPr>
    <w:rPr>
      <w:sz w:val="25"/>
    </w:rPr>
  </w:style>
  <w:style w:type="paragraph" w:styleId="3">
    <w:name w:val="Plain Text"/>
    <w:basedOn w:val="1"/>
    <w:qFormat/>
    <w:uiPriority w:val="0"/>
    <w:pPr>
      <w:widowControl w:val="0"/>
      <w:jc w:val="both"/>
    </w:pPr>
    <w:rPr>
      <w:rFonts w:ascii="宋体" w:eastAsia="宋体"/>
      <w:kern w:val="2"/>
      <w:sz w:val="21"/>
      <w:lang w:val="en-US" w:eastAsia="zh-CN"/>
    </w:rPr>
  </w:style>
  <w:style w:type="paragraph" w:styleId="4">
    <w:name w:val="Body Text Indent 2"/>
    <w:basedOn w:val="1"/>
    <w:qFormat/>
    <w:uiPriority w:val="0"/>
    <w:pPr>
      <w:spacing w:line="300" w:lineRule="auto"/>
      <w:ind w:firstLine="420" w:firstLineChars="200"/>
    </w:pPr>
    <w:rPr>
      <w:rFonts w:ascii="宋体"/>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2021-08-15T08:37:00Z</dcterms:created>
  <dc:creator>Lenovo</dc:creator>
  <cp:lastModifiedBy>﹎.小傷口</cp:lastModifiedBy>
  <cp:lastPrinted>2021-10-18T08:09:00Z</cp:lastPrinted>
  <dcterms:modified xsi:type="dcterms:W3CDTF">2023-03-17T07:14:05Z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F62BF8D262BB40CC8DF576733B0D02B4</vt:lpwstr>
  </property>
</Properties>
</file>