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rPr>
          <w:rFonts w:hint="default"/>
          <w:highlight w:val="none"/>
          <w:lang w:val="en-US" w:eastAsia="zh-CN"/>
        </w:rPr>
      </w:pPr>
      <w:bookmarkStart w:id="0" w:name="_Toc22841"/>
      <w:r>
        <w:rPr>
          <w:rFonts w:hint="eastAsia"/>
          <w:highlight w:val="none"/>
          <w:lang w:eastAsia="zh-CN"/>
        </w:rPr>
        <w:t>附件</w:t>
      </w:r>
      <w:bookmarkEnd w:id="0"/>
      <w:r>
        <w:rPr>
          <w:rFonts w:hint="eastAsia"/>
          <w:highlight w:val="none"/>
          <w:lang w:val="en-US" w:eastAsia="zh-CN"/>
        </w:rPr>
        <w:t>3</w:t>
      </w:r>
    </w:p>
    <w:p>
      <w:pPr>
        <w:pStyle w:val="3"/>
        <w:bidi w:val="0"/>
        <w:rPr>
          <w:rFonts w:hint="eastAsia"/>
          <w:highlight w:val="none"/>
          <w:lang w:val="en-US" w:eastAsia="zh-CN"/>
        </w:rPr>
      </w:pPr>
    </w:p>
    <w:p>
      <w:pPr>
        <w:pStyle w:val="3"/>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广州番禺经济技术开发区管理委员会2021年部门整体支出</w:t>
      </w:r>
    </w:p>
    <w:p>
      <w:pPr>
        <w:pStyle w:val="3"/>
        <w:bidi w:val="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绩效自评报告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color w:val="000000"/>
          <w:sz w:val="32"/>
          <w:highlight w:val="none"/>
          <w:lang w:eastAsia="zh-CN"/>
        </w:rPr>
      </w:pPr>
      <w:bookmarkStart w:id="1" w:name="_Toc19696"/>
      <w:bookmarkStart w:id="2" w:name="_Toc14634"/>
      <w:bookmarkStart w:id="3" w:name="_Toc14504"/>
      <w:bookmarkStart w:id="4" w:name="_Toc17037"/>
      <w:r>
        <w:rPr>
          <w:rFonts w:hint="eastAsia"/>
          <w:color w:val="000000"/>
          <w:sz w:val="32"/>
          <w:highlight w:val="none"/>
          <w:lang w:eastAsia="zh-CN"/>
        </w:rPr>
        <w:t>一、基本情况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rPr>
        <w:t>（一）</w:t>
      </w:r>
      <w:r>
        <w:rPr>
          <w:rFonts w:hint="eastAsia" w:ascii="楷体_GB2312" w:hAnsi="楷体_GB2312" w:eastAsia="楷体_GB2312" w:cs="楷体_GB2312"/>
          <w:b/>
          <w:bCs/>
          <w:color w:val="000000"/>
          <w:kern w:val="44"/>
          <w:sz w:val="32"/>
          <w:highlight w:val="none"/>
          <w:lang w:eastAsia="zh-CN"/>
        </w:rPr>
        <w:t>部门概况</w:t>
      </w:r>
    </w:p>
    <w:p>
      <w:pPr>
        <w:pStyle w:val="2"/>
        <w:ind w:left="0" w:leftChars="0" w:firstLine="640" w:firstLineChars="200"/>
        <w:rPr>
          <w:rFonts w:hint="default"/>
          <w:lang w:val="en-US" w:eastAsia="zh-CN"/>
        </w:rPr>
      </w:pPr>
      <w:r>
        <w:rPr>
          <w:rFonts w:hint="eastAsia"/>
          <w:lang w:val="en-US" w:eastAsia="zh-CN"/>
        </w:rPr>
        <w:t>广州番禺经济技术开发区管理委员会设2个内设机构</w:t>
      </w:r>
      <w:bookmarkStart w:id="17" w:name="_GoBack"/>
      <w:bookmarkEnd w:id="17"/>
      <w:r>
        <w:rPr>
          <w:rFonts w:hint="eastAsia"/>
          <w:lang w:val="en-US" w:eastAsia="zh-CN"/>
        </w:rPr>
        <w:t>。</w:t>
      </w:r>
    </w:p>
    <w:p>
      <w:pPr>
        <w:pStyle w:val="2"/>
        <w:ind w:left="0" w:leftChars="0" w:firstLine="640" w:firstLineChars="200"/>
        <w:rPr>
          <w:rFonts w:hint="eastAsia"/>
          <w:lang w:val="en-US" w:eastAsia="zh-CN"/>
        </w:rPr>
      </w:pPr>
      <w:r>
        <w:rPr>
          <w:rFonts w:hint="eastAsia"/>
          <w:lang w:val="en-US" w:eastAsia="zh-CN"/>
        </w:rPr>
        <w:t>（一）综合科</w:t>
      </w:r>
    </w:p>
    <w:p>
      <w:pPr>
        <w:pStyle w:val="2"/>
        <w:ind w:left="0" w:leftChars="0" w:firstLine="640" w:firstLineChars="200"/>
        <w:rPr>
          <w:rFonts w:hint="eastAsia"/>
          <w:lang w:val="en-US" w:eastAsia="zh-CN"/>
        </w:rPr>
      </w:pPr>
      <w:r>
        <w:rPr>
          <w:rFonts w:hint="eastAsia"/>
          <w:lang w:val="en-US" w:eastAsia="zh-CN"/>
        </w:rPr>
        <w:t>负责机关党务、政务及日常事务的管理；负责拟订内部管理规章制度；负责文电、会务、机要、组织人事、财务、档案、督办等机关日常工作；承担信息、安全、保密、信访、政务公开等工作；负责重要活动的策划、筹备、组织和对外联络、咨询工作；负责重要文件的起草；负责协调有关部门和属地政府在汽车城的行政管理事务、社会管理事务和公共服务工作；承担管委会交办的其他事项。</w:t>
      </w:r>
    </w:p>
    <w:p>
      <w:pPr>
        <w:pStyle w:val="2"/>
        <w:ind w:left="0" w:leftChars="0" w:firstLine="640" w:firstLineChars="200"/>
        <w:rPr>
          <w:rFonts w:hint="eastAsia"/>
          <w:lang w:val="en-US" w:eastAsia="zh-CN"/>
        </w:rPr>
      </w:pPr>
      <w:r>
        <w:rPr>
          <w:rFonts w:hint="eastAsia"/>
          <w:lang w:val="en-US" w:eastAsia="zh-CN"/>
        </w:rPr>
        <w:t>（二）规划建设和招商科</w:t>
      </w:r>
    </w:p>
    <w:p>
      <w:pPr>
        <w:pStyle w:val="2"/>
        <w:ind w:left="0" w:leftChars="0" w:firstLine="640" w:firstLineChars="200"/>
        <w:rPr>
          <w:rFonts w:hint="eastAsia"/>
          <w:lang w:val="en-US" w:eastAsia="zh-CN"/>
        </w:rPr>
      </w:pPr>
      <w:r>
        <w:rPr>
          <w:rFonts w:hint="eastAsia"/>
          <w:lang w:val="en-US" w:eastAsia="zh-CN"/>
        </w:rPr>
        <w:t>负责拟订汽车城总体规划、详细规划发展纲要以及汽车城发展的长期、中期规划和年度工作计划；负责拟定汽车城的土地开发计划，协调有关职能部门办理用地储备、用地出让、征地拆迁、补偿安置、留用地开发等工作；组织实施汽车城的招商选资工作，拟订相应措施鼓励吸引汽车相关企业入驻汽车城，对入驻汽车城企业提供指导和服务；对汽车城开发建设工作进行组织、协调、督促和检查；承担管委会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lang w:eastAsia="zh-CN"/>
        </w:rPr>
        <w:t>年度总体工作和重点工作任务</w:t>
      </w:r>
    </w:p>
    <w:p>
      <w:pPr>
        <w:pStyle w:val="2"/>
        <w:numPr>
          <w:ilvl w:val="0"/>
          <w:numId w:val="0"/>
        </w:numPr>
        <w:ind w:firstLine="640" w:firstLineChars="200"/>
        <w:rPr>
          <w:rFonts w:hint="eastAsia"/>
        </w:rPr>
      </w:pPr>
      <w:r>
        <w:rPr>
          <w:rFonts w:hint="eastAsia"/>
          <w:lang w:val="en-US" w:eastAsia="zh-CN"/>
        </w:rPr>
        <w:t>1.</w:t>
      </w:r>
      <w:r>
        <w:rPr>
          <w:rFonts w:hint="eastAsia"/>
        </w:rPr>
        <w:t>扩区提级工作情况</w:t>
      </w:r>
    </w:p>
    <w:p>
      <w:pPr>
        <w:pStyle w:val="2"/>
        <w:numPr>
          <w:ilvl w:val="0"/>
          <w:numId w:val="0"/>
        </w:numPr>
        <w:rPr>
          <w:rFonts w:hint="eastAsia"/>
        </w:rPr>
      </w:pPr>
      <w:r>
        <w:rPr>
          <w:rFonts w:hint="eastAsia"/>
        </w:rPr>
        <w:t>一是完成番禺经开区扩区提级可行性研究和规划编制项目招标工作，确定第三方专业机构，并签订服务合同，第三方专业机构已启动编制工作；二是番禺经开区管委会到广州市商务局、琶洲管委会、增城经开区、花都汽车城、广州开发区交流学习扩区提级路径及经验，明确扩区提级思路；三是研究番禺经开区拟扩区域方案。</w:t>
      </w:r>
    </w:p>
    <w:p>
      <w:pPr>
        <w:rPr>
          <w:rFonts w:hint="eastAsia"/>
        </w:rPr>
      </w:pPr>
      <w:r>
        <w:rPr>
          <w:rFonts w:hint="eastAsia"/>
          <w:lang w:val="en-US" w:eastAsia="zh-CN"/>
        </w:rPr>
        <w:t>2.</w:t>
      </w:r>
      <w:r>
        <w:rPr>
          <w:rFonts w:hint="eastAsia"/>
        </w:rPr>
        <w:t>汽车产业与招商情况</w:t>
      </w:r>
    </w:p>
    <w:p>
      <w:pPr>
        <w:rPr>
          <w:rFonts w:hint="eastAsia"/>
        </w:rPr>
      </w:pPr>
      <w:r>
        <w:rPr>
          <w:rFonts w:hint="eastAsia"/>
        </w:rPr>
        <w:t>产业链招商方面，经开区正在对接洽谈的项目有广汽荻原等33个，其中13家已签订意向投资框架协议，并参加2022年广州国际投资年会番禺分会场签约仪式。除广汽自主电池和电驱项目外，已签约项目用地总需求550亩，投资总额近50亿元，预计年产值达108亿元，预计年税收近5亿元。广汽自主电池和电驱项目预计近期签订扶持协议，争取年内开工。苏州智华、武汉嘉晨、广州型腔和河北沃美诺等4项目正在对项目用地申请进行研究。</w:t>
      </w:r>
    </w:p>
    <w:p>
      <w:pPr>
        <w:pStyle w:val="2"/>
        <w:ind w:left="0" w:leftChars="0" w:firstLine="640" w:firstLineChars="200"/>
        <w:rPr>
          <w:rFonts w:hint="eastAsia"/>
        </w:rPr>
      </w:pPr>
      <w:r>
        <w:rPr>
          <w:rFonts w:hint="eastAsia"/>
          <w:lang w:val="en-US" w:eastAsia="zh-CN"/>
        </w:rPr>
        <w:t>3.</w:t>
      </w:r>
      <w:r>
        <w:rPr>
          <w:rFonts w:hint="eastAsia"/>
        </w:rPr>
        <w:t>重点项目推进情况</w:t>
      </w:r>
    </w:p>
    <w:p>
      <w:pPr>
        <w:pStyle w:val="2"/>
        <w:ind w:left="0" w:leftChars="0" w:firstLine="0" w:firstLineChars="0"/>
        <w:rPr>
          <w:rFonts w:hint="eastAsia"/>
        </w:rPr>
      </w:pPr>
      <w:r>
        <w:rPr>
          <w:rFonts w:hint="eastAsia"/>
        </w:rPr>
        <w:t>时代广汽动力电池、汽车小镇、祺盛动力总成、尼得科、东焊、广汽埃安第二工厂、广汽零部件产业园等重点项目进展顺利，1-8月完成投资额28.7亿元，年度完成投资率达到93%。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rPr>
        <w:t>（三）部门</w:t>
      </w:r>
      <w:r>
        <w:rPr>
          <w:rFonts w:hint="eastAsia" w:ascii="楷体_GB2312" w:hAnsi="楷体_GB2312" w:eastAsia="楷体_GB2312" w:cs="楷体_GB2312"/>
          <w:b/>
          <w:bCs/>
          <w:color w:val="000000"/>
          <w:kern w:val="44"/>
          <w:sz w:val="32"/>
          <w:highlight w:val="none"/>
          <w:lang w:eastAsia="zh-CN"/>
        </w:rPr>
        <w:t>整体收支情况</w:t>
      </w:r>
    </w:p>
    <w:p>
      <w:pPr>
        <w:pStyle w:val="2"/>
        <w:ind w:left="0" w:leftChars="0" w:firstLine="0" w:firstLineChars="0"/>
        <w:rPr>
          <w:rFonts w:hint="default"/>
          <w:lang w:val="en-US" w:eastAsia="zh-CN"/>
        </w:rPr>
      </w:pPr>
      <w:r>
        <w:rPr>
          <w:rFonts w:hint="eastAsia" w:cs="Times New Roman"/>
          <w:color w:val="000000"/>
          <w:sz w:val="32"/>
          <w:szCs w:val="32"/>
          <w:highlight w:val="none"/>
          <w:lang w:val="en-US" w:eastAsia="zh-CN"/>
        </w:rPr>
        <w:t xml:space="preserve">    广州番禺经济技术开发区管理委员会部门整体支出目标一是按计划申报广东省省级高新技术产业开发区、省级特色产业园，提高番禺经济技术开发区发展水平，吸引产业、人才、资金等资源聚集；二是按计划支付办公场所租赁费、物业管理费、水电费，保障行政机关能够正常运转。2021财政拨款预算数491.29万元，执行数447.73万元，预算执行率91.13%。</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r>
        <w:rPr>
          <w:rFonts w:hint="eastAsia" w:ascii="楷体_GB2312" w:hAnsi="楷体_GB2312" w:eastAsia="楷体_GB2312" w:cs="楷体_GB2312"/>
          <w:b/>
          <w:bCs/>
          <w:color w:val="000000"/>
          <w:sz w:val="32"/>
          <w:szCs w:val="32"/>
          <w:highlight w:val="none"/>
          <w:lang w:val="en-US" w:eastAsia="zh-CN"/>
        </w:rPr>
        <w:t>部门整体绩效管理情况</w:t>
      </w:r>
    </w:p>
    <w:p>
      <w:pPr>
        <w:pStyle w:val="2"/>
        <w:numPr>
          <w:ilvl w:val="0"/>
          <w:numId w:val="0"/>
        </w:numPr>
        <w:rPr>
          <w:rFonts w:hint="default"/>
          <w:lang w:val="en-US" w:eastAsia="zh-CN"/>
        </w:rPr>
      </w:pPr>
      <w:r>
        <w:rPr>
          <w:rFonts w:hint="eastAsia"/>
          <w:lang w:val="en-US" w:eastAsia="zh-CN"/>
        </w:rPr>
        <w:t xml:space="preserve">    </w:t>
      </w:r>
      <w:r>
        <w:rPr>
          <w:rFonts w:hint="eastAsia" w:cs="Times New Roman"/>
          <w:color w:val="000000"/>
          <w:sz w:val="32"/>
          <w:szCs w:val="32"/>
          <w:highlight w:val="none"/>
          <w:lang w:val="en-US" w:eastAsia="zh-CN"/>
        </w:rPr>
        <w:t>广州番禺经济技术开发区管理委员会部门整体支出目标一是按计划申报广东省省级高新技术产业开发区、省级特色产业园，提高番禺经济技术开发区发展水平，吸引产业、人才、资金等资源聚集；二是按计划支付办公场所租赁费、物业管理费、水电费，保障行政机关能够正常运转。绩效运行监控等绩效管理制度执行完好。</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w:hAnsi="Times New Roman" w:eastAsia="仿宋_GB2312" w:cs="Times New Roman"/>
          <w:color w:val="000000"/>
          <w:sz w:val="32"/>
          <w:szCs w:val="32"/>
          <w:highlight w:val="none"/>
          <w:lang w:val="en-US" w:eastAsia="zh-CN"/>
        </w:rPr>
      </w:pPr>
      <w:bookmarkStart w:id="5" w:name="_Toc13358"/>
      <w:bookmarkStart w:id="6" w:name="_Toc6706"/>
      <w:bookmarkStart w:id="7" w:name="_Toc2560"/>
      <w:bookmarkStart w:id="8" w:name="_Toc5238"/>
      <w:r>
        <w:rPr>
          <w:rFonts w:hint="eastAsia"/>
          <w:color w:val="000000"/>
          <w:sz w:val="32"/>
          <w:highlight w:val="none"/>
          <w:lang w:eastAsia="zh-CN"/>
        </w:rPr>
        <w:t>二</w:t>
      </w:r>
      <w:r>
        <w:rPr>
          <w:rFonts w:hint="eastAsia"/>
          <w:color w:val="000000"/>
          <w:sz w:val="32"/>
          <w:highlight w:val="none"/>
        </w:rPr>
        <w:t>、</w:t>
      </w:r>
      <w:r>
        <w:rPr>
          <w:rFonts w:hint="eastAsia"/>
          <w:color w:val="000000"/>
          <w:sz w:val="32"/>
          <w:highlight w:val="none"/>
          <w:lang w:eastAsia="zh-CN"/>
        </w:rPr>
        <w:t>综合评价分析</w:t>
      </w:r>
      <w:bookmarkEnd w:id="5"/>
      <w:bookmarkEnd w:id="6"/>
      <w:bookmarkEnd w:id="7"/>
      <w:bookmarkEnd w:id="8"/>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bookmarkStart w:id="9" w:name="_Toc7453"/>
      <w:bookmarkStart w:id="10" w:name="_Toc1487"/>
      <w:bookmarkStart w:id="11" w:name="_Toc8786"/>
      <w:bookmarkStart w:id="12" w:name="_Toc26520"/>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一</w:t>
      </w:r>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自评结论综述</w:t>
      </w:r>
      <w:bookmarkEnd w:id="9"/>
      <w:bookmarkEnd w:id="10"/>
      <w:bookmarkEnd w:id="11"/>
      <w:bookmarkEnd w:id="12"/>
    </w:p>
    <w:p>
      <w:pPr>
        <w:rPr>
          <w:rFonts w:hint="default"/>
          <w:lang w:val="en-US"/>
        </w:rPr>
      </w:pPr>
      <w:r>
        <w:rPr>
          <w:rFonts w:hint="eastAsia" w:cs="Times New Roman"/>
          <w:bCs w:val="0"/>
          <w:color w:val="000000"/>
          <w:kern w:val="2"/>
          <w:sz w:val="32"/>
          <w:szCs w:val="32"/>
          <w:highlight w:val="none"/>
          <w:lang w:val="en-US" w:eastAsia="zh-CN" w:bidi="ar-SA"/>
        </w:rPr>
        <w:t>部门整体支出绩效自评总分95分，达到“优”等级；管理效能得到45分，履职效能达到50分。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二</w:t>
      </w:r>
      <w:r>
        <w:rPr>
          <w:rFonts w:hint="eastAsia" w:ascii="楷体_GB2312" w:hAnsi="楷体_GB2312" w:eastAsia="楷体_GB2312" w:cs="楷体_GB2312"/>
          <w:b/>
          <w:bCs/>
          <w:color w:val="000000"/>
          <w:kern w:val="44"/>
          <w:sz w:val="32"/>
          <w:highlight w:val="none"/>
        </w:rPr>
        <w:t>）各项</w:t>
      </w:r>
      <w:r>
        <w:rPr>
          <w:rFonts w:hint="eastAsia" w:ascii="楷体_GB2312" w:hAnsi="楷体_GB2312" w:eastAsia="楷体_GB2312" w:cs="楷体_GB2312"/>
          <w:b/>
          <w:bCs/>
          <w:color w:val="000000"/>
          <w:kern w:val="44"/>
          <w:sz w:val="32"/>
          <w:highlight w:val="none"/>
          <w:lang w:eastAsia="zh-CN"/>
        </w:rPr>
        <w:t>工作任务</w:t>
      </w:r>
      <w:r>
        <w:rPr>
          <w:rFonts w:hint="eastAsia" w:ascii="楷体_GB2312" w:hAnsi="楷体_GB2312" w:eastAsia="楷体_GB2312" w:cs="楷体_GB2312"/>
          <w:b/>
          <w:bCs/>
          <w:color w:val="000000"/>
          <w:kern w:val="44"/>
          <w:sz w:val="32"/>
          <w:highlight w:val="none"/>
        </w:rPr>
        <w:t>绩效目标完成情况分析</w:t>
      </w:r>
    </w:p>
    <w:p>
      <w:pPr>
        <w:pStyle w:val="2"/>
        <w:ind w:left="0" w:leftChars="0" w:firstLine="0" w:firstLineChars="0"/>
        <w:rPr>
          <w:rFonts w:hint="default" w:eastAsia="仿宋_GB2312"/>
          <w:lang w:val="en-US" w:eastAsia="zh-CN"/>
        </w:rPr>
      </w:pPr>
      <w:r>
        <w:rPr>
          <w:rFonts w:hint="eastAsia"/>
          <w:lang w:val="en-US" w:eastAsia="zh-CN"/>
        </w:rPr>
        <w:t xml:space="preserve">    各项工作任务绩效目标均能达标，完成情况比较理想。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各</w:t>
      </w:r>
      <w:r>
        <w:rPr>
          <w:rFonts w:hint="eastAsia" w:ascii="楷体_GB2312" w:hAnsi="楷体_GB2312" w:eastAsia="楷体_GB2312" w:cs="楷体_GB2312"/>
          <w:b/>
          <w:bCs/>
          <w:color w:val="000000"/>
          <w:kern w:val="44"/>
          <w:sz w:val="32"/>
          <w:highlight w:val="none"/>
          <w:lang w:eastAsia="zh-CN"/>
        </w:rPr>
        <w:t>重点任务</w:t>
      </w:r>
      <w:r>
        <w:rPr>
          <w:rFonts w:hint="eastAsia" w:ascii="楷体_GB2312" w:hAnsi="楷体_GB2312" w:eastAsia="楷体_GB2312" w:cs="楷体_GB2312"/>
          <w:b/>
          <w:bCs/>
          <w:color w:val="000000"/>
          <w:kern w:val="44"/>
          <w:sz w:val="32"/>
          <w:highlight w:val="none"/>
        </w:rPr>
        <w:t>项目支出完成情况分析</w:t>
      </w:r>
    </w:p>
    <w:p>
      <w:pPr>
        <w:pStyle w:val="2"/>
        <w:numPr>
          <w:ilvl w:val="0"/>
          <w:numId w:val="0"/>
        </w:numPr>
        <w:ind w:firstLine="640" w:firstLineChars="200"/>
        <w:rPr>
          <w:rFonts w:hint="default" w:eastAsia="仿宋_GB2312"/>
          <w:lang w:val="en-US" w:eastAsia="zh-CN"/>
        </w:rPr>
      </w:pPr>
      <w:r>
        <w:rPr>
          <w:rFonts w:hint="eastAsia"/>
          <w:lang w:val="en-US" w:eastAsia="zh-CN"/>
        </w:rPr>
        <w:t>申报省级高新技术产业开发区、省级特色产业园项目预算数16万元，执行数16万元，执行率达到100%。</w:t>
      </w:r>
    </w:p>
    <w:p>
      <w:pPr>
        <w:numPr>
          <w:ilvl w:val="0"/>
          <w:numId w:val="1"/>
        </w:numPr>
        <w:ind w:left="0" w:leftChars="0" w:firstLine="723" w:firstLineChars="225"/>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主要工作成效</w:t>
      </w:r>
    </w:p>
    <w:p>
      <w:pPr>
        <w:pStyle w:val="2"/>
        <w:numPr>
          <w:ilvl w:val="0"/>
          <w:numId w:val="0"/>
        </w:numPr>
        <w:ind w:firstLine="640" w:firstLineChars="200"/>
        <w:rPr>
          <w:rFonts w:hint="eastAsia"/>
        </w:rPr>
      </w:pPr>
      <w:r>
        <w:rPr>
          <w:rFonts w:hint="eastAsia" w:cs="Times New Roman"/>
          <w:color w:val="000000"/>
          <w:sz w:val="32"/>
          <w:szCs w:val="32"/>
          <w:highlight w:val="none"/>
          <w:lang w:val="en-US" w:eastAsia="zh-CN"/>
        </w:rPr>
        <w:t>提高番禺经济技术开发区发展水平，吸引产业、人才、资金等资源聚集</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bookmarkStart w:id="13" w:name="_Toc21266"/>
      <w:bookmarkStart w:id="14" w:name="_Toc10735"/>
      <w:bookmarkStart w:id="15" w:name="_Toc696"/>
      <w:bookmarkStart w:id="16" w:name="_Toc26210"/>
      <w:r>
        <w:rPr>
          <w:rFonts w:hint="eastAsia"/>
          <w:color w:val="000000"/>
          <w:sz w:val="32"/>
          <w:highlight w:val="none"/>
          <w:lang w:eastAsia="zh-CN"/>
        </w:rPr>
        <w:t>三</w:t>
      </w:r>
      <w:r>
        <w:rPr>
          <w:rFonts w:hint="eastAsia"/>
          <w:color w:val="000000"/>
          <w:sz w:val="32"/>
          <w:highlight w:val="none"/>
        </w:rPr>
        <w:t>、</w:t>
      </w:r>
      <w:r>
        <w:rPr>
          <w:rFonts w:hint="eastAsia" w:ascii="黑体" w:hAnsi="黑体" w:eastAsia="黑体" w:cs="Times New Roman"/>
          <w:bCs/>
          <w:color w:val="000000"/>
          <w:kern w:val="44"/>
          <w:sz w:val="32"/>
          <w:szCs w:val="44"/>
          <w:highlight w:val="none"/>
          <w:lang w:val="en-US" w:eastAsia="zh-CN" w:bidi="ar-SA"/>
        </w:rPr>
        <w:t>存在的主要问题</w:t>
      </w:r>
      <w:bookmarkEnd w:id="13"/>
      <w:bookmarkEnd w:id="14"/>
      <w:bookmarkEnd w:id="15"/>
      <w:bookmarkEnd w:id="16"/>
    </w:p>
    <w:p>
      <w:pPr>
        <w:rPr>
          <w:rFonts w:hint="default" w:eastAsia="仿宋_GB2312"/>
          <w:lang w:val="en-US" w:eastAsia="zh-CN"/>
        </w:rPr>
      </w:pPr>
      <w:r>
        <w:rPr>
          <w:rFonts w:hint="eastAsia"/>
          <w:lang w:val="en-US" w:eastAsia="zh-CN"/>
        </w:rPr>
        <w:t>预算项目绩效目标设置还不够完善，未能全面完整的分析项目未能按时支出的问题。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黑体" w:hAnsi="黑体" w:eastAsia="黑体" w:cs="黑体"/>
          <w:color w:val="000000"/>
          <w:sz w:val="32"/>
          <w:highlight w:val="none"/>
          <w:lang w:eastAsia="zh-CN"/>
        </w:rPr>
        <w:t>四</w:t>
      </w:r>
      <w:r>
        <w:rPr>
          <w:rFonts w:hint="eastAsia" w:ascii="黑体" w:hAnsi="黑体" w:eastAsia="黑体" w:cs="黑体"/>
          <w:color w:val="000000"/>
          <w:sz w:val="32"/>
          <w:highlight w:val="none"/>
        </w:rPr>
        <w:t>、</w:t>
      </w:r>
      <w:r>
        <w:rPr>
          <w:rFonts w:hint="eastAsia" w:ascii="黑体" w:hAnsi="黑体" w:eastAsia="黑体" w:cs="黑体"/>
          <w:color w:val="000000"/>
          <w:sz w:val="32"/>
          <w:highlight w:val="none"/>
          <w:lang w:eastAsia="zh-CN"/>
        </w:rPr>
        <w:t>下一步</w:t>
      </w:r>
      <w:r>
        <w:rPr>
          <w:rFonts w:hint="eastAsia" w:ascii="黑体" w:hAnsi="黑体" w:eastAsia="黑体" w:cs="黑体"/>
          <w:color w:val="000000"/>
          <w:sz w:val="32"/>
          <w:highlight w:val="none"/>
        </w:rPr>
        <w:t>改进</w:t>
      </w:r>
      <w:r>
        <w:rPr>
          <w:rFonts w:hint="eastAsia" w:ascii="黑体" w:hAnsi="黑体" w:eastAsia="黑体" w:cs="黑体"/>
          <w:color w:val="000000"/>
          <w:sz w:val="32"/>
          <w:highlight w:val="none"/>
          <w:lang w:eastAsia="zh-CN"/>
        </w:rPr>
        <w:t>措施</w:t>
      </w:r>
    </w:p>
    <w:p>
      <w:pPr>
        <w:pStyle w:val="2"/>
        <w:ind w:left="0" w:leftChars="0" w:firstLine="640" w:firstLineChars="200"/>
        <w:rPr>
          <w:rFonts w:hint="default"/>
          <w:lang w:val="en-US" w:eastAsia="zh-CN"/>
        </w:rPr>
      </w:pPr>
      <w:r>
        <w:rPr>
          <w:rFonts w:hint="eastAsia"/>
          <w:lang w:val="en-US" w:eastAsia="zh-CN"/>
        </w:rPr>
        <w:t>下一步推进预算管理工作，细化预算管理职能，健全预算管理制度。</w:t>
      </w:r>
    </w:p>
    <w:p>
      <w:pPr>
        <w:pStyle w:val="2"/>
        <w:rPr>
          <w:rFonts w:hint="default"/>
          <w:highlight w:val="none"/>
          <w:lang w:val="en-US" w:eastAsia="zh-CN"/>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F175A"/>
    <w:multiLevelType w:val="singleLevel"/>
    <w:tmpl w:val="DC4F175A"/>
    <w:lvl w:ilvl="0" w:tentative="0">
      <w:start w:val="4"/>
      <w:numFmt w:val="chineseCounting"/>
      <w:suff w:val="nothing"/>
      <w:lvlText w:val="（%1）"/>
      <w:lvlJc w:val="left"/>
      <w:rPr>
        <w:rFonts w:hint="eastAsia"/>
      </w:rPr>
    </w:lvl>
  </w:abstractNum>
  <w:abstractNum w:abstractNumId="1">
    <w:nsid w:val="50A8088B"/>
    <w:multiLevelType w:val="singleLevel"/>
    <w:tmpl w:val="50A8088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comments"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4.160.8/newoa/missive/kinggridOfficeServer.do?method=officeProcess"/>
  </w:docVars>
  <w:rsids>
    <w:rsidRoot w:val="2B984800"/>
    <w:rsid w:val="02544737"/>
    <w:rsid w:val="092F491A"/>
    <w:rsid w:val="0D171B07"/>
    <w:rsid w:val="15455599"/>
    <w:rsid w:val="1FE114A0"/>
    <w:rsid w:val="286D1121"/>
    <w:rsid w:val="2B984800"/>
    <w:rsid w:val="2E510CFA"/>
    <w:rsid w:val="32AA191B"/>
    <w:rsid w:val="38125513"/>
    <w:rsid w:val="3F6E7A6B"/>
    <w:rsid w:val="4BBE6DBA"/>
    <w:rsid w:val="5C346840"/>
    <w:rsid w:val="5D4B79B1"/>
    <w:rsid w:val="690579AC"/>
    <w:rsid w:val="70FC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ind w:left="0"/>
      <w:outlineLvl w:val="0"/>
    </w:pPr>
    <w:rPr>
      <w:rFonts w:ascii="Times New Roman" w:hAnsi="Times New Roman" w:eastAsia="黑体" w:cs="Microsoft JhengHei"/>
      <w:bCs/>
      <w:szCs w:val="32"/>
      <w:lang w:val="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Subtitle"/>
    <w:basedOn w:val="1"/>
    <w:next w:val="1"/>
    <w:qFormat/>
    <w:uiPriority w:val="0"/>
    <w:pPr>
      <w:ind w:firstLine="200" w:firstLineChars="200"/>
      <w:jc w:val="left"/>
      <w:outlineLvl w:val="2"/>
    </w:pPr>
    <w:rPr>
      <w:rFonts w:ascii="Cambria" w:hAnsi="Cambria" w:eastAsia="黑体"/>
      <w:bCs/>
      <w:kern w:val="28"/>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2022-02-14T07:50:00Z</dcterms:created>
  <dc:creator>凌海涛</dc:creator>
  <cp:lastModifiedBy>张俊阳</cp:lastModifiedBy>
  <dcterms:modified xsi:type="dcterms:W3CDTF">2023-03-30T01:49:00Z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9C8083174DFF45AA95A240C3649DF29A</vt:lpwstr>
  </property>
</Properties>
</file>