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6"/>
          <w:szCs w:val="36"/>
        </w:rPr>
        <w:t>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投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意向承诺函和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报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价表</w:t>
      </w:r>
    </w:p>
    <w:p>
      <w:pPr>
        <w:spacing w:line="360" w:lineRule="auto"/>
        <w:ind w:firstLine="716" w:firstLineChars="22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广州市番禺区新造镇纪律检查委员会、广州市番禺区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新造镇房地产开发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</w:p>
    <w:p>
      <w:pPr>
        <w:pStyle w:val="7"/>
        <w:adjustRightInd w:val="0"/>
        <w:ind w:right="-1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一、本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已详细了解了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出租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方发布的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公有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物业公开招租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出租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公告及有关附件，并无异议。</w:t>
      </w:r>
    </w:p>
    <w:p>
      <w:pPr>
        <w:pStyle w:val="7"/>
        <w:adjustRightInd w:val="0"/>
        <w:ind w:right="-1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二、本公司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意向在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出租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公告规定的有效期内有效，并受此约束。如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单位需延长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有效期的，本公司或本人同意延长。如在有效期内撤回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意向或放弃获得资格不与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出租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出租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合同的，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单位有权要求本公司对所造成的损失进行赔偿。</w:t>
      </w:r>
    </w:p>
    <w:p>
      <w:pPr>
        <w:pStyle w:val="7"/>
        <w:adjustRightInd w:val="0"/>
        <w:ind w:right="-1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本公司将承诺按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出租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公告中规定的时间缴纳保证金。</w:t>
      </w:r>
    </w:p>
    <w:p>
      <w:pPr>
        <w:pStyle w:val="7"/>
        <w:adjustRightInd w:val="0"/>
        <w:ind w:right="-1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四、就参加本项目交易工作，作出以下郑重承诺：</w:t>
      </w:r>
    </w:p>
    <w:p>
      <w:pPr>
        <w:pStyle w:val="7"/>
        <w:adjustRightInd w:val="0"/>
        <w:ind w:right="-1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1.本公司报名信息及提供的材料都是真实有效的。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2.本公司没有处于被责令停业或财产被接管、冻结、破产的状态；没有处于被行政主管部门取消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资格的处罚期内；没有行政主管部门已书面认定的问题；在报名截止时间前两年, 本公司在广州市人民检察院行贿犯罪档案中没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有犯罪记录。</w:t>
      </w:r>
    </w:p>
    <w:p>
      <w:pPr>
        <w:pStyle w:val="7"/>
        <w:adjustRightInd w:val="0"/>
        <w:ind w:right="-1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3.本公司获得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资格后将按照规定时间5个工作日内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与出租方签订《租赁合同》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缴纳合同押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金。</w:t>
      </w:r>
    </w:p>
    <w:p>
      <w:pPr>
        <w:pStyle w:val="7"/>
        <w:adjustRightInd w:val="0"/>
        <w:ind w:right="-1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4.本公司获得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承租资格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后不无故放弃所有资格。</w:t>
      </w:r>
    </w:p>
    <w:p>
      <w:pPr>
        <w:pStyle w:val="7"/>
        <w:adjustRightInd w:val="0"/>
        <w:ind w:right="-1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5.本公司认真研究了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该物业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的有关规则，充分考虑了因其他竞投意向人自主竞价的结果产生，并接受此次自主竞价结果。</w:t>
      </w:r>
    </w:p>
    <w:p>
      <w:pPr>
        <w:pStyle w:val="7"/>
        <w:adjustRightInd w:val="0"/>
        <w:ind w:right="-1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如经查实本公司违反上述承诺的情况，本公司愿意接受公开通报并承担由此带来的法律后果，并同意接受处理。</w:t>
      </w:r>
    </w:p>
    <w:p>
      <w:pPr>
        <w:pStyle w:val="7"/>
        <w:adjustRightInd w:val="0"/>
        <w:ind w:right="-1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adjustRightInd w:val="0"/>
        <w:ind w:right="-1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</w:p>
    <w:p>
      <w:pPr>
        <w:pStyle w:val="8"/>
        <w:ind w:firstLine="3587" w:firstLineChars="1121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</w:p>
    <w:p>
      <w:pPr>
        <w:pStyle w:val="8"/>
        <w:ind w:firstLine="224" w:firstLineChars="62"/>
        <w:jc w:val="center"/>
        <w:rPr>
          <w:rFonts w:hint="eastAsia" w:ascii="仿宋_GB2312" w:hAnsi="仿宋_GB2312" w:eastAsia="仿宋_GB2312" w:cs="仿宋_GB2312"/>
          <w:b/>
          <w:bCs/>
          <w:snapToGrid/>
          <w:spacing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sz w:val="36"/>
          <w:szCs w:val="36"/>
          <w:lang w:eastAsia="zh-CN"/>
        </w:rPr>
        <w:t>投标报价表</w:t>
      </w:r>
    </w:p>
    <w:p>
      <w:pPr>
        <w:pStyle w:val="8"/>
        <w:ind w:firstLine="224" w:firstLineChars="62"/>
        <w:jc w:val="center"/>
        <w:rPr>
          <w:rFonts w:hint="eastAsia" w:ascii="仿宋_GB2312" w:hAnsi="仿宋_GB2312" w:eastAsia="仿宋_GB2312" w:cs="仿宋_GB2312"/>
          <w:b/>
          <w:bCs/>
          <w:snapToGrid/>
          <w:spacing w:val="0"/>
          <w:sz w:val="36"/>
          <w:szCs w:val="36"/>
          <w:lang w:eastAsia="zh-CN"/>
        </w:rPr>
      </w:pPr>
    </w:p>
    <w:p>
      <w:pPr>
        <w:pStyle w:val="8"/>
        <w:ind w:firstLine="198" w:firstLineChars="62"/>
        <w:jc w:val="center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>地址：新造镇兴华路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  <w:t>59号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 xml:space="preserve">             单位：人民币(元)</w:t>
      </w:r>
    </w:p>
    <w:tbl>
      <w:tblPr>
        <w:tblStyle w:val="6"/>
        <w:tblW w:w="8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6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58" w:hRule="atLeast"/>
        </w:trPr>
        <w:tc>
          <w:tcPr>
            <w:tcW w:w="209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6213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建（构）筑物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租金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底价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每月每平方米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9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价</w:t>
            </w:r>
          </w:p>
        </w:tc>
        <w:tc>
          <w:tcPr>
            <w:tcW w:w="6213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22.50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09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竞投报价（元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/平方米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</w:tc>
        <w:tc>
          <w:tcPr>
            <w:tcW w:w="6213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8"/>
        <w:ind w:firstLine="5920" w:firstLineChars="1850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</w:rPr>
      </w:pPr>
    </w:p>
    <w:p>
      <w:pPr>
        <w:pStyle w:val="8"/>
        <w:ind w:firstLine="3200" w:firstLineChars="1000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 xml:space="preserve">    （签字和盖章）</w:t>
      </w:r>
    </w:p>
    <w:p>
      <w:pPr>
        <w:pStyle w:val="8"/>
        <w:ind w:firstLine="4800" w:firstLineChars="1500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</w:p>
    <w:p>
      <w:pPr>
        <w:ind w:firstLine="5920" w:firstLineChars="185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Cambria"/>
    <w:panose1 w:val="02040603050505030304"/>
    <w:charset w:val="00"/>
    <w:family w:val="roman"/>
    <w:pitch w:val="default"/>
    <w:sig w:usb0="00000000" w:usb1="00000000" w:usb2="00000000" w:usb3="00000000" w:csb0="0000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30782"/>
    <w:rsid w:val="01247BEB"/>
    <w:rsid w:val="067D7B71"/>
    <w:rsid w:val="0DE774C4"/>
    <w:rsid w:val="0F130782"/>
    <w:rsid w:val="1852139D"/>
    <w:rsid w:val="263A51F5"/>
    <w:rsid w:val="2C261B57"/>
    <w:rsid w:val="309424AD"/>
    <w:rsid w:val="3A5C18FC"/>
    <w:rsid w:val="3CDC1EF7"/>
    <w:rsid w:val="48525AA4"/>
    <w:rsid w:val="4C8C668F"/>
    <w:rsid w:val="4DF36EE6"/>
    <w:rsid w:val="4E8B2121"/>
    <w:rsid w:val="4ECC2FCC"/>
    <w:rsid w:val="50966F4F"/>
    <w:rsid w:val="58FA3A48"/>
    <w:rsid w:val="5CCA5D9F"/>
    <w:rsid w:val="5EB84736"/>
    <w:rsid w:val="5F8577FC"/>
    <w:rsid w:val="65116062"/>
    <w:rsid w:val="6B9174D1"/>
    <w:rsid w:val="6DC2594D"/>
    <w:rsid w:val="757A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before="100" w:beforeAutospacing="1"/>
      <w:ind w:firstLine="42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paragraph" w:customStyle="1" w:styleId="8">
    <w:name w:val="文一"/>
    <w:basedOn w:val="1"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rFonts w:eastAsia="宋体"/>
      <w:snapToGrid w:val="0"/>
      <w:spacing w:val="4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新造镇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2020-08-13T01:09:00Z</dcterms:created>
  <dc:creator>Administrator</dc:creator>
  <cp:lastModifiedBy>Administrator</cp:lastModifiedBy>
  <cp:lastPrinted>2023-02-23T06:40:16Z</cp:lastPrinted>
  <dcterms:modified xsi:type="dcterms:W3CDTF">2023-02-23T06:45:28Z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