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FFE" w:rsidRDefault="00B01FFE">
      <w:pPr>
        <w:rPr>
          <w:rFonts w:ascii="黑体" w:eastAsia="黑体" w:hint="eastAsia"/>
          <w:b/>
          <w:sz w:val="44"/>
          <w:szCs w:val="44"/>
        </w:rPr>
      </w:pPr>
    </w:p>
    <w:p w:rsidR="00B36CD2" w:rsidRDefault="00A53854">
      <w:pPr>
        <w:rPr>
          <w:sz w:val="30"/>
          <w:szCs w:val="30"/>
        </w:rPr>
      </w:pPr>
      <w:r w:rsidRPr="00A53854">
        <w:rPr>
          <w:rFonts w:ascii="黑体" w:eastAsia="黑体" w:hint="eastAsia"/>
          <w:b/>
          <w:sz w:val="44"/>
          <w:szCs w:val="44"/>
        </w:rPr>
        <w:t>发表论文网上提交材料：</w:t>
      </w:r>
    </w:p>
    <w:p w:rsidR="000B1DEC" w:rsidRDefault="000B1DEC">
      <w:pPr>
        <w:rPr>
          <w:rFonts w:hint="eastAsia"/>
          <w:sz w:val="30"/>
          <w:szCs w:val="30"/>
        </w:rPr>
      </w:pPr>
    </w:p>
    <w:p w:rsidR="00B01FFE" w:rsidRPr="005C57B7" w:rsidRDefault="00B01FFE" w:rsidP="00B01FFE">
      <w:pPr>
        <w:rPr>
          <w:b/>
          <w:sz w:val="30"/>
          <w:szCs w:val="30"/>
        </w:rPr>
      </w:pPr>
      <w:r>
        <w:rPr>
          <w:rFonts w:hint="eastAsia"/>
          <w:b/>
          <w:sz w:val="30"/>
          <w:szCs w:val="30"/>
        </w:rPr>
        <w:t>1</w:t>
      </w:r>
      <w:r w:rsidRPr="005C57B7">
        <w:rPr>
          <w:rFonts w:hint="eastAsia"/>
          <w:b/>
          <w:sz w:val="30"/>
          <w:szCs w:val="30"/>
        </w:rPr>
        <w:t>.</w:t>
      </w:r>
      <w:r w:rsidRPr="005C57B7">
        <w:rPr>
          <w:rFonts w:hint="eastAsia"/>
          <w:b/>
          <w:sz w:val="30"/>
          <w:szCs w:val="30"/>
        </w:rPr>
        <w:t>发表论文</w:t>
      </w:r>
    </w:p>
    <w:p w:rsidR="00B01FFE" w:rsidRDefault="00B01FFE" w:rsidP="00B01FFE">
      <w:pPr>
        <w:rPr>
          <w:rFonts w:hint="eastAsia"/>
          <w:b/>
          <w:sz w:val="32"/>
          <w:szCs w:val="32"/>
        </w:rPr>
      </w:pPr>
      <w:r>
        <w:rPr>
          <w:rFonts w:hint="eastAsia"/>
          <w:b/>
          <w:sz w:val="30"/>
          <w:szCs w:val="30"/>
        </w:rPr>
        <w:t>2.</w:t>
      </w:r>
      <w:r w:rsidRPr="005C57B7">
        <w:rPr>
          <w:rFonts w:hint="eastAsia"/>
          <w:b/>
          <w:sz w:val="32"/>
          <w:szCs w:val="32"/>
        </w:rPr>
        <w:t>发表论文的</w:t>
      </w:r>
      <w:r w:rsidRPr="005C57B7">
        <w:rPr>
          <w:rFonts w:hint="eastAsia"/>
          <w:b/>
          <w:sz w:val="32"/>
          <w:szCs w:val="32"/>
        </w:rPr>
        <w:t>word</w:t>
      </w:r>
      <w:r w:rsidRPr="005C57B7">
        <w:rPr>
          <w:rFonts w:hint="eastAsia"/>
          <w:b/>
          <w:sz w:val="32"/>
          <w:szCs w:val="32"/>
        </w:rPr>
        <w:t>文档</w:t>
      </w:r>
    </w:p>
    <w:p w:rsidR="00B01FFE" w:rsidRPr="00B01FFE" w:rsidRDefault="00B01FFE" w:rsidP="00B01FFE">
      <w:pPr>
        <w:rPr>
          <w:rFonts w:hint="eastAsia"/>
          <w:b/>
          <w:sz w:val="30"/>
          <w:szCs w:val="30"/>
        </w:rPr>
      </w:pPr>
      <w:r w:rsidRPr="00B01FFE">
        <w:rPr>
          <w:rFonts w:hint="eastAsia"/>
          <w:b/>
          <w:sz w:val="30"/>
          <w:szCs w:val="30"/>
        </w:rPr>
        <w:t>3.</w:t>
      </w:r>
      <w:r w:rsidRPr="00B01FFE">
        <w:rPr>
          <w:rFonts w:hint="eastAsia"/>
          <w:b/>
          <w:sz w:val="30"/>
          <w:szCs w:val="30"/>
        </w:rPr>
        <w:t>未删改前的论文</w:t>
      </w:r>
    </w:p>
    <w:p w:rsidR="00B01FFE" w:rsidRDefault="00B01FFE">
      <w:pPr>
        <w:widowControl/>
        <w:jc w:val="left"/>
        <w:rPr>
          <w:sz w:val="30"/>
          <w:szCs w:val="30"/>
        </w:rPr>
      </w:pPr>
      <w:r>
        <w:rPr>
          <w:sz w:val="30"/>
          <w:szCs w:val="30"/>
        </w:rPr>
        <w:br w:type="page"/>
      </w:r>
    </w:p>
    <w:p w:rsidR="00B01FFE" w:rsidRPr="00B01FFE" w:rsidRDefault="00B01FFE">
      <w:pPr>
        <w:rPr>
          <w:sz w:val="30"/>
          <w:szCs w:val="30"/>
        </w:rPr>
      </w:pPr>
    </w:p>
    <w:p w:rsidR="00045E2F" w:rsidRDefault="0005588C">
      <w:pPr>
        <w:rPr>
          <w:sz w:val="30"/>
          <w:szCs w:val="30"/>
        </w:rPr>
      </w:pPr>
      <w:r>
        <w:rPr>
          <w:rFonts w:hint="eastAsia"/>
          <w:sz w:val="30"/>
          <w:szCs w:val="30"/>
        </w:rPr>
        <w:t>1</w:t>
      </w:r>
      <w:r w:rsidR="00A53854">
        <w:rPr>
          <w:rFonts w:hint="eastAsia"/>
          <w:sz w:val="30"/>
          <w:szCs w:val="30"/>
        </w:rPr>
        <w:t>.</w:t>
      </w:r>
      <w:r w:rsidR="00045E2F" w:rsidRPr="00045E2F">
        <w:rPr>
          <w:rFonts w:hint="eastAsia"/>
          <w:sz w:val="30"/>
          <w:szCs w:val="30"/>
        </w:rPr>
        <w:t>发表</w:t>
      </w:r>
      <w:r w:rsidR="00045E2F" w:rsidRPr="00045E2F">
        <w:rPr>
          <w:sz w:val="30"/>
          <w:szCs w:val="30"/>
        </w:rPr>
        <w:t>于</w:t>
      </w:r>
      <w:r w:rsidR="00045E2F" w:rsidRPr="00045E2F">
        <w:rPr>
          <w:rFonts w:hint="eastAsia"/>
          <w:sz w:val="30"/>
          <w:szCs w:val="30"/>
        </w:rPr>
        <w:t>《</w:t>
      </w:r>
      <w:r w:rsidR="00045E2F" w:rsidRPr="00045E2F">
        <w:rPr>
          <w:sz w:val="30"/>
          <w:szCs w:val="30"/>
        </w:rPr>
        <w:t>教育现代化</w:t>
      </w:r>
      <w:r w:rsidR="00045E2F" w:rsidRPr="00045E2F">
        <w:rPr>
          <w:rFonts w:hint="eastAsia"/>
          <w:sz w:val="30"/>
          <w:szCs w:val="30"/>
        </w:rPr>
        <w:t>》</w:t>
      </w:r>
      <w:r w:rsidR="00045E2F" w:rsidRPr="00045E2F">
        <w:rPr>
          <w:rFonts w:hint="eastAsia"/>
          <w:sz w:val="30"/>
          <w:szCs w:val="30"/>
        </w:rPr>
        <w:t>2013.6</w:t>
      </w:r>
      <w:r w:rsidR="0044581D">
        <w:rPr>
          <w:rFonts w:hint="eastAsia"/>
          <w:sz w:val="30"/>
          <w:szCs w:val="30"/>
        </w:rPr>
        <w:t>（杂志封面）</w:t>
      </w:r>
    </w:p>
    <w:p w:rsidR="00045E2F" w:rsidRDefault="00045E2F">
      <w:pPr>
        <w:rPr>
          <w:sz w:val="30"/>
          <w:szCs w:val="30"/>
        </w:rPr>
      </w:pPr>
      <w:r>
        <w:rPr>
          <w:rFonts w:hint="eastAsia"/>
          <w:noProof/>
          <w:sz w:val="30"/>
          <w:szCs w:val="30"/>
        </w:rPr>
        <w:drawing>
          <wp:inline distT="0" distB="0" distL="0" distR="0">
            <wp:extent cx="6576923" cy="4932542"/>
            <wp:effectExtent l="0" t="819150" r="0" b="801508"/>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教育现代化封面.JP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rot="5400000">
                      <a:off x="0" y="0"/>
                      <a:ext cx="6580836" cy="4935477"/>
                    </a:xfrm>
                    <a:prstGeom prst="rect">
                      <a:avLst/>
                    </a:prstGeom>
                  </pic:spPr>
                </pic:pic>
              </a:graphicData>
            </a:graphic>
          </wp:inline>
        </w:drawing>
      </w:r>
    </w:p>
    <w:p w:rsidR="0044581D" w:rsidRDefault="0044581D" w:rsidP="00045E2F">
      <w:pPr>
        <w:rPr>
          <w:sz w:val="30"/>
          <w:szCs w:val="30"/>
        </w:rPr>
      </w:pPr>
    </w:p>
    <w:p w:rsidR="0044581D" w:rsidRDefault="0044581D" w:rsidP="00045E2F">
      <w:pPr>
        <w:rPr>
          <w:rFonts w:hint="eastAsia"/>
          <w:sz w:val="30"/>
          <w:szCs w:val="30"/>
        </w:rPr>
      </w:pPr>
    </w:p>
    <w:p w:rsidR="00B01FFE" w:rsidRDefault="00B01FFE" w:rsidP="00045E2F">
      <w:pPr>
        <w:rPr>
          <w:sz w:val="30"/>
          <w:szCs w:val="30"/>
        </w:rPr>
      </w:pPr>
    </w:p>
    <w:p w:rsidR="00045E2F" w:rsidRDefault="00045E2F" w:rsidP="00045E2F">
      <w:pPr>
        <w:rPr>
          <w:sz w:val="30"/>
          <w:szCs w:val="30"/>
        </w:rPr>
      </w:pPr>
      <w:r w:rsidRPr="00045E2F">
        <w:rPr>
          <w:rFonts w:hint="eastAsia"/>
          <w:sz w:val="30"/>
          <w:szCs w:val="30"/>
        </w:rPr>
        <w:lastRenderedPageBreak/>
        <w:t>《</w:t>
      </w:r>
      <w:r w:rsidRPr="00045E2F">
        <w:rPr>
          <w:sz w:val="30"/>
          <w:szCs w:val="30"/>
        </w:rPr>
        <w:t>教育现代化</w:t>
      </w:r>
      <w:r w:rsidRPr="00045E2F">
        <w:rPr>
          <w:rFonts w:hint="eastAsia"/>
          <w:sz w:val="30"/>
          <w:szCs w:val="30"/>
        </w:rPr>
        <w:t>》</w:t>
      </w:r>
      <w:r>
        <w:rPr>
          <w:rFonts w:hint="eastAsia"/>
          <w:sz w:val="30"/>
          <w:szCs w:val="30"/>
        </w:rPr>
        <w:t>目录</w:t>
      </w:r>
      <w:r>
        <w:rPr>
          <w:sz w:val="30"/>
          <w:szCs w:val="30"/>
        </w:rPr>
        <w:t>：</w:t>
      </w:r>
    </w:p>
    <w:p w:rsidR="00045E2F" w:rsidRDefault="00045E2F">
      <w:pPr>
        <w:rPr>
          <w:sz w:val="30"/>
          <w:szCs w:val="30"/>
        </w:rPr>
      </w:pPr>
      <w:r>
        <w:rPr>
          <w:rFonts w:hint="eastAsia"/>
          <w:noProof/>
          <w:sz w:val="30"/>
          <w:szCs w:val="30"/>
        </w:rPr>
        <w:drawing>
          <wp:inline distT="0" distB="0" distL="0" distR="0">
            <wp:extent cx="6057717" cy="8077200"/>
            <wp:effectExtent l="19050" t="0" r="183"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教育现代化目录.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060238" cy="8080561"/>
                    </a:xfrm>
                    <a:prstGeom prst="rect">
                      <a:avLst/>
                    </a:prstGeom>
                  </pic:spPr>
                </pic:pic>
              </a:graphicData>
            </a:graphic>
          </wp:inline>
        </w:drawing>
      </w:r>
    </w:p>
    <w:p w:rsidR="0005588C" w:rsidRDefault="0005588C">
      <w:pPr>
        <w:rPr>
          <w:sz w:val="30"/>
          <w:szCs w:val="30"/>
        </w:rPr>
      </w:pPr>
    </w:p>
    <w:p w:rsidR="00045E2F" w:rsidRDefault="00045E2F">
      <w:pPr>
        <w:rPr>
          <w:sz w:val="30"/>
          <w:szCs w:val="30"/>
        </w:rPr>
      </w:pPr>
      <w:r w:rsidRPr="00045E2F">
        <w:rPr>
          <w:rFonts w:hint="eastAsia"/>
          <w:sz w:val="30"/>
          <w:szCs w:val="30"/>
        </w:rPr>
        <w:lastRenderedPageBreak/>
        <w:t>《</w:t>
      </w:r>
      <w:r w:rsidRPr="00045E2F">
        <w:rPr>
          <w:sz w:val="30"/>
          <w:szCs w:val="30"/>
        </w:rPr>
        <w:t>教育现代化</w:t>
      </w:r>
      <w:r w:rsidRPr="00045E2F">
        <w:rPr>
          <w:rFonts w:hint="eastAsia"/>
          <w:sz w:val="30"/>
          <w:szCs w:val="30"/>
        </w:rPr>
        <w:t>》</w:t>
      </w:r>
      <w:r>
        <w:rPr>
          <w:rFonts w:hint="eastAsia"/>
          <w:sz w:val="30"/>
          <w:szCs w:val="30"/>
        </w:rPr>
        <w:t>内容</w:t>
      </w:r>
      <w:r>
        <w:rPr>
          <w:sz w:val="30"/>
          <w:szCs w:val="30"/>
        </w:rPr>
        <w:t>：</w:t>
      </w:r>
    </w:p>
    <w:p w:rsidR="00045E2F" w:rsidRDefault="00045E2F">
      <w:pPr>
        <w:rPr>
          <w:sz w:val="30"/>
          <w:szCs w:val="30"/>
        </w:rPr>
      </w:pPr>
      <w:r>
        <w:rPr>
          <w:rFonts w:hint="eastAsia"/>
          <w:noProof/>
          <w:sz w:val="30"/>
          <w:szCs w:val="30"/>
        </w:rPr>
        <w:drawing>
          <wp:inline distT="0" distB="0" distL="0" distR="0">
            <wp:extent cx="5705475" cy="7607525"/>
            <wp:effectExtent l="1905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教育现代化.JP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12478" cy="7616863"/>
                    </a:xfrm>
                    <a:prstGeom prst="rect">
                      <a:avLst/>
                    </a:prstGeom>
                  </pic:spPr>
                </pic:pic>
              </a:graphicData>
            </a:graphic>
          </wp:inline>
        </w:drawing>
      </w:r>
    </w:p>
    <w:p w:rsidR="0038559B" w:rsidRDefault="0038559B">
      <w:pPr>
        <w:rPr>
          <w:sz w:val="30"/>
          <w:szCs w:val="30"/>
        </w:rPr>
      </w:pPr>
    </w:p>
    <w:p w:rsidR="00A53854" w:rsidRDefault="00A53854" w:rsidP="0038559B">
      <w:pPr>
        <w:jc w:val="center"/>
        <w:rPr>
          <w:b/>
          <w:sz w:val="32"/>
          <w:szCs w:val="32"/>
        </w:rPr>
      </w:pPr>
    </w:p>
    <w:p w:rsidR="0054546F" w:rsidRDefault="0054546F" w:rsidP="0038559B">
      <w:pPr>
        <w:jc w:val="center"/>
        <w:rPr>
          <w:b/>
          <w:sz w:val="32"/>
          <w:szCs w:val="32"/>
        </w:rPr>
      </w:pPr>
    </w:p>
    <w:p w:rsidR="0038559B" w:rsidRDefault="0038559B" w:rsidP="0038559B">
      <w:pPr>
        <w:jc w:val="center"/>
        <w:rPr>
          <w:b/>
          <w:sz w:val="32"/>
          <w:szCs w:val="32"/>
        </w:rPr>
      </w:pPr>
      <w:r>
        <w:rPr>
          <w:rFonts w:hint="eastAsia"/>
          <w:b/>
          <w:sz w:val="32"/>
          <w:szCs w:val="32"/>
        </w:rPr>
        <w:t>“</w:t>
      </w:r>
      <w:r w:rsidRPr="00500F5B">
        <w:rPr>
          <w:rFonts w:hint="eastAsia"/>
          <w:b/>
          <w:sz w:val="32"/>
          <w:szCs w:val="32"/>
        </w:rPr>
        <w:t>选学</w:t>
      </w:r>
      <w:r>
        <w:rPr>
          <w:rFonts w:hint="eastAsia"/>
          <w:b/>
          <w:sz w:val="32"/>
          <w:szCs w:val="32"/>
        </w:rPr>
        <w:t>”</w:t>
      </w:r>
      <w:r w:rsidRPr="00500F5B">
        <w:rPr>
          <w:rFonts w:hint="eastAsia"/>
          <w:b/>
          <w:sz w:val="32"/>
          <w:szCs w:val="32"/>
        </w:rPr>
        <w:t>内容</w:t>
      </w:r>
      <w:r>
        <w:rPr>
          <w:rFonts w:hint="eastAsia"/>
          <w:b/>
          <w:sz w:val="32"/>
          <w:szCs w:val="32"/>
        </w:rPr>
        <w:t>是培养学生科学素质的“催化剂”</w:t>
      </w:r>
    </w:p>
    <w:p w:rsidR="0044581D" w:rsidRPr="0044581D" w:rsidRDefault="0044581D" w:rsidP="0044581D">
      <w:pPr>
        <w:rPr>
          <w:rFonts w:ascii="宋体" w:eastAsia="宋体" w:hAnsi="宋体" w:cs="宋体"/>
          <w:kern w:val="0"/>
          <w:sz w:val="24"/>
          <w:szCs w:val="24"/>
        </w:rPr>
      </w:pPr>
      <w:r>
        <w:rPr>
          <w:rFonts w:ascii="楷体_GB2312" w:eastAsia="楷体_GB2312" w:hint="eastAsia"/>
          <w:b/>
          <w:sz w:val="28"/>
          <w:szCs w:val="28"/>
        </w:rPr>
        <w:t xml:space="preserve">      </w:t>
      </w:r>
      <w:r w:rsidRPr="0044581D">
        <w:rPr>
          <w:rFonts w:ascii="宋体" w:eastAsia="宋体" w:hAnsi="宋体" w:cs="宋体"/>
          <w:noProof/>
          <w:kern w:val="0"/>
          <w:sz w:val="24"/>
          <w:szCs w:val="24"/>
        </w:rPr>
        <w:drawing>
          <wp:inline distT="0" distB="0" distL="0" distR="0">
            <wp:extent cx="3705225" cy="238125"/>
            <wp:effectExtent l="0" t="0" r="9525" b="9525"/>
            <wp:docPr id="8" name="图片 8" descr="C:\Documents and Settings\Administrator\Application Data\Tencent\Users\1036639778\QQ\WinTemp\RichOle\$6ML3_Z8]T2WBQ5QJGG%_C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Administrator\Application Data\Tencent\Users\1036639778\QQ\WinTemp\RichOle\$6ML3_Z8]T2WBQ5QJGG%_CF.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05225" cy="238125"/>
                    </a:xfrm>
                    <a:prstGeom prst="rect">
                      <a:avLst/>
                    </a:prstGeom>
                    <a:noFill/>
                    <a:ln>
                      <a:noFill/>
                    </a:ln>
                  </pic:spPr>
                </pic:pic>
              </a:graphicData>
            </a:graphic>
          </wp:inline>
        </w:drawing>
      </w:r>
      <w:bookmarkStart w:id="0" w:name="_GoBack"/>
      <w:bookmarkEnd w:id="0"/>
    </w:p>
    <w:p w:rsidR="0038559B" w:rsidRPr="0044581D" w:rsidRDefault="0038559B" w:rsidP="0044581D">
      <w:pPr>
        <w:jc w:val="center"/>
        <w:rPr>
          <w:rFonts w:ascii="楷体_GB2312" w:eastAsia="楷体_GB2312"/>
          <w:b/>
          <w:sz w:val="28"/>
          <w:szCs w:val="28"/>
        </w:rPr>
      </w:pPr>
      <w:r w:rsidRPr="00527D9D">
        <w:rPr>
          <w:rFonts w:ascii="楷体_GB2312" w:eastAsia="楷体_GB2312" w:hint="eastAsia"/>
          <w:b/>
          <w:sz w:val="28"/>
          <w:szCs w:val="28"/>
        </w:rPr>
        <w:t xml:space="preserve">  </w:t>
      </w:r>
      <w:r w:rsidRPr="00195682">
        <w:rPr>
          <w:rFonts w:ascii="宋体" w:hAnsi="宋体" w:cs="Tahoma" w:hint="eastAsia"/>
          <w:b/>
          <w:color w:val="000000"/>
          <w:kern w:val="0"/>
          <w:sz w:val="24"/>
        </w:rPr>
        <w:t>【内容摘要】</w:t>
      </w:r>
      <w:r w:rsidRPr="00A76464">
        <w:rPr>
          <w:rFonts w:ascii="宋体" w:hAnsi="宋体" w:cs="Tahoma" w:hint="eastAsia"/>
          <w:color w:val="000000"/>
          <w:kern w:val="0"/>
          <w:szCs w:val="21"/>
        </w:rPr>
        <w:t>为突出素质教育这一核心，新版九年级化学课本</w:t>
      </w:r>
      <w:r w:rsidRPr="00A76464">
        <w:rPr>
          <w:rFonts w:hint="eastAsia"/>
          <w:szCs w:val="21"/>
        </w:rPr>
        <w:t>在保证“双基”掌握和能力培养的基础上，选编了一系</w:t>
      </w:r>
      <w:r>
        <w:rPr>
          <w:rFonts w:hint="eastAsia"/>
          <w:szCs w:val="21"/>
        </w:rPr>
        <w:t>列</w:t>
      </w:r>
      <w:r w:rsidRPr="00807107">
        <w:rPr>
          <w:rFonts w:hint="eastAsia"/>
          <w:szCs w:val="21"/>
        </w:rPr>
        <w:t>与</w:t>
      </w:r>
      <w:r>
        <w:rPr>
          <w:rFonts w:hint="eastAsia"/>
          <w:szCs w:val="21"/>
        </w:rPr>
        <w:t>生活、生产及现代科技密切相关的内容以“资料卡片”的形式呈现出来供学生选学。</w:t>
      </w:r>
      <w:r w:rsidRPr="00500F5B">
        <w:rPr>
          <w:rFonts w:hint="eastAsia"/>
          <w:szCs w:val="21"/>
        </w:rPr>
        <w:t>本文就怎样更好地利用这部分内容对学生进行科学素质的培养提出一些探讨性的意见。</w:t>
      </w:r>
    </w:p>
    <w:p w:rsidR="0038559B" w:rsidRPr="00807107" w:rsidRDefault="0038559B" w:rsidP="0038559B">
      <w:pPr>
        <w:rPr>
          <w:rFonts w:ascii="宋体" w:hAnsi="宋体" w:cs="Tahoma"/>
          <w:color w:val="000000"/>
          <w:kern w:val="0"/>
          <w:sz w:val="24"/>
        </w:rPr>
      </w:pPr>
    </w:p>
    <w:p w:rsidR="0038559B" w:rsidRPr="00195682" w:rsidRDefault="0038559B" w:rsidP="0038559B">
      <w:pPr>
        <w:rPr>
          <w:rFonts w:ascii="宋体" w:hAnsi="宋体"/>
          <w:color w:val="000000"/>
          <w:sz w:val="24"/>
        </w:rPr>
      </w:pPr>
      <w:r w:rsidRPr="00195682">
        <w:rPr>
          <w:rFonts w:ascii="宋体" w:hAnsi="宋体" w:cs="Tahoma" w:hint="eastAsia"/>
          <w:b/>
          <w:color w:val="000000"/>
          <w:kern w:val="0"/>
          <w:sz w:val="24"/>
        </w:rPr>
        <w:t>【关键词】</w:t>
      </w:r>
      <w:r w:rsidRPr="00195682">
        <w:rPr>
          <w:rFonts w:ascii="宋体" w:hAnsi="宋体" w:cs="Tahoma" w:hint="eastAsia"/>
          <w:color w:val="000000"/>
          <w:kern w:val="0"/>
          <w:sz w:val="24"/>
        </w:rPr>
        <w:t xml:space="preserve"> </w:t>
      </w:r>
      <w:r>
        <w:rPr>
          <w:rFonts w:ascii="宋体" w:hAnsi="宋体" w:cs="Tahoma" w:hint="eastAsia"/>
          <w:color w:val="000000"/>
          <w:kern w:val="0"/>
          <w:sz w:val="24"/>
        </w:rPr>
        <w:t xml:space="preserve"> 选学   必学    科学素质</w:t>
      </w:r>
    </w:p>
    <w:p w:rsidR="0038559B" w:rsidRPr="00807107" w:rsidRDefault="0038559B" w:rsidP="0038559B">
      <w:pPr>
        <w:spacing w:line="360" w:lineRule="auto"/>
        <w:ind w:firstLineChars="200" w:firstLine="420"/>
        <w:rPr>
          <w:szCs w:val="21"/>
        </w:rPr>
      </w:pPr>
    </w:p>
    <w:p w:rsidR="0038559B" w:rsidRDefault="0038559B" w:rsidP="0038559B">
      <w:pPr>
        <w:spacing w:line="360" w:lineRule="auto"/>
        <w:ind w:firstLineChars="200" w:firstLine="420"/>
        <w:rPr>
          <w:szCs w:val="21"/>
        </w:rPr>
      </w:pPr>
      <w:r>
        <w:rPr>
          <w:rFonts w:hint="eastAsia"/>
          <w:szCs w:val="21"/>
        </w:rPr>
        <w:t>有句流行语是这么说的：“二十一世纪的竞争归根结底是人才的竞争。”</w:t>
      </w:r>
      <w:r w:rsidRPr="00500F5B">
        <w:rPr>
          <w:rFonts w:hint="eastAsia"/>
          <w:szCs w:val="21"/>
        </w:rPr>
        <w:t>要培养出具备现代素质的人才，就</w:t>
      </w:r>
      <w:r>
        <w:rPr>
          <w:rFonts w:hint="eastAsia"/>
          <w:szCs w:val="21"/>
        </w:rPr>
        <w:t>需在青少年的基础教育期间积极推进素质教育，而青少年的科学素质是其综合素质的重要组成部分</w:t>
      </w:r>
      <w:r w:rsidRPr="00500F5B">
        <w:rPr>
          <w:rFonts w:hint="eastAsia"/>
          <w:szCs w:val="21"/>
        </w:rPr>
        <w:t>。美国教育家博金特曾经指出：“在当今激烈变革的时代，应当倡导创新性学习，培养人们善于更新、重组并重新提出问题，具有预见未来以及评估当前决策和行动的能力。”九年级义务教育化学</w:t>
      </w:r>
      <w:r>
        <w:rPr>
          <w:rFonts w:hint="eastAsia"/>
          <w:szCs w:val="21"/>
        </w:rPr>
        <w:t>新教材正是依照这种创新性的思维</w:t>
      </w:r>
      <w:r w:rsidRPr="00500F5B">
        <w:rPr>
          <w:rFonts w:hint="eastAsia"/>
          <w:szCs w:val="21"/>
        </w:rPr>
        <w:t>，</w:t>
      </w:r>
      <w:r>
        <w:rPr>
          <w:rFonts w:hint="eastAsia"/>
          <w:szCs w:val="21"/>
        </w:rPr>
        <w:t>用培养具备足够科学素质的化学、化工人才的模式，在突出素质教育这一核心、</w:t>
      </w:r>
      <w:r w:rsidRPr="00500F5B">
        <w:rPr>
          <w:rFonts w:hint="eastAsia"/>
          <w:szCs w:val="21"/>
        </w:rPr>
        <w:t>保证“双基”掌握和能力培养的基</w:t>
      </w:r>
      <w:r>
        <w:rPr>
          <w:rFonts w:hint="eastAsia"/>
          <w:szCs w:val="21"/>
        </w:rPr>
        <w:t>础上，以较大的篇幅选编了一些与生活、生产及现代科技密切相关的“资料卡片”上的</w:t>
      </w:r>
      <w:r w:rsidRPr="00500F5B">
        <w:rPr>
          <w:rFonts w:hint="eastAsia"/>
          <w:szCs w:val="21"/>
        </w:rPr>
        <w:t>内容。本文就怎样更好地利用这部分内容对学生进行科学素质的培养提出一些探讨性的意见。</w:t>
      </w:r>
    </w:p>
    <w:p w:rsidR="0038559B" w:rsidRPr="004B3D56" w:rsidRDefault="0038559B" w:rsidP="0038559B">
      <w:pPr>
        <w:numPr>
          <w:ilvl w:val="0"/>
          <w:numId w:val="1"/>
        </w:numPr>
        <w:spacing w:line="360" w:lineRule="auto"/>
        <w:rPr>
          <w:b/>
          <w:sz w:val="24"/>
        </w:rPr>
      </w:pPr>
      <w:r w:rsidRPr="004B3D56">
        <w:rPr>
          <w:rFonts w:hint="eastAsia"/>
          <w:b/>
          <w:sz w:val="24"/>
        </w:rPr>
        <w:t>正确处理“选学”与“必学”的关系是学好“选学”的前提</w:t>
      </w:r>
    </w:p>
    <w:p w:rsidR="0038559B" w:rsidRDefault="0038559B" w:rsidP="0038559B">
      <w:pPr>
        <w:spacing w:line="360" w:lineRule="auto"/>
        <w:rPr>
          <w:szCs w:val="21"/>
        </w:rPr>
      </w:pPr>
      <w:r>
        <w:rPr>
          <w:rFonts w:hint="eastAsia"/>
          <w:szCs w:val="21"/>
        </w:rPr>
        <w:t xml:space="preserve">     </w:t>
      </w:r>
      <w:r>
        <w:rPr>
          <w:rFonts w:hint="eastAsia"/>
          <w:szCs w:val="21"/>
        </w:rPr>
        <w:t>从新教材普遍使用的这十年教学实践来看，由于升学压力的客观存在和教学课时的限制，有相当一部分化学教师认为，选学内容既不是必讲知识点，更不是会考考点，因此紧紧围绕着升学考试的指挥棒，不少教师往往采取“丢卒保车”的教学安排，宁可超纲抢时讲“必学”，搞题海战术和模拟题的强化训练，也不舍得花费一些时间，对学生进行适度的“选学”指导，这直接导致“选学”部分基本处于“无具体阅读要求”、“无有效措施指导”、“无符合实际的教学目标”的“三无”状态。“选学”形同虚设，也完全达不到教学大纲和评价标准的初衷。这对刚涉足化学这门自然科学，正处于基础素质提高的最佳时期的初三学生来说是个极大的损失。造成这种现状的原因，是部分教师的教育观念还不能真正从“应试教育”转轨到“素质教育”上来。事实上，超纲抢时教授“必学”内容、进行题海的强化训练与指导学生进行“选学”学习有着完全不同的价值取向，其操作方法以及学生心理状态都决定了两者有着本质的不同：前者以牺牲学生综合素质发展为代价而达到“升学”这一终极目的，是</w:t>
      </w:r>
      <w:r>
        <w:rPr>
          <w:rFonts w:hint="eastAsia"/>
          <w:szCs w:val="21"/>
        </w:rPr>
        <w:lastRenderedPageBreak/>
        <w:t>在学生厌烦、担忧而又无可奈何的沉重心理压力下进行的“填鸭式”灌输，以“熟能生巧”、“熟悉题型”等目的支配下实施简单的机械重复性操作，其显著特征是超负荷、低效率、压抑个性发展。后者是以发展学生综合素质为目标，适应学生认知规律的育人活动，是以学生为主体，满足兴趣、情感、动机和求知欲的主动性参与，体现出低付出、高效率的育人功能。所以指导选学虽然会占用一定的教学时间，但对升学会考并不会产生严重干扰，反而是对必学知识的扩展起到了事半功倍的效果。只要教育者能从应试教育的桎梏中解放出来，转变观念，端正教学目标，科学地调整“选学”与“必学”的尺度，在“必学”的基础上，突出一个“选”字，为充实和满足学生必学“双基”知识以外的延伸，在指导“选学”内容时，从学生兴趣、爱好和可接受性出发，在授课活动形式、效果检验诸方面都灵活渗透处理，形成一种愉快和谐、生动活泼的氛围，学生就不会因升学会考的指挥棒的指向而影响个性素质的发展。</w:t>
      </w:r>
    </w:p>
    <w:p w:rsidR="0038559B" w:rsidRPr="002D4F2A" w:rsidRDefault="0038559B" w:rsidP="0038559B">
      <w:pPr>
        <w:spacing w:line="360" w:lineRule="auto"/>
        <w:ind w:firstLineChars="200" w:firstLine="482"/>
        <w:rPr>
          <w:b/>
          <w:sz w:val="24"/>
        </w:rPr>
      </w:pPr>
      <w:r w:rsidRPr="002D4F2A">
        <w:rPr>
          <w:rFonts w:hint="eastAsia"/>
          <w:b/>
          <w:sz w:val="24"/>
        </w:rPr>
        <w:t>二、充分用好“选学”</w:t>
      </w:r>
      <w:r>
        <w:rPr>
          <w:rFonts w:hint="eastAsia"/>
          <w:b/>
          <w:sz w:val="24"/>
        </w:rPr>
        <w:t>内容是促进学生科学素质</w:t>
      </w:r>
      <w:r w:rsidRPr="002D4F2A">
        <w:rPr>
          <w:rFonts w:hint="eastAsia"/>
          <w:b/>
          <w:sz w:val="24"/>
        </w:rPr>
        <w:t>提高的手段</w:t>
      </w:r>
    </w:p>
    <w:p w:rsidR="0038559B" w:rsidRDefault="0038559B" w:rsidP="0038559B">
      <w:pPr>
        <w:spacing w:line="360" w:lineRule="auto"/>
        <w:ind w:firstLine="435"/>
        <w:rPr>
          <w:szCs w:val="21"/>
        </w:rPr>
      </w:pPr>
      <w:r>
        <w:rPr>
          <w:rFonts w:hint="eastAsia"/>
          <w:szCs w:val="21"/>
        </w:rPr>
        <w:t>1</w:t>
      </w:r>
      <w:r>
        <w:rPr>
          <w:rFonts w:hint="eastAsia"/>
          <w:szCs w:val="21"/>
        </w:rPr>
        <w:t>、“选学”是“必学”内容的迁移和扩展</w:t>
      </w:r>
    </w:p>
    <w:p w:rsidR="0038559B" w:rsidRDefault="0038559B" w:rsidP="0038559B">
      <w:pPr>
        <w:spacing w:line="360" w:lineRule="auto"/>
        <w:ind w:firstLine="435"/>
        <w:rPr>
          <w:szCs w:val="21"/>
        </w:rPr>
      </w:pPr>
      <w:r>
        <w:rPr>
          <w:rFonts w:hint="eastAsia"/>
          <w:szCs w:val="21"/>
        </w:rPr>
        <w:t>初三化学教材本着“教育要面向现代化、面向世界、面向未来”的精神，在“必学”和“选学”的内容上妥善处理了传统知识同现代科学知识的关系，例如在“选学”中编排了无机化学部分的内容就有：生物细胞中的元素、黑火药、铅笔上的</w:t>
      </w:r>
      <w:r>
        <w:rPr>
          <w:rFonts w:hint="eastAsia"/>
          <w:szCs w:val="21"/>
        </w:rPr>
        <w:t>H</w:t>
      </w:r>
      <w:r>
        <w:rPr>
          <w:rFonts w:hint="eastAsia"/>
          <w:szCs w:val="21"/>
        </w:rPr>
        <w:t>和</w:t>
      </w:r>
      <w:r>
        <w:rPr>
          <w:rFonts w:hint="eastAsia"/>
          <w:szCs w:val="21"/>
        </w:rPr>
        <w:t>B</w:t>
      </w:r>
      <w:r>
        <w:rPr>
          <w:rFonts w:hint="eastAsia"/>
          <w:szCs w:val="21"/>
        </w:rPr>
        <w:t>、干冰的妙用、溶洞的形成、硬水、温室效应、农药等；涉及有机化学部分的内容有：糖、脂肪、蛋白质、肥皂和常用洗涤剂等。从上述“选学”内容不难看出，教材中的“选学”与“必学”内容其教学要求虽层次不同，但遵循学生身心发展的规律、处理知识的逻辑顺序是一致的。“选学”内容的开设正是根据素质教育的要求、学科特点、学生年龄特征、个性差异和科学素质提高的需要，“从各类型化学教材的教与学的实际出发，努力实现内容与过程、过程与结果统一。”（</w:t>
      </w:r>
      <w:smartTag w:uri="urn:schemas-microsoft-com:office:smarttags" w:element="PersonName">
        <w:smartTagPr>
          <w:attr w:name="ProductID" w:val="刘知心"/>
        </w:smartTagPr>
        <w:r>
          <w:rPr>
            <w:rFonts w:hint="eastAsia"/>
            <w:szCs w:val="21"/>
          </w:rPr>
          <w:t>刘知心</w:t>
        </w:r>
      </w:smartTag>
      <w:r>
        <w:rPr>
          <w:rFonts w:hint="eastAsia"/>
          <w:szCs w:val="21"/>
        </w:rPr>
        <w:t>教授语）为将来人才结构形成生动活泼的局面而采取的有效措施。“必学”是教材的重点，面向全体学生，为把学生培养成合格的公民提供基本的科学知识准备，也为学生进一步学习和深造奠定基础。“选学”是“必学”的迁移和扩展，以其选材的广泛性、理论性、深刻性以及知识的现代性、新颖性和趣味性等特点激励学生主动发挥创造性，同时也对学生新旧知识的衔接、知识的储备，和潜能的发展起到必不可少的作用。对于有志于学习化学的青少年和有志于成为化学、化工人才者，“选学”可以帮助他们减少化学学习的盲目性，增强探索问题的自觉性，科学地进行化学学习活动，提高化学学习的效率，培养学生的科学素养，这样“选学”就能真正起到迁移、拓展、丰富“必学”内容的桥梁作用。</w:t>
      </w:r>
    </w:p>
    <w:p w:rsidR="0038559B" w:rsidRDefault="0038559B" w:rsidP="0038559B">
      <w:pPr>
        <w:spacing w:line="360" w:lineRule="auto"/>
        <w:ind w:firstLine="435"/>
        <w:rPr>
          <w:szCs w:val="21"/>
        </w:rPr>
      </w:pPr>
      <w:r>
        <w:rPr>
          <w:rFonts w:hint="eastAsia"/>
          <w:szCs w:val="21"/>
        </w:rPr>
        <w:t>2</w:t>
      </w:r>
      <w:r>
        <w:rPr>
          <w:rFonts w:hint="eastAsia"/>
          <w:szCs w:val="21"/>
        </w:rPr>
        <w:t>、“选学”是“必学”内容的渗透和补充</w:t>
      </w:r>
    </w:p>
    <w:p w:rsidR="0038559B" w:rsidRDefault="0038559B" w:rsidP="0038559B">
      <w:pPr>
        <w:spacing w:line="360" w:lineRule="auto"/>
        <w:ind w:firstLine="435"/>
        <w:rPr>
          <w:szCs w:val="21"/>
        </w:rPr>
      </w:pPr>
      <w:r>
        <w:rPr>
          <w:rFonts w:hint="eastAsia"/>
          <w:szCs w:val="21"/>
        </w:rPr>
        <w:lastRenderedPageBreak/>
        <w:t>“选学”和“必学”是一个矛盾统一体的不同侧面，互相渗透、互相依存，既互相排斥（如教学时间），又互相促进（如智力发展），分别在不同的层次实现科学素质提高的这一核心。依据“必学”和“选学”的辩证关系，“必学”和“选学”的内涵和外延是交叉的，在某种程度上是“你中有我，我中有你”。“必学”是“选学”的基础，脱离了“必学”，“选学”必然是无源之水无本之木；“选学”可弥补“必学”因知识结构和个性发展不足的缺陷。因此，在选学指导中使两者内容相互渗透，知识上相互补充，智力上相互促进的教学思维是很值得提倡的。如笔者在指导“干冰的妙用”、“溶洞的形成”、“温室效应”、“灭火器”等内容时，对“必学”中</w:t>
      </w:r>
      <w:r>
        <w:rPr>
          <w:rFonts w:hint="eastAsia"/>
          <w:szCs w:val="21"/>
        </w:rPr>
        <w:t>CO</w:t>
      </w:r>
      <w:r w:rsidRPr="003B3C07">
        <w:rPr>
          <w:rFonts w:hint="eastAsia"/>
          <w:szCs w:val="21"/>
          <w:vertAlign w:val="subscript"/>
        </w:rPr>
        <w:t>2</w:t>
      </w:r>
      <w:r>
        <w:rPr>
          <w:rFonts w:hint="eastAsia"/>
          <w:szCs w:val="21"/>
        </w:rPr>
        <w:t>的有关知识做了补充和拓展，使学生对</w:t>
      </w:r>
      <w:r>
        <w:rPr>
          <w:rFonts w:hint="eastAsia"/>
          <w:szCs w:val="21"/>
        </w:rPr>
        <w:t>CO</w:t>
      </w:r>
      <w:r w:rsidRPr="003B3C07">
        <w:rPr>
          <w:rFonts w:hint="eastAsia"/>
          <w:szCs w:val="21"/>
          <w:vertAlign w:val="subscript"/>
        </w:rPr>
        <w:t>2</w:t>
      </w:r>
      <w:r>
        <w:rPr>
          <w:rFonts w:hint="eastAsia"/>
          <w:szCs w:val="21"/>
        </w:rPr>
        <w:t>的重要性质和用途、</w:t>
      </w:r>
      <w:r>
        <w:rPr>
          <w:rFonts w:hint="eastAsia"/>
          <w:szCs w:val="21"/>
        </w:rPr>
        <w:t>CO</w:t>
      </w:r>
      <w:r w:rsidRPr="003B3C07">
        <w:rPr>
          <w:rFonts w:hint="eastAsia"/>
          <w:szCs w:val="21"/>
          <w:vertAlign w:val="subscript"/>
        </w:rPr>
        <w:t>2</w:t>
      </w:r>
      <w:r>
        <w:rPr>
          <w:rFonts w:hint="eastAsia"/>
          <w:szCs w:val="21"/>
        </w:rPr>
        <w:t>与人类、自然界变化的密切关系有更全面深刻的理解。在教学过程中，笔者首先提出问题：（</w:t>
      </w:r>
      <w:r>
        <w:rPr>
          <w:rFonts w:hint="eastAsia"/>
          <w:szCs w:val="21"/>
        </w:rPr>
        <w:t>1</w:t>
      </w:r>
      <w:r>
        <w:rPr>
          <w:rFonts w:hint="eastAsia"/>
          <w:szCs w:val="21"/>
        </w:rPr>
        <w:t>）自然界地貌变异，酸雨形成，环境污染跟什么物质的存在有关？（</w:t>
      </w:r>
      <w:r>
        <w:rPr>
          <w:rFonts w:hint="eastAsia"/>
          <w:szCs w:val="21"/>
        </w:rPr>
        <w:t>2</w:t>
      </w:r>
      <w:r>
        <w:rPr>
          <w:rFonts w:hint="eastAsia"/>
          <w:szCs w:val="21"/>
        </w:rPr>
        <w:t>）如果碰到活泼金属所引发的火灾，应该选用什么灭火器？（</w:t>
      </w:r>
      <w:r>
        <w:rPr>
          <w:rFonts w:hint="eastAsia"/>
          <w:szCs w:val="21"/>
        </w:rPr>
        <w:t>3</w:t>
      </w:r>
      <w:r>
        <w:rPr>
          <w:rFonts w:hint="eastAsia"/>
          <w:szCs w:val="21"/>
        </w:rPr>
        <w:t>）普通</w:t>
      </w:r>
      <w:r>
        <w:rPr>
          <w:rFonts w:hint="eastAsia"/>
          <w:szCs w:val="21"/>
        </w:rPr>
        <w:t>CO</w:t>
      </w:r>
      <w:r w:rsidRPr="003B3C07">
        <w:rPr>
          <w:rFonts w:hint="eastAsia"/>
          <w:szCs w:val="21"/>
          <w:vertAlign w:val="subscript"/>
        </w:rPr>
        <w:t>2</w:t>
      </w:r>
      <w:r>
        <w:rPr>
          <w:rFonts w:hint="eastAsia"/>
          <w:szCs w:val="21"/>
        </w:rPr>
        <w:t>泡沫灭火剂是否对任何类型的火灾都能起作用？创设这些问题情景后，笔者进一步引导学生思考平时所观察到的学校遮雨棚下方水泥地板经雨水长期冲刷而起“蜂窝”现象，再演示一个趣味实验：金属钠遇水产生火焰的实验，当金属钠与水剧烈反应，形成小球浮在水面四处游动，并发出“嘶嘶”的响声时，学生一片哗然，印象极其深刻。目睹过眼前物质变化的真实情况后，学生便能迅速领悟到“必学”中</w:t>
      </w:r>
      <w:r>
        <w:rPr>
          <w:rFonts w:hint="eastAsia"/>
          <w:szCs w:val="21"/>
        </w:rPr>
        <w:t>CO</w:t>
      </w:r>
      <w:r w:rsidRPr="003B3C07">
        <w:rPr>
          <w:rFonts w:hint="eastAsia"/>
          <w:szCs w:val="21"/>
          <w:vertAlign w:val="subscript"/>
        </w:rPr>
        <w:t>2</w:t>
      </w:r>
      <w:r>
        <w:rPr>
          <w:rFonts w:hint="eastAsia"/>
          <w:szCs w:val="21"/>
        </w:rPr>
        <w:t>可溶于水的性质，其实岩石（含碳酸钙）也就是在这个过程中所形成的“碳酸”作用下逐渐“搬家”而形成溶洞和千奇百怪的石笋和钟乳石的化学原理。与此同理，在自然界中长期暴露的名胜古迹、金属制品和建筑物因受到“酸雨”的冲刷后也会变得伤痕累累。至此，自然界中的地貌变异，环境污染的罪魁祸首也就不言而喻了。而在趣味实验中，金属钠遇水会产生可燃气体，放出热量加大火势，所以灭火时不能盲目使用水或含有水分的</w:t>
      </w:r>
      <w:r>
        <w:rPr>
          <w:rFonts w:hint="eastAsia"/>
          <w:szCs w:val="21"/>
        </w:rPr>
        <w:t>CO</w:t>
      </w:r>
      <w:r w:rsidRPr="003B3C07">
        <w:rPr>
          <w:rFonts w:hint="eastAsia"/>
          <w:szCs w:val="21"/>
          <w:vertAlign w:val="subscript"/>
        </w:rPr>
        <w:t>2</w:t>
      </w:r>
      <w:r>
        <w:rPr>
          <w:rFonts w:hint="eastAsia"/>
          <w:szCs w:val="21"/>
        </w:rPr>
        <w:t>泡沫灭火剂，应选择不会与活泼金属反应的干粉灭火器。通过这些内容的学习，学生无不惊叹过去曾有听闻、但又不知是何原因，或曾亲身经历、却不知如何进行研究和探索的问题，竟然在这些化学课上的“选学”内容中得到了圆满的解释。显然，“必学”和“选学”内容相互渗透，既能很快将学生认知中的空白在愉快有趣的学习中得到填补，又很好地培养了学生的科学素养。所以在发展学生科学素质的教学过程中，既要充分利用好“选学”，又必须分清主次。根据学生认知个性的发展需要，从培养学生科学素质的总体目标出发，重点放在“必学”，在深化“双基”掌握的基础上适度地指导好“选学”，科学地调节“选学”与“必学”这一矛盾统一体的“辩证天平”，使两者在互相渗透中相得益彰。</w:t>
      </w:r>
    </w:p>
    <w:p w:rsidR="0038559B" w:rsidRPr="003B3C07" w:rsidRDefault="0038559B" w:rsidP="0038559B">
      <w:pPr>
        <w:spacing w:line="360" w:lineRule="auto"/>
        <w:ind w:firstLine="435"/>
        <w:rPr>
          <w:b/>
          <w:sz w:val="24"/>
        </w:rPr>
      </w:pPr>
      <w:r w:rsidRPr="003B3C07">
        <w:rPr>
          <w:rFonts w:hint="eastAsia"/>
          <w:b/>
          <w:sz w:val="24"/>
        </w:rPr>
        <w:t>三、利</w:t>
      </w:r>
      <w:r>
        <w:rPr>
          <w:rFonts w:hint="eastAsia"/>
          <w:b/>
          <w:sz w:val="24"/>
        </w:rPr>
        <w:t>用“选学”培养学生科学素质</w:t>
      </w:r>
      <w:r w:rsidRPr="003B3C07">
        <w:rPr>
          <w:rFonts w:hint="eastAsia"/>
          <w:b/>
          <w:sz w:val="24"/>
        </w:rPr>
        <w:t>的一些具体做法</w:t>
      </w:r>
    </w:p>
    <w:p w:rsidR="0038559B" w:rsidRDefault="0038559B" w:rsidP="0038559B">
      <w:pPr>
        <w:spacing w:line="360" w:lineRule="auto"/>
        <w:ind w:firstLine="435"/>
        <w:rPr>
          <w:szCs w:val="21"/>
        </w:rPr>
      </w:pPr>
      <w:r>
        <w:rPr>
          <w:rFonts w:hint="eastAsia"/>
          <w:szCs w:val="21"/>
        </w:rPr>
        <w:t>1</w:t>
      </w:r>
      <w:r>
        <w:rPr>
          <w:rFonts w:hint="eastAsia"/>
          <w:szCs w:val="21"/>
        </w:rPr>
        <w:t>、根据教学内在需要，确定“选学”目标</w:t>
      </w:r>
    </w:p>
    <w:p w:rsidR="0038559B" w:rsidRDefault="0038559B" w:rsidP="0038559B">
      <w:pPr>
        <w:spacing w:line="360" w:lineRule="auto"/>
        <w:ind w:firstLine="435"/>
        <w:rPr>
          <w:szCs w:val="21"/>
        </w:rPr>
      </w:pPr>
      <w:r>
        <w:rPr>
          <w:rFonts w:hint="eastAsia"/>
          <w:szCs w:val="21"/>
        </w:rPr>
        <w:lastRenderedPageBreak/>
        <w:t>根据教材大纲“在教学中要处理好知识、技能与能力的关系”的指导思想，在制定“选学”教学目标时，将目标落实在学生整体素质特别是科学素质提高的核心上，教学实施过程中要突出一个“选”字，确定清晰合理、操作性强的学习目标，使“必学”中的双基掌握、能力增减等具体目标在“选学”知识领域中得到充实、拓展和深化。如指导选学内容“氧化还原”时，笔者把指导目标确定在对立统一的科学辨证点上，以必学中的内容“碳还原氧化铜”反应实例，教学生从反应物到生成物中找出物质本质变化的直观现象，从碳变二氧化碳得氧发生氧化反应、氧化铜失氧发生还原反应的对立分析中明确氧化还原在化学反应中是同时发生的两个相反过程，在这一基础上笔者又进一步拓展到一氧化碳还原氧化铜的反应实例，以此充实氧化还原反应的概念中对立统一的内涵，并强调在所有化学反应中，只要有“氧化”就必然有“还原”，两者不可分割。又如在指导选学内容“人们怎么知道金刚石的组成？”这一内容，把目标确定在提高学生想象力的基点上，通过选学内容提供的放大镜聚光后照在金刚石上的实验事实，结合必学中碳及其化合物的相互转化规律，让学生思考“是否含碳物质的结构都可用此方法进行证实？”显然，抓住了从现象到本质的联系，选学与必学目标就能达到一致，而选学目标的确定又可以使学生在掌握必学的双基时得到更本质和深刻的理解。</w:t>
      </w:r>
    </w:p>
    <w:p w:rsidR="0038559B" w:rsidRDefault="0038559B" w:rsidP="0038559B">
      <w:pPr>
        <w:spacing w:line="360" w:lineRule="auto"/>
        <w:ind w:firstLine="435"/>
        <w:rPr>
          <w:szCs w:val="21"/>
        </w:rPr>
      </w:pPr>
      <w:r>
        <w:rPr>
          <w:rFonts w:hint="eastAsia"/>
          <w:szCs w:val="21"/>
        </w:rPr>
        <w:t>2</w:t>
      </w:r>
      <w:r>
        <w:rPr>
          <w:rFonts w:hint="eastAsia"/>
          <w:szCs w:val="21"/>
        </w:rPr>
        <w:t>、紧密联系实际，学好“选学”内容</w:t>
      </w:r>
    </w:p>
    <w:p w:rsidR="0038559B" w:rsidRDefault="0038559B" w:rsidP="0038559B">
      <w:pPr>
        <w:spacing w:line="360" w:lineRule="auto"/>
        <w:ind w:firstLine="435"/>
        <w:rPr>
          <w:szCs w:val="21"/>
        </w:rPr>
      </w:pPr>
      <w:r>
        <w:rPr>
          <w:rFonts w:hint="eastAsia"/>
          <w:szCs w:val="21"/>
        </w:rPr>
        <w:t>“选学”要配合“必学”，就得充分发挥其内容特点，让学生科学素质能够从更广阔的知识领域里得到发展。实施中一个很重要的一个环节，便是将“选学”与“必学”中相关的学科知识、社会生活、科技信息的实际联系起来，结合学生感兴趣的日常生活事例，巧妙结合“选学”的化学问题，营造一个激趣求知的良好学习氛围，使学生在知识的储备和主动思考创新的科学意识上有个质的飞跃。如“黑火药”的选学内容讲解中联系我国四大发明，可增强学生民族自尊心和自信心，对科学发展史有个大致了解；“生物细胞中的元素”联系生物学中动植物细胞的概况；“稀有气体的用途”、“肥皂和常用洗涤剂”联系我国石油工业的发展，列举石油综合利用在强国富民的现实生活中所起的重大贡献的事例，提高对科学兴国的认识。“臭氧”和“温室效应”则联系当前环境污染现状，让学生采集不同区域的雨水和土壤进行</w:t>
      </w:r>
      <w:r>
        <w:rPr>
          <w:rFonts w:hint="eastAsia"/>
          <w:szCs w:val="21"/>
        </w:rPr>
        <w:t>PH</w:t>
      </w:r>
      <w:r>
        <w:rPr>
          <w:rFonts w:hint="eastAsia"/>
          <w:szCs w:val="21"/>
        </w:rPr>
        <w:t>值的测定，在实践中体会大气污染的严重程度，从中提高学生爱护环境的思想认识。与此同时借机向学生介绍我买过解决“白色污染”的措施以及有关的新科技产品：以木薯淀粉为原料的“全生物快餐盒”、“无磷洗衣粉”等，让学生透过这些科技信息，懂得解决环境污染问题的手段在很大程度上要依靠高科技的化学手段，因此学好化学有利于自己将来在未来社会发展中施展拳脚。笔者认为在教学中能够将“选学”联系实际配合好“必学”，同时又给学生积极创造实践的环境，对学生科学素质的培养就必然能起到很大的促进作用。</w:t>
      </w:r>
      <w:r>
        <w:rPr>
          <w:rFonts w:hint="eastAsia"/>
          <w:szCs w:val="21"/>
        </w:rPr>
        <w:lastRenderedPageBreak/>
        <w:t>学生经过实践的锻炼，对“必学”知识会理解得更加全面，更加深刻，并更容易将其转化成能力。</w:t>
      </w:r>
    </w:p>
    <w:p w:rsidR="0038559B" w:rsidRDefault="0038559B" w:rsidP="0038559B">
      <w:pPr>
        <w:spacing w:line="360" w:lineRule="auto"/>
        <w:ind w:firstLine="435"/>
        <w:rPr>
          <w:szCs w:val="21"/>
        </w:rPr>
      </w:pPr>
      <w:r>
        <w:rPr>
          <w:rFonts w:hint="eastAsia"/>
          <w:szCs w:val="21"/>
        </w:rPr>
        <w:t>综上所述，不难看出，明确“选学”的指导目标，联系实践将其与“必学”两者有机地结合起来，无疑是提升学生科学素质，培养探索科学创新精神与科学学习态度的一条有效的途径。因此，广大教育工作者必须切实重视“选学”内容在“必学”知识中的“催化”作用，用好“选学”，上好“选学”，</w:t>
      </w:r>
      <w:r>
        <w:rPr>
          <w:rFonts w:hint="eastAsia"/>
          <w:szCs w:val="21"/>
        </w:rPr>
        <w:t xml:space="preserve"> </w:t>
      </w:r>
      <w:r>
        <w:rPr>
          <w:rFonts w:hint="eastAsia"/>
          <w:szCs w:val="21"/>
        </w:rPr>
        <w:t>为培养新一代高素质的化学人才而努力。</w:t>
      </w:r>
    </w:p>
    <w:p w:rsidR="0038559B" w:rsidRDefault="0038559B" w:rsidP="0038559B">
      <w:pPr>
        <w:spacing w:line="360" w:lineRule="auto"/>
        <w:rPr>
          <w:b/>
          <w:sz w:val="24"/>
        </w:rPr>
      </w:pPr>
    </w:p>
    <w:p w:rsidR="0038559B" w:rsidRPr="00A76464" w:rsidRDefault="0038559B" w:rsidP="0038559B">
      <w:pPr>
        <w:spacing w:line="360" w:lineRule="auto"/>
        <w:rPr>
          <w:b/>
          <w:sz w:val="24"/>
        </w:rPr>
      </w:pPr>
      <w:r w:rsidRPr="00A76464">
        <w:rPr>
          <w:rFonts w:hint="eastAsia"/>
          <w:b/>
          <w:sz w:val="24"/>
        </w:rPr>
        <w:t>【参考文献】</w:t>
      </w:r>
    </w:p>
    <w:p w:rsidR="0038559B" w:rsidRDefault="0038559B" w:rsidP="0038559B">
      <w:pPr>
        <w:numPr>
          <w:ilvl w:val="0"/>
          <w:numId w:val="2"/>
        </w:numPr>
        <w:spacing w:line="360" w:lineRule="auto"/>
        <w:rPr>
          <w:szCs w:val="21"/>
        </w:rPr>
      </w:pPr>
      <w:r>
        <w:rPr>
          <w:rFonts w:hint="eastAsia"/>
          <w:szCs w:val="21"/>
        </w:rPr>
        <w:t>刘知新主编</w:t>
      </w:r>
      <w:r>
        <w:rPr>
          <w:rFonts w:hint="eastAsia"/>
          <w:szCs w:val="21"/>
        </w:rPr>
        <w:t>.</w:t>
      </w:r>
      <w:r>
        <w:rPr>
          <w:rFonts w:hint="eastAsia"/>
          <w:szCs w:val="21"/>
        </w:rPr>
        <w:t>吴俊明、王祖浩著</w:t>
      </w:r>
      <w:r>
        <w:rPr>
          <w:rFonts w:hint="eastAsia"/>
          <w:szCs w:val="21"/>
        </w:rPr>
        <w:t>.</w:t>
      </w:r>
      <w:r>
        <w:rPr>
          <w:rFonts w:hint="eastAsia"/>
          <w:szCs w:val="21"/>
        </w:rPr>
        <w:t>《化学学习论》</w:t>
      </w:r>
      <w:r>
        <w:rPr>
          <w:rFonts w:hint="eastAsia"/>
          <w:szCs w:val="21"/>
        </w:rPr>
        <w:t xml:space="preserve"> </w:t>
      </w:r>
      <w:r>
        <w:rPr>
          <w:rFonts w:hint="eastAsia"/>
          <w:szCs w:val="21"/>
        </w:rPr>
        <w:t>广西教育出版社</w:t>
      </w:r>
      <w:r>
        <w:rPr>
          <w:rFonts w:hint="eastAsia"/>
          <w:szCs w:val="21"/>
        </w:rPr>
        <w:t>.2006</w:t>
      </w:r>
      <w:r>
        <w:rPr>
          <w:rFonts w:hint="eastAsia"/>
          <w:szCs w:val="21"/>
        </w:rPr>
        <w:t>第</w:t>
      </w:r>
      <w:r>
        <w:rPr>
          <w:rFonts w:hint="eastAsia"/>
          <w:szCs w:val="21"/>
        </w:rPr>
        <w:t>6</w:t>
      </w:r>
      <w:r>
        <w:rPr>
          <w:rFonts w:hint="eastAsia"/>
          <w:szCs w:val="21"/>
        </w:rPr>
        <w:t>版</w:t>
      </w:r>
    </w:p>
    <w:p w:rsidR="0038559B" w:rsidRDefault="0038559B" w:rsidP="0038559B">
      <w:pPr>
        <w:numPr>
          <w:ilvl w:val="0"/>
          <w:numId w:val="2"/>
        </w:numPr>
        <w:spacing w:line="360" w:lineRule="auto"/>
        <w:rPr>
          <w:szCs w:val="21"/>
        </w:rPr>
      </w:pPr>
      <w:r>
        <w:rPr>
          <w:rFonts w:hint="eastAsia"/>
          <w:szCs w:val="21"/>
        </w:rPr>
        <w:t>刘知新主编</w:t>
      </w:r>
      <w:r>
        <w:rPr>
          <w:rFonts w:hint="eastAsia"/>
          <w:szCs w:val="21"/>
        </w:rPr>
        <w:t>.</w:t>
      </w:r>
      <w:r>
        <w:rPr>
          <w:rFonts w:hint="eastAsia"/>
          <w:szCs w:val="21"/>
        </w:rPr>
        <w:t>刘知新、王祖浩著</w:t>
      </w:r>
      <w:r>
        <w:rPr>
          <w:rFonts w:hint="eastAsia"/>
          <w:szCs w:val="21"/>
        </w:rPr>
        <w:t>.</w:t>
      </w:r>
      <w:r>
        <w:rPr>
          <w:rFonts w:hint="eastAsia"/>
          <w:szCs w:val="21"/>
        </w:rPr>
        <w:t>《化学教育系统论》</w:t>
      </w:r>
      <w:r>
        <w:rPr>
          <w:rFonts w:hint="eastAsia"/>
          <w:szCs w:val="21"/>
        </w:rPr>
        <w:t xml:space="preserve"> </w:t>
      </w:r>
      <w:r>
        <w:rPr>
          <w:rFonts w:hint="eastAsia"/>
          <w:szCs w:val="21"/>
        </w:rPr>
        <w:t>广西教育出版社</w:t>
      </w:r>
      <w:r>
        <w:rPr>
          <w:rFonts w:hint="eastAsia"/>
          <w:szCs w:val="21"/>
        </w:rPr>
        <w:t>.2008</w:t>
      </w:r>
      <w:r>
        <w:rPr>
          <w:rFonts w:hint="eastAsia"/>
          <w:szCs w:val="21"/>
        </w:rPr>
        <w:t>年第</w:t>
      </w:r>
      <w:r>
        <w:rPr>
          <w:rFonts w:hint="eastAsia"/>
          <w:szCs w:val="21"/>
        </w:rPr>
        <w:t>9</w:t>
      </w:r>
      <w:r>
        <w:rPr>
          <w:rFonts w:hint="eastAsia"/>
          <w:szCs w:val="21"/>
        </w:rPr>
        <w:t>版</w:t>
      </w:r>
    </w:p>
    <w:p w:rsidR="0038559B" w:rsidRDefault="0038559B" w:rsidP="0038559B">
      <w:pPr>
        <w:numPr>
          <w:ilvl w:val="0"/>
          <w:numId w:val="2"/>
        </w:numPr>
        <w:spacing w:line="360" w:lineRule="auto"/>
        <w:rPr>
          <w:szCs w:val="21"/>
        </w:rPr>
      </w:pPr>
      <w:r>
        <w:rPr>
          <w:rFonts w:hint="eastAsia"/>
          <w:szCs w:val="21"/>
        </w:rPr>
        <w:t>教师教学用书，《义务教育初中化学》人民教育出版社</w:t>
      </w:r>
    </w:p>
    <w:p w:rsidR="0038559B" w:rsidRPr="0042686E" w:rsidRDefault="0038559B" w:rsidP="0038559B">
      <w:pPr>
        <w:numPr>
          <w:ilvl w:val="0"/>
          <w:numId w:val="2"/>
        </w:numPr>
        <w:spacing w:line="360" w:lineRule="auto"/>
        <w:rPr>
          <w:szCs w:val="21"/>
        </w:rPr>
      </w:pPr>
      <w:r>
        <w:rPr>
          <w:rFonts w:hint="eastAsia"/>
          <w:szCs w:val="21"/>
        </w:rPr>
        <w:t>刘知新主编</w:t>
      </w:r>
      <w:r>
        <w:rPr>
          <w:rFonts w:hint="eastAsia"/>
          <w:szCs w:val="21"/>
        </w:rPr>
        <w:t>.</w:t>
      </w:r>
      <w:r>
        <w:rPr>
          <w:rFonts w:hint="eastAsia"/>
          <w:szCs w:val="21"/>
        </w:rPr>
        <w:t>《化学教学论》高等教育出版社</w:t>
      </w:r>
      <w:r>
        <w:rPr>
          <w:rFonts w:hint="eastAsia"/>
          <w:szCs w:val="21"/>
        </w:rPr>
        <w:t>.2010</w:t>
      </w:r>
      <w:r>
        <w:rPr>
          <w:rFonts w:hint="eastAsia"/>
          <w:szCs w:val="21"/>
        </w:rPr>
        <w:t>年版</w:t>
      </w:r>
    </w:p>
    <w:p w:rsidR="0038559B" w:rsidRDefault="0038559B">
      <w:pPr>
        <w:rPr>
          <w:sz w:val="30"/>
          <w:szCs w:val="30"/>
        </w:rPr>
      </w:pPr>
    </w:p>
    <w:p w:rsidR="000B1DEC" w:rsidRDefault="000B1DEC">
      <w:pPr>
        <w:rPr>
          <w:sz w:val="30"/>
          <w:szCs w:val="30"/>
        </w:rPr>
      </w:pPr>
    </w:p>
    <w:p w:rsidR="000B1DEC" w:rsidRDefault="000B1DEC">
      <w:pPr>
        <w:rPr>
          <w:sz w:val="30"/>
          <w:szCs w:val="30"/>
        </w:rPr>
      </w:pPr>
    </w:p>
    <w:p w:rsidR="000B1DEC" w:rsidRDefault="000B1DEC">
      <w:pPr>
        <w:rPr>
          <w:sz w:val="30"/>
          <w:szCs w:val="30"/>
        </w:rPr>
      </w:pPr>
    </w:p>
    <w:p w:rsidR="000B1DEC" w:rsidRDefault="000B1DEC">
      <w:pPr>
        <w:rPr>
          <w:sz w:val="30"/>
          <w:szCs w:val="30"/>
        </w:rPr>
      </w:pPr>
    </w:p>
    <w:p w:rsidR="000B1DEC" w:rsidRDefault="000B1DEC">
      <w:pPr>
        <w:rPr>
          <w:sz w:val="30"/>
          <w:szCs w:val="30"/>
        </w:rPr>
      </w:pPr>
    </w:p>
    <w:p w:rsidR="000B1DEC" w:rsidRDefault="000B1DEC">
      <w:pPr>
        <w:rPr>
          <w:sz w:val="30"/>
          <w:szCs w:val="30"/>
        </w:rPr>
      </w:pPr>
    </w:p>
    <w:p w:rsidR="000B1DEC" w:rsidRDefault="000B1DEC">
      <w:pPr>
        <w:rPr>
          <w:sz w:val="30"/>
          <w:szCs w:val="30"/>
        </w:rPr>
      </w:pPr>
    </w:p>
    <w:p w:rsidR="000B1DEC" w:rsidRDefault="000B1DEC">
      <w:pPr>
        <w:rPr>
          <w:sz w:val="30"/>
          <w:szCs w:val="30"/>
        </w:rPr>
      </w:pPr>
    </w:p>
    <w:p w:rsidR="000B1DEC" w:rsidRDefault="000B1DEC">
      <w:pPr>
        <w:rPr>
          <w:sz w:val="30"/>
          <w:szCs w:val="30"/>
        </w:rPr>
      </w:pPr>
    </w:p>
    <w:p w:rsidR="000B1DEC" w:rsidRDefault="000B1DEC">
      <w:pPr>
        <w:rPr>
          <w:sz w:val="30"/>
          <w:szCs w:val="30"/>
        </w:rPr>
      </w:pPr>
    </w:p>
    <w:p w:rsidR="000B1DEC" w:rsidRDefault="000B1DEC">
      <w:pPr>
        <w:rPr>
          <w:sz w:val="30"/>
          <w:szCs w:val="30"/>
        </w:rPr>
      </w:pPr>
    </w:p>
    <w:p w:rsidR="000B1DEC" w:rsidRDefault="00B01FFE">
      <w:pPr>
        <w:rPr>
          <w:sz w:val="30"/>
          <w:szCs w:val="30"/>
        </w:rPr>
      </w:pPr>
      <w:r>
        <w:rPr>
          <w:rFonts w:hint="eastAsia"/>
          <w:sz w:val="30"/>
          <w:szCs w:val="30"/>
        </w:rPr>
        <w:lastRenderedPageBreak/>
        <w:t>3.</w:t>
      </w:r>
      <w:r w:rsidR="000B1DEC">
        <w:rPr>
          <w:rFonts w:hint="eastAsia"/>
          <w:sz w:val="30"/>
          <w:szCs w:val="30"/>
        </w:rPr>
        <w:t>未删改前的论文如下：</w:t>
      </w:r>
    </w:p>
    <w:p w:rsidR="000B1DEC" w:rsidRPr="0038559B" w:rsidRDefault="000B1DEC">
      <w:pPr>
        <w:rPr>
          <w:sz w:val="30"/>
          <w:szCs w:val="30"/>
        </w:rPr>
      </w:pPr>
    </w:p>
    <w:sectPr w:rsidR="000B1DEC" w:rsidRPr="0038559B" w:rsidSect="004E300E">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573B" w:rsidRDefault="0073573B" w:rsidP="00B36CD2">
      <w:r>
        <w:separator/>
      </w:r>
    </w:p>
  </w:endnote>
  <w:endnote w:type="continuationSeparator" w:id="1">
    <w:p w:rsidR="0073573B" w:rsidRDefault="0073573B" w:rsidP="00B36CD2">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CD2" w:rsidRDefault="00CC0158">
    <w:pPr>
      <w:pStyle w:val="a6"/>
      <w:framePr w:wrap="around" w:vAnchor="text" w:hAnchor="margin" w:xAlign="center" w:y="1"/>
      <w:rPr>
        <w:rStyle w:val="a7"/>
      </w:rPr>
    </w:pPr>
    <w:r>
      <w:fldChar w:fldCharType="begin"/>
    </w:r>
    <w:r w:rsidR="00B36CD2">
      <w:rPr>
        <w:rStyle w:val="a7"/>
      </w:rPr>
      <w:instrText xml:space="preserve">PAGE  </w:instrText>
    </w:r>
    <w:r>
      <w:fldChar w:fldCharType="end"/>
    </w:r>
  </w:p>
  <w:p w:rsidR="00B36CD2" w:rsidRDefault="00B36CD2">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CD2" w:rsidRDefault="00B36CD2">
    <w:pPr>
      <w:pStyle w:val="a6"/>
      <w:framePr w:wrap="around" w:vAnchor="text" w:hAnchor="margin" w:xAlign="center" w:y="1"/>
      <w:rPr>
        <w:rStyle w:val="a7"/>
      </w:rPr>
    </w:pPr>
  </w:p>
  <w:p w:rsidR="00B36CD2" w:rsidRDefault="00B36CD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573B" w:rsidRDefault="0073573B" w:rsidP="00B36CD2">
      <w:r>
        <w:separator/>
      </w:r>
    </w:p>
  </w:footnote>
  <w:footnote w:type="continuationSeparator" w:id="1">
    <w:p w:rsidR="0073573B" w:rsidRDefault="0073573B" w:rsidP="00B36C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0E72DB"/>
    <w:multiLevelType w:val="hybridMultilevel"/>
    <w:tmpl w:val="4DE6D160"/>
    <w:lvl w:ilvl="0" w:tplc="23B2B10A">
      <w:start w:val="1"/>
      <w:numFmt w:val="decimal"/>
      <w:lvlText w:val="%1."/>
      <w:lvlJc w:val="left"/>
      <w:pPr>
        <w:ind w:left="360" w:hanging="360"/>
      </w:pPr>
      <w:rPr>
        <w:rFonts w:asciiTheme="minorEastAsia" w:hAnsiTheme="minorEastAsia" w:hint="default"/>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72122D6"/>
    <w:multiLevelType w:val="hybridMultilevel"/>
    <w:tmpl w:val="1778D388"/>
    <w:lvl w:ilvl="0" w:tplc="070A6AA0">
      <w:start w:val="1"/>
      <w:numFmt w:val="japaneseCounting"/>
      <w:lvlText w:val="%1、"/>
      <w:lvlJc w:val="left"/>
      <w:pPr>
        <w:tabs>
          <w:tab w:val="num" w:pos="945"/>
        </w:tabs>
        <w:ind w:left="945" w:hanging="420"/>
      </w:pPr>
      <w:rPr>
        <w:rFonts w:hint="default"/>
      </w:rPr>
    </w:lvl>
    <w:lvl w:ilvl="1" w:tplc="04090019" w:tentative="1">
      <w:start w:val="1"/>
      <w:numFmt w:val="lowerLetter"/>
      <w:lvlText w:val="%2)"/>
      <w:lvlJc w:val="left"/>
      <w:pPr>
        <w:tabs>
          <w:tab w:val="num" w:pos="1365"/>
        </w:tabs>
        <w:ind w:left="1365" w:hanging="420"/>
      </w:pPr>
    </w:lvl>
    <w:lvl w:ilvl="2" w:tplc="0409001B" w:tentative="1">
      <w:start w:val="1"/>
      <w:numFmt w:val="lowerRoman"/>
      <w:lvlText w:val="%3."/>
      <w:lvlJc w:val="right"/>
      <w:pPr>
        <w:tabs>
          <w:tab w:val="num" w:pos="1785"/>
        </w:tabs>
        <w:ind w:left="1785" w:hanging="420"/>
      </w:pPr>
    </w:lvl>
    <w:lvl w:ilvl="3" w:tplc="0409000F" w:tentative="1">
      <w:start w:val="1"/>
      <w:numFmt w:val="decimal"/>
      <w:lvlText w:val="%4."/>
      <w:lvlJc w:val="left"/>
      <w:pPr>
        <w:tabs>
          <w:tab w:val="num" w:pos="2205"/>
        </w:tabs>
        <w:ind w:left="2205" w:hanging="420"/>
      </w:pPr>
    </w:lvl>
    <w:lvl w:ilvl="4" w:tplc="04090019" w:tentative="1">
      <w:start w:val="1"/>
      <w:numFmt w:val="lowerLetter"/>
      <w:lvlText w:val="%5)"/>
      <w:lvlJc w:val="left"/>
      <w:pPr>
        <w:tabs>
          <w:tab w:val="num" w:pos="2625"/>
        </w:tabs>
        <w:ind w:left="2625" w:hanging="420"/>
      </w:pPr>
    </w:lvl>
    <w:lvl w:ilvl="5" w:tplc="0409001B" w:tentative="1">
      <w:start w:val="1"/>
      <w:numFmt w:val="lowerRoman"/>
      <w:lvlText w:val="%6."/>
      <w:lvlJc w:val="right"/>
      <w:pPr>
        <w:tabs>
          <w:tab w:val="num" w:pos="3045"/>
        </w:tabs>
        <w:ind w:left="3045" w:hanging="420"/>
      </w:pPr>
    </w:lvl>
    <w:lvl w:ilvl="6" w:tplc="0409000F" w:tentative="1">
      <w:start w:val="1"/>
      <w:numFmt w:val="decimal"/>
      <w:lvlText w:val="%7."/>
      <w:lvlJc w:val="left"/>
      <w:pPr>
        <w:tabs>
          <w:tab w:val="num" w:pos="3465"/>
        </w:tabs>
        <w:ind w:left="3465" w:hanging="420"/>
      </w:pPr>
    </w:lvl>
    <w:lvl w:ilvl="7" w:tplc="04090019" w:tentative="1">
      <w:start w:val="1"/>
      <w:numFmt w:val="lowerLetter"/>
      <w:lvlText w:val="%8)"/>
      <w:lvlJc w:val="left"/>
      <w:pPr>
        <w:tabs>
          <w:tab w:val="num" w:pos="3885"/>
        </w:tabs>
        <w:ind w:left="3885" w:hanging="420"/>
      </w:pPr>
    </w:lvl>
    <w:lvl w:ilvl="8" w:tplc="0409001B" w:tentative="1">
      <w:start w:val="1"/>
      <w:numFmt w:val="lowerRoman"/>
      <w:lvlText w:val="%9."/>
      <w:lvlJc w:val="right"/>
      <w:pPr>
        <w:tabs>
          <w:tab w:val="num" w:pos="4305"/>
        </w:tabs>
        <w:ind w:left="4305" w:hanging="420"/>
      </w:pPr>
    </w:lvl>
  </w:abstractNum>
  <w:abstractNum w:abstractNumId="2">
    <w:nsid w:val="63E46888"/>
    <w:multiLevelType w:val="hybridMultilevel"/>
    <w:tmpl w:val="FD48477E"/>
    <w:lvl w:ilvl="0" w:tplc="9830D25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2FF5"/>
    <w:rsid w:val="00045E2F"/>
    <w:rsid w:val="0005588C"/>
    <w:rsid w:val="000A2FF5"/>
    <w:rsid w:val="000B1DEC"/>
    <w:rsid w:val="0038559B"/>
    <w:rsid w:val="0044581D"/>
    <w:rsid w:val="004E300E"/>
    <w:rsid w:val="0054546F"/>
    <w:rsid w:val="0059046B"/>
    <w:rsid w:val="0073573B"/>
    <w:rsid w:val="0084468F"/>
    <w:rsid w:val="00A512DA"/>
    <w:rsid w:val="00A53854"/>
    <w:rsid w:val="00B01FFE"/>
    <w:rsid w:val="00B36CD2"/>
    <w:rsid w:val="00B51755"/>
    <w:rsid w:val="00CB3DFA"/>
    <w:rsid w:val="00CC0158"/>
    <w:rsid w:val="00F537B6"/>
    <w:rsid w:val="00F669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00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9046B"/>
    <w:rPr>
      <w:sz w:val="18"/>
      <w:szCs w:val="18"/>
    </w:rPr>
  </w:style>
  <w:style w:type="character" w:customStyle="1" w:styleId="Char">
    <w:name w:val="批注框文本 Char"/>
    <w:basedOn w:val="a0"/>
    <w:link w:val="a3"/>
    <w:uiPriority w:val="99"/>
    <w:semiHidden/>
    <w:rsid w:val="0059046B"/>
    <w:rPr>
      <w:sz w:val="18"/>
      <w:szCs w:val="18"/>
    </w:rPr>
  </w:style>
  <w:style w:type="paragraph" w:styleId="a4">
    <w:name w:val="List Paragraph"/>
    <w:basedOn w:val="a"/>
    <w:uiPriority w:val="34"/>
    <w:qFormat/>
    <w:rsid w:val="0044581D"/>
    <w:pPr>
      <w:ind w:firstLineChars="200" w:firstLine="420"/>
    </w:pPr>
  </w:style>
  <w:style w:type="paragraph" w:styleId="a5">
    <w:name w:val="header"/>
    <w:basedOn w:val="a"/>
    <w:link w:val="Char0"/>
    <w:uiPriority w:val="99"/>
    <w:semiHidden/>
    <w:unhideWhenUsed/>
    <w:rsid w:val="00B36CD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B36CD2"/>
    <w:rPr>
      <w:sz w:val="18"/>
      <w:szCs w:val="18"/>
    </w:rPr>
  </w:style>
  <w:style w:type="paragraph" w:styleId="a6">
    <w:name w:val="footer"/>
    <w:basedOn w:val="a"/>
    <w:link w:val="Char1"/>
    <w:uiPriority w:val="99"/>
    <w:unhideWhenUsed/>
    <w:rsid w:val="00B36CD2"/>
    <w:pPr>
      <w:tabs>
        <w:tab w:val="center" w:pos="4153"/>
        <w:tab w:val="right" w:pos="8306"/>
      </w:tabs>
      <w:snapToGrid w:val="0"/>
      <w:jc w:val="left"/>
    </w:pPr>
    <w:rPr>
      <w:sz w:val="18"/>
      <w:szCs w:val="18"/>
    </w:rPr>
  </w:style>
  <w:style w:type="character" w:customStyle="1" w:styleId="Char1">
    <w:name w:val="页脚 Char"/>
    <w:basedOn w:val="a0"/>
    <w:link w:val="a6"/>
    <w:uiPriority w:val="99"/>
    <w:rsid w:val="00B36CD2"/>
    <w:rPr>
      <w:sz w:val="18"/>
      <w:szCs w:val="18"/>
    </w:rPr>
  </w:style>
  <w:style w:type="character" w:styleId="a7">
    <w:name w:val="page number"/>
    <w:rsid w:val="00B36C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9046B"/>
    <w:rPr>
      <w:sz w:val="18"/>
      <w:szCs w:val="18"/>
    </w:rPr>
  </w:style>
  <w:style w:type="character" w:customStyle="1" w:styleId="Char">
    <w:name w:val="批注框文本 Char"/>
    <w:basedOn w:val="a0"/>
    <w:link w:val="a3"/>
    <w:uiPriority w:val="99"/>
    <w:semiHidden/>
    <w:rsid w:val="0059046B"/>
    <w:rPr>
      <w:sz w:val="18"/>
      <w:szCs w:val="18"/>
    </w:rPr>
  </w:style>
  <w:style w:type="paragraph" w:styleId="a4">
    <w:name w:val="List Paragraph"/>
    <w:basedOn w:val="a"/>
    <w:uiPriority w:val="34"/>
    <w:qFormat/>
    <w:rsid w:val="0044581D"/>
    <w:pPr>
      <w:ind w:firstLineChars="200" w:firstLine="420"/>
    </w:pPr>
  </w:style>
</w:styles>
</file>

<file path=word/webSettings.xml><?xml version="1.0" encoding="utf-8"?>
<w:webSettings xmlns:r="http://schemas.openxmlformats.org/officeDocument/2006/relationships" xmlns:w="http://schemas.openxmlformats.org/wordprocessingml/2006/main">
  <w:divs>
    <w:div w:id="1595358331">
      <w:bodyDiv w:val="1"/>
      <w:marLeft w:val="0"/>
      <w:marRight w:val="0"/>
      <w:marTop w:val="0"/>
      <w:marBottom w:val="0"/>
      <w:divBdr>
        <w:top w:val="none" w:sz="0" w:space="0" w:color="auto"/>
        <w:left w:val="none" w:sz="0" w:space="0" w:color="auto"/>
        <w:bottom w:val="none" w:sz="0" w:space="0" w:color="auto"/>
        <w:right w:val="none" w:sz="0" w:space="0" w:color="auto"/>
      </w:divBdr>
      <w:divsChild>
        <w:div w:id="1841385930">
          <w:marLeft w:val="0"/>
          <w:marRight w:val="0"/>
          <w:marTop w:val="0"/>
          <w:marBottom w:val="0"/>
          <w:divBdr>
            <w:top w:val="none" w:sz="0" w:space="0" w:color="auto"/>
            <w:left w:val="none" w:sz="0" w:space="0" w:color="auto"/>
            <w:bottom w:val="none" w:sz="0" w:space="0" w:color="auto"/>
            <w:right w:val="none" w:sz="0" w:space="0" w:color="auto"/>
          </w:divBdr>
        </w:div>
      </w:divsChild>
    </w:div>
    <w:div w:id="1769230217">
      <w:bodyDiv w:val="1"/>
      <w:marLeft w:val="0"/>
      <w:marRight w:val="0"/>
      <w:marTop w:val="0"/>
      <w:marBottom w:val="0"/>
      <w:divBdr>
        <w:top w:val="none" w:sz="0" w:space="0" w:color="auto"/>
        <w:left w:val="none" w:sz="0" w:space="0" w:color="auto"/>
        <w:bottom w:val="none" w:sz="0" w:space="0" w:color="auto"/>
        <w:right w:val="none" w:sz="0" w:space="0" w:color="auto"/>
      </w:divBdr>
      <w:divsChild>
        <w:div w:id="7788335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10</Pages>
  <Words>733</Words>
  <Characters>4180</Characters>
  <Application>Microsoft Office Word</Application>
  <DocSecurity>0</DocSecurity>
  <Lines>34</Lines>
  <Paragraphs>9</Paragraphs>
  <ScaleCrop>false</ScaleCrop>
  <Company/>
  <LinksUpToDate>false</LinksUpToDate>
  <CharactersWithSpaces>4904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蔡瑞虹</dc:creator>
  <cp:keywords/>
  <dc:description/>
  <cp:lastModifiedBy>user</cp:lastModifiedBy>
  <cp:revision>11</cp:revision>
  <dcterms:created xsi:type="dcterms:W3CDTF">2016-07-06T08:19:00Z</dcterms:created>
  <dcterms:modified xsi:type="dcterms:W3CDTF">2022-06-13T11:22:00Z</dcterms:modified>
</cp:coreProperties>
</file>