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  <w:t xml:space="preserve">广东省人力资源和社会保障厅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  <w:t>国家税务总局广东省税务局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  <w:t>关于统一全省城乡居民养老保险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 w:bidi="ar-SA"/>
        </w:rPr>
        <w:t>缴费方式的通知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粤人社规〔2023〕10号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各地级以上市人民政府：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根据国家关于城乡居民基本养老保险费收缴有关工作要求，经省人民政府同意，自2023年1月1日起，我省城乡居民基本养老保险缴费方式统一为按年缴费。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各市原实行按季度、按月缴费的，应统一为按年缴费，原按季度、按月的缴费档次标准换算成按年的缴费档次标准，并适时完成相关法规和文件的修订或废止工作。此前有关规定与本通知不一致的，按本通知执行。实施过程中遇到问题，请径向省人力资源社会保障厅、国家税务总局广东省税务局反映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> 广东省人力资源和社会保障厅    国家税务总局广东省税务局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                            2023年6月8日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line="540" w:lineRule="exact"/>
        <w:ind w:right="0" w:rightChars="0"/>
        <w:jc w:val="both"/>
        <w:textAlignment w:val="auto"/>
        <w:outlineLvl w:val="9"/>
        <w:rPr>
          <w:rFonts w:hint="eastAsia"/>
        </w:rPr>
      </w:pPr>
      <w:r>
        <w:rPr>
          <w:rFonts w:hint="default" w:ascii="Times New Roman" w:hAnsi="Times New Roman" w:eastAsia="黑体" w:cs="Times New Roman"/>
          <w:b w:val="0"/>
          <w:spacing w:val="0"/>
          <w:kern w:val="2"/>
          <w:sz w:val="32"/>
          <w:szCs w:val="32"/>
          <w:lang w:val="en-US" w:eastAsia="zh-CN" w:bidi="ar-SA"/>
        </w:rPr>
        <w:t>公开方式：主动公开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公文小标宋简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C33CC"/>
    <w:rsid w:val="04DC33CC"/>
    <w:rsid w:val="31823DFF"/>
    <w:rsid w:val="6084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黑体"/>
      <w:sz w:val="24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2023-07-06T02:36:00Z</dcterms:created>
  <dc:creator>dell</dc:creator>
  <cp:lastModifiedBy>何锦秀</cp:lastModifiedBy>
  <dcterms:modified xsi:type="dcterms:W3CDTF">2023-07-06T06:47:35Z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