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rFonts w:ascii="宋体" w:hAnsi="宋体"/>
          <w:color w:val="000000" w:themeColor="text1"/>
          <w:sz w:val="32"/>
          <w:szCs w:val="32"/>
          <w14:textFill>
            <w14:solidFill>
              <w14:schemeClr w14:val="tx1"/>
            </w14:solidFill>
          </w14:textFill>
        </w:rPr>
      </w:pPr>
      <w:bookmarkStart w:id="0" w:name="_Hlk36497313"/>
      <w:bookmarkEnd w:id="0"/>
      <w:r>
        <w:rPr>
          <w:rFonts w:hint="eastAsia" w:ascii="宋体" w:hAnsi="宋体"/>
          <w:color w:val="000000" w:themeColor="text1"/>
          <w:sz w:val="32"/>
          <w:szCs w:val="32"/>
          <w14:textFill>
            <w14:solidFill>
              <w14:schemeClr w14:val="tx1"/>
            </w14:solidFill>
          </w14:textFill>
        </w:rPr>
        <w:t>第</w:t>
      </w:r>
      <w:r>
        <w:rPr>
          <w:rFonts w:ascii="宋体" w:hAnsi="宋体"/>
          <w:color w:val="000000" w:themeColor="text1"/>
          <w:sz w:val="32"/>
          <w:szCs w:val="32"/>
          <w:u w:val="single"/>
          <w14:textFill>
            <w14:solidFill>
              <w14:schemeClr w14:val="tx1"/>
            </w14:solidFill>
          </w14:textFill>
        </w:rPr>
        <w:t xml:space="preserve">  </w:t>
      </w:r>
      <w:r>
        <w:rPr>
          <w:rFonts w:hint="eastAsia" w:ascii="宋体" w:hAnsi="宋体"/>
          <w:color w:val="000000" w:themeColor="text1"/>
          <w:sz w:val="32"/>
          <w:szCs w:val="32"/>
          <w:u w:val="single"/>
          <w:lang w:val="en-US" w:eastAsia="zh-CN"/>
          <w14:textFill>
            <w14:solidFill>
              <w14:schemeClr w14:val="tx1"/>
            </w14:solidFill>
          </w14:textFill>
        </w:rPr>
        <w:t>17</w:t>
      </w:r>
      <w:r>
        <w:rPr>
          <w:rFonts w:ascii="宋体" w:hAnsi="宋体"/>
          <w:color w:val="000000" w:themeColor="text1"/>
          <w:sz w:val="32"/>
          <w:szCs w:val="32"/>
          <w:u w:val="single"/>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号</w:t>
      </w:r>
    </w:p>
    <w:p>
      <w:pPr>
        <w:jc w:val="center"/>
        <w:rPr>
          <w:rFonts w:ascii="小标宋" w:hAnsi="黑体" w:eastAsia="小标宋"/>
          <w:color w:val="000000" w:themeColor="text1"/>
          <w:sz w:val="44"/>
          <w:szCs w:val="44"/>
          <w14:textFill>
            <w14:solidFill>
              <w14:schemeClr w14:val="tx1"/>
            </w14:solidFill>
          </w14:textFill>
        </w:rPr>
      </w:pPr>
      <w:r>
        <w:rPr>
          <w:rFonts w:hint="eastAsia" w:ascii="小标宋" w:hAnsi="黑体" w:eastAsia="小标宋"/>
          <w:color w:val="000000" w:themeColor="text1"/>
          <w:sz w:val="44"/>
          <w:szCs w:val="44"/>
          <w14:textFill>
            <w14:solidFill>
              <w14:schemeClr w14:val="tx1"/>
            </w14:solidFill>
          </w14:textFill>
        </w:rPr>
        <w:t>番禺区政协十四届七次会议提案</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284"/>
        <w:gridCol w:w="1276"/>
        <w:gridCol w:w="99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spacing w:line="680" w:lineRule="exact"/>
              <w:jc w:val="center"/>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题目</w:t>
            </w:r>
          </w:p>
        </w:tc>
        <w:tc>
          <w:tcPr>
            <w:tcW w:w="6571" w:type="dxa"/>
            <w:gridSpan w:val="5"/>
            <w:tcBorders>
              <w:top w:val="single" w:color="auto" w:sz="4" w:space="0"/>
              <w:left w:val="single" w:color="auto" w:sz="4" w:space="0"/>
              <w:bottom w:val="single" w:color="auto" w:sz="4" w:space="0"/>
              <w:right w:val="single" w:color="auto" w:sz="4" w:space="0"/>
            </w:tcBorders>
          </w:tcPr>
          <w:p>
            <w:pPr>
              <w:spacing w:line="600" w:lineRule="exact"/>
              <w:jc w:val="left"/>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加强疾病防控体系建设，提升我区重大公共卫生服务水平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tcBorders>
              <w:top w:val="single" w:color="auto" w:sz="4" w:space="0"/>
              <w:left w:val="single" w:color="auto" w:sz="4" w:space="0"/>
              <w:bottom w:val="single" w:color="auto" w:sz="4" w:space="0"/>
              <w:right w:val="single" w:color="auto" w:sz="4" w:space="0"/>
            </w:tcBorders>
          </w:tcPr>
          <w:p>
            <w:pPr>
              <w:spacing w:line="680" w:lineRule="exact"/>
              <w:jc w:val="center"/>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提案者</w:t>
            </w:r>
          </w:p>
        </w:tc>
        <w:tc>
          <w:tcPr>
            <w:tcW w:w="2977" w:type="dxa"/>
            <w:gridSpan w:val="2"/>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医</w:t>
            </w:r>
            <w:r>
              <w:rPr>
                <w:rFonts w:ascii="仿宋_GB2312" w:hAnsi="宋体" w:eastAsia="仿宋_GB2312"/>
                <w:color w:val="000000" w:themeColor="text1"/>
                <w:sz w:val="32"/>
                <w:szCs w:val="32"/>
                <w14:textFill>
                  <w14:solidFill>
                    <w14:schemeClr w14:val="tx1"/>
                  </w14:solidFill>
                </w14:textFill>
              </w:rPr>
              <w:t>卫组</w:t>
            </w:r>
          </w:p>
        </w:tc>
        <w:tc>
          <w:tcPr>
            <w:tcW w:w="1276" w:type="dxa"/>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联系人</w:t>
            </w:r>
          </w:p>
        </w:tc>
        <w:tc>
          <w:tcPr>
            <w:tcW w:w="2318" w:type="dxa"/>
            <w:gridSpan w:val="2"/>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冯</w:t>
            </w:r>
            <w:r>
              <w:rPr>
                <w:rFonts w:ascii="仿宋_GB2312" w:hAnsi="宋体" w:eastAsia="仿宋_GB2312"/>
                <w:color w:val="000000" w:themeColor="text1"/>
                <w:sz w:val="32"/>
                <w:szCs w:val="32"/>
                <w14:textFill>
                  <w14:solidFill>
                    <w14:schemeClr w14:val="tx1"/>
                  </w14:solidFill>
                </w14:textFill>
              </w:rPr>
              <w:t>银彩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spacing w:line="680" w:lineRule="exact"/>
              <w:jc w:val="center"/>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工作单位</w:t>
            </w:r>
          </w:p>
        </w:tc>
        <w:tc>
          <w:tcPr>
            <w:tcW w:w="2977"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桥</w:t>
            </w:r>
            <w:r>
              <w:rPr>
                <w:rFonts w:ascii="仿宋_GB2312" w:hAnsi="宋体" w:eastAsia="仿宋_GB2312"/>
                <w:color w:val="000000" w:themeColor="text1"/>
                <w:sz w:val="32"/>
                <w:szCs w:val="32"/>
                <w14:textFill>
                  <w14:solidFill>
                    <w14:schemeClr w14:val="tx1"/>
                  </w14:solidFill>
                </w14:textFill>
              </w:rPr>
              <w:t>南街社区卫生服务中心</w:t>
            </w:r>
          </w:p>
        </w:tc>
        <w:tc>
          <w:tcPr>
            <w:tcW w:w="1276" w:type="dxa"/>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职</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务</w:t>
            </w:r>
          </w:p>
        </w:tc>
        <w:tc>
          <w:tcPr>
            <w:tcW w:w="2318" w:type="dxa"/>
            <w:gridSpan w:val="2"/>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中</w:t>
            </w:r>
            <w:r>
              <w:rPr>
                <w:rFonts w:ascii="仿宋_GB2312" w:hAnsi="宋体" w:eastAsia="仿宋_GB2312"/>
                <w:color w:val="000000" w:themeColor="text1"/>
                <w:sz w:val="32"/>
                <w:szCs w:val="32"/>
                <w14:textFill>
                  <w14:solidFill>
                    <w14:schemeClr w14:val="tx1"/>
                  </w14:solidFill>
                </w14:textFill>
              </w:rPr>
              <w:t>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951" w:type="dxa"/>
            <w:tcBorders>
              <w:top w:val="single" w:color="auto" w:sz="4" w:space="0"/>
              <w:left w:val="single" w:color="auto" w:sz="4" w:space="0"/>
              <w:bottom w:val="single" w:color="auto" w:sz="4" w:space="0"/>
              <w:right w:val="single" w:color="auto" w:sz="4" w:space="0"/>
            </w:tcBorders>
          </w:tcPr>
          <w:p>
            <w:pPr>
              <w:spacing w:line="680" w:lineRule="exact"/>
              <w:jc w:val="center"/>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手机号码</w:t>
            </w:r>
          </w:p>
        </w:tc>
        <w:tc>
          <w:tcPr>
            <w:tcW w:w="2693" w:type="dxa"/>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color w:val="000000" w:themeColor="text1"/>
                <w:sz w:val="32"/>
                <w:szCs w:val="32"/>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办公电话</w:t>
            </w:r>
          </w:p>
        </w:tc>
        <w:tc>
          <w:tcPr>
            <w:tcW w:w="2318" w:type="dxa"/>
            <w:gridSpan w:val="2"/>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spacing w:line="680" w:lineRule="exact"/>
              <w:jc w:val="center"/>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通讯地址</w:t>
            </w:r>
          </w:p>
        </w:tc>
        <w:tc>
          <w:tcPr>
            <w:tcW w:w="4253" w:type="dxa"/>
            <w:gridSpan w:val="3"/>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邮编</w:t>
            </w:r>
          </w:p>
        </w:tc>
        <w:tc>
          <w:tcPr>
            <w:tcW w:w="1326" w:type="dxa"/>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联名提案人</w:t>
            </w:r>
          </w:p>
          <w:p>
            <w:pPr>
              <w:spacing w:line="500" w:lineRule="exact"/>
              <w:jc w:val="center"/>
              <w:rPr>
                <w:rFonts w:ascii="仿宋_GB2312" w:hAnsi="宋体" w:eastAsia="仿宋_GB2312"/>
                <w:color w:val="000000" w:themeColor="text1"/>
                <w:spacing w:val="-14"/>
                <w:sz w:val="32"/>
                <w:szCs w:val="32"/>
                <w14:textFill>
                  <w14:solidFill>
                    <w14:schemeClr w14:val="tx1"/>
                  </w14:solidFill>
                </w14:textFill>
              </w:rPr>
            </w:pPr>
            <w:r>
              <w:rPr>
                <w:rFonts w:hint="eastAsia" w:ascii="仿宋_GB2312" w:hAnsi="宋体" w:eastAsia="仿宋_GB2312"/>
                <w:color w:val="000000" w:themeColor="text1"/>
                <w:spacing w:val="-14"/>
                <w:sz w:val="32"/>
                <w:szCs w:val="32"/>
                <w14:textFill>
                  <w14:solidFill>
                    <w14:schemeClr w14:val="tx1"/>
                  </w14:solidFill>
                </w14:textFill>
              </w:rPr>
              <w:t>（如</w:t>
            </w:r>
            <w:r>
              <w:rPr>
                <w:rFonts w:hint="eastAsia" w:ascii="仿宋_GB2312" w:hAnsi="宋体" w:eastAsia="仿宋_GB2312"/>
                <w:color w:val="000000" w:themeColor="text1"/>
                <w:spacing w:val="-14"/>
                <w:sz w:val="28"/>
                <w:szCs w:val="28"/>
                <w14:textFill>
                  <w14:solidFill>
                    <w14:schemeClr w14:val="tx1"/>
                  </w14:solidFill>
                </w14:textFill>
              </w:rPr>
              <w:t>人数较多，可另附于文后</w:t>
            </w:r>
            <w:r>
              <w:rPr>
                <w:rFonts w:hint="eastAsia" w:ascii="仿宋_GB2312" w:hAnsi="宋体" w:eastAsia="仿宋_GB2312"/>
                <w:color w:val="000000" w:themeColor="text1"/>
                <w:spacing w:val="-14"/>
                <w:sz w:val="32"/>
                <w:szCs w:val="32"/>
                <w14:textFill>
                  <w14:solidFill>
                    <w14:schemeClr w14:val="tx1"/>
                  </w14:solidFill>
                </w14:textFill>
              </w:rPr>
              <w:t>）</w:t>
            </w:r>
          </w:p>
        </w:tc>
        <w:tc>
          <w:tcPr>
            <w:tcW w:w="6571" w:type="dxa"/>
            <w:gridSpan w:val="5"/>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以</w:t>
            </w:r>
            <w:r>
              <w:rPr>
                <w:rFonts w:hint="eastAsia" w:ascii="仿宋_GB2312" w:hAnsi="宋体" w:eastAsia="仿宋_GB2312"/>
                <w:color w:val="000000" w:themeColor="text1"/>
                <w:sz w:val="32"/>
                <w:szCs w:val="32"/>
                <w14:textFill>
                  <w14:solidFill>
                    <w14:schemeClr w14:val="tx1"/>
                  </w14:solidFill>
                </w14:textFill>
              </w:rPr>
              <w:t>医</w:t>
            </w:r>
            <w:r>
              <w:rPr>
                <w:rFonts w:ascii="仿宋_GB2312" w:hAnsi="宋体" w:eastAsia="仿宋_GB2312"/>
                <w:color w:val="000000" w:themeColor="text1"/>
                <w:sz w:val="32"/>
                <w:szCs w:val="32"/>
                <w14:textFill>
                  <w14:solidFill>
                    <w14:schemeClr w14:val="tx1"/>
                  </w14:solidFill>
                </w14:textFill>
              </w:rPr>
              <w:t>卫组集体名义</w:t>
            </w:r>
            <w:r>
              <w:rPr>
                <w:rFonts w:hint="eastAsia" w:ascii="仿宋_GB2312" w:hAnsi="宋体" w:eastAsia="仿宋_GB2312"/>
                <w:color w:val="000000" w:themeColor="text1"/>
                <w:sz w:val="32"/>
                <w:szCs w:val="32"/>
                <w14:textFill>
                  <w14:solidFill>
                    <w14:schemeClr w14:val="tx1"/>
                  </w14:solidFill>
                </w14:textFill>
              </w:rPr>
              <w:t>提交</w:t>
            </w:r>
            <w:r>
              <w:rPr>
                <w:rFonts w:ascii="仿宋_GB2312" w:hAnsi="宋体" w:eastAsia="仿宋_GB2312"/>
                <w:color w:val="000000" w:themeColor="text1"/>
                <w:sz w:val="32"/>
                <w:szCs w:val="32"/>
                <w14:textFill>
                  <w14:solidFill>
                    <w14:schemeClr w14:val="tx1"/>
                  </w14:solidFill>
                </w14:textFill>
              </w:rPr>
              <w:t>，已通过组长</w:t>
            </w:r>
            <w:r>
              <w:rPr>
                <w:rFonts w:hint="eastAsia" w:ascii="仿宋_GB2312" w:hAnsi="宋体" w:eastAsia="仿宋_GB2312"/>
                <w:color w:val="000000" w:themeColor="text1"/>
                <w:sz w:val="32"/>
                <w:szCs w:val="32"/>
                <w14:textFill>
                  <w14:solidFill>
                    <w14:schemeClr w14:val="tx1"/>
                  </w14:solidFill>
                </w14:textFill>
              </w:rPr>
              <w:t>麦</w:t>
            </w:r>
            <w:r>
              <w:rPr>
                <w:rFonts w:ascii="仿宋_GB2312" w:hAnsi="宋体" w:eastAsia="仿宋_GB2312"/>
                <w:color w:val="000000" w:themeColor="text1"/>
                <w:sz w:val="32"/>
                <w:szCs w:val="32"/>
                <w14:textFill>
                  <w14:solidFill>
                    <w14:schemeClr w14:val="tx1"/>
                  </w14:solidFill>
                </w14:textFill>
              </w:rPr>
              <w:t>子杰</w:t>
            </w:r>
            <w:r>
              <w:rPr>
                <w:rFonts w:hint="eastAsia" w:ascii="仿宋_GB2312" w:hAnsi="宋体" w:eastAsia="仿宋_GB2312"/>
                <w:color w:val="000000" w:themeColor="text1"/>
                <w:sz w:val="32"/>
                <w:szCs w:val="32"/>
                <w14:textFill>
                  <w14:solidFill>
                    <w14:schemeClr w14:val="tx1"/>
                  </w14:solidFill>
                </w14:textFill>
              </w:rPr>
              <w:t>同志</w:t>
            </w:r>
            <w:r>
              <w:rPr>
                <w:rFonts w:ascii="仿宋_GB2312" w:hAnsi="宋体" w:eastAsia="仿宋_GB2312"/>
                <w:color w:val="000000" w:themeColor="text1"/>
                <w:sz w:val="32"/>
                <w:szCs w:val="32"/>
                <w14:textFill>
                  <w14:solidFill>
                    <w14:schemeClr w14:val="tx1"/>
                  </w14:solidFill>
                </w14:textFill>
              </w:rPr>
              <w:t>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spacing w:line="680" w:lineRule="exact"/>
              <w:jc w:val="center"/>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提案委员会</w:t>
            </w:r>
          </w:p>
          <w:p>
            <w:pPr>
              <w:spacing w:line="680" w:lineRule="exact"/>
              <w:jc w:val="center"/>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审查意见</w:t>
            </w:r>
          </w:p>
        </w:tc>
        <w:tc>
          <w:tcPr>
            <w:tcW w:w="6571" w:type="dxa"/>
            <w:gridSpan w:val="5"/>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color w:val="000000" w:themeColor="text1"/>
                <w:sz w:val="32"/>
                <w:szCs w:val="32"/>
                <w14:textFill>
                  <w14:solidFill>
                    <w14:schemeClr w14:val="tx1"/>
                  </w14:solidFill>
                </w14:textFill>
              </w:rPr>
            </w:pPr>
          </w:p>
        </w:tc>
      </w:tr>
    </w:tbl>
    <w:p>
      <w:pPr>
        <w:spacing w:line="68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根据实际情况在○内打勾确认：</w:t>
      </w:r>
    </w:p>
    <w:p>
      <w:pPr>
        <w:spacing w:line="440" w:lineRule="exact"/>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提案基本情况：</w:t>
      </w:r>
    </w:p>
    <w:p>
      <w:pPr>
        <w:spacing w:line="440" w:lineRule="exact"/>
        <w:rPr>
          <w:rFonts w:asci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w:t>
      </w:r>
      <w:r>
        <w:rPr>
          <w:rFonts w:hint="eastAsia" w:ascii="黑体" w:hAnsi="黑体" w:eastAsia="黑体"/>
          <w:color w:val="000000" w:themeColor="text1"/>
          <w:sz w:val="30"/>
          <w:szCs w:val="30"/>
          <w14:textFill>
            <w14:solidFill>
              <w14:schemeClr w14:val="tx1"/>
            </w14:solidFill>
          </w14:textFill>
        </w:rPr>
        <w:t>√</w:t>
      </w:r>
      <w:r>
        <w:rPr>
          <w:rFonts w:hint="eastAsia" w:ascii="宋体" w:hAnsi="宋体"/>
          <w:color w:val="000000" w:themeColor="text1"/>
          <w:sz w:val="30"/>
          <w:szCs w:val="30"/>
          <w14:textFill>
            <w14:solidFill>
              <w14:schemeClr w14:val="tx1"/>
            </w14:solidFill>
          </w14:textFill>
        </w:rPr>
        <w:t>经过调研</w:t>
      </w:r>
      <w:r>
        <w:rPr>
          <w:rFonts w:ascii="宋体" w:hAnsi="宋体"/>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w:t>
      </w:r>
      <w:r>
        <w:rPr>
          <w:rFonts w:hint="eastAsia" w:ascii="黑体" w:hAnsi="黑体" w:eastAsia="黑体"/>
          <w:color w:val="000000" w:themeColor="text1"/>
          <w:sz w:val="30"/>
          <w:szCs w:val="30"/>
          <w14:textFill>
            <w14:solidFill>
              <w14:schemeClr w14:val="tx1"/>
            </w14:solidFill>
          </w14:textFill>
        </w:rPr>
        <w:t>√</w:t>
      </w:r>
      <w:r>
        <w:rPr>
          <w:rFonts w:hint="eastAsia" w:ascii="宋体" w:hAnsi="宋体"/>
          <w:color w:val="000000" w:themeColor="text1"/>
          <w:sz w:val="30"/>
          <w:szCs w:val="30"/>
          <w14:textFill>
            <w14:solidFill>
              <w14:schemeClr w14:val="tx1"/>
            </w14:solidFill>
          </w14:textFill>
        </w:rPr>
        <w:t>由本人撰写</w:t>
      </w:r>
      <w:r>
        <w:rPr>
          <w:rFonts w:ascii="宋体" w:hAnsi="宋体"/>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w:t>
      </w:r>
      <w:r>
        <w:rPr>
          <w:rFonts w:hint="eastAsia" w:ascii="黑体" w:hAnsi="黑体" w:eastAsia="黑体"/>
          <w:color w:val="000000" w:themeColor="text1"/>
          <w:sz w:val="30"/>
          <w:szCs w:val="30"/>
          <w14:textFill>
            <w14:solidFill>
              <w14:schemeClr w14:val="tx1"/>
            </w14:solidFill>
          </w14:textFill>
        </w:rPr>
        <w:t>√</w:t>
      </w:r>
      <w:r>
        <w:rPr>
          <w:rFonts w:hint="eastAsia" w:ascii="宋体" w:hAnsi="宋体"/>
          <w:color w:val="000000" w:themeColor="text1"/>
          <w:sz w:val="30"/>
          <w:szCs w:val="30"/>
          <w14:textFill>
            <w14:solidFill>
              <w14:schemeClr w14:val="tx1"/>
            </w14:solidFill>
          </w14:textFill>
        </w:rPr>
        <w:t>第一次提出</w:t>
      </w:r>
      <w:r>
        <w:rPr>
          <w:rFonts w:ascii="宋体" w:hAnsi="宋体"/>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w:t>
      </w:r>
      <w:r>
        <w:rPr>
          <w:rFonts w:hint="eastAsia" w:ascii="黑体" w:hAnsi="黑体" w:eastAsia="黑体"/>
          <w:color w:val="000000" w:themeColor="text1"/>
          <w:sz w:val="30"/>
          <w:szCs w:val="30"/>
          <w14:textFill>
            <w14:solidFill>
              <w14:schemeClr w14:val="tx1"/>
            </w14:solidFill>
          </w14:textFill>
        </w:rPr>
        <w:t>√</w:t>
      </w:r>
      <w:r>
        <w:rPr>
          <w:rFonts w:hint="eastAsia" w:ascii="宋体" w:hAnsi="宋体"/>
          <w:color w:val="000000" w:themeColor="text1"/>
          <w:sz w:val="30"/>
          <w:szCs w:val="30"/>
          <w14:textFill>
            <w14:solidFill>
              <w14:schemeClr w14:val="tx1"/>
            </w14:solidFill>
          </w14:textFill>
        </w:rPr>
        <w:t>同意公开</w:t>
      </w:r>
    </w:p>
    <w:p>
      <w:pPr>
        <w:spacing w:line="440" w:lineRule="exact"/>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建议协商方式：</w:t>
      </w:r>
    </w:p>
    <w:p>
      <w:pPr>
        <w:spacing w:line="440" w:lineRule="exact"/>
        <w:rPr>
          <w:rFonts w:asci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○电话</w:t>
      </w:r>
      <w:r>
        <w:rPr>
          <w:rFonts w:ascii="宋体" w:hAnsi="宋体"/>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w:t>
      </w:r>
      <w:r>
        <w:rPr>
          <w:rFonts w:hint="eastAsia" w:ascii="黑体" w:hAnsi="黑体" w:eastAsia="黑体"/>
          <w:color w:val="000000" w:themeColor="text1"/>
          <w:sz w:val="30"/>
          <w:szCs w:val="30"/>
          <w14:textFill>
            <w14:solidFill>
              <w14:schemeClr w14:val="tx1"/>
            </w14:solidFill>
          </w14:textFill>
        </w:rPr>
        <w:t>√</w:t>
      </w:r>
      <w:r>
        <w:rPr>
          <w:rFonts w:hint="eastAsia" w:ascii="宋体" w:hAnsi="宋体"/>
          <w:color w:val="000000" w:themeColor="text1"/>
          <w:sz w:val="30"/>
          <w:szCs w:val="30"/>
          <w14:textFill>
            <w14:solidFill>
              <w14:schemeClr w14:val="tx1"/>
            </w14:solidFill>
          </w14:textFill>
        </w:rPr>
        <w:t>走访</w:t>
      </w:r>
      <w:r>
        <w:rPr>
          <w:rFonts w:ascii="宋体" w:hAnsi="宋体"/>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w:t>
      </w:r>
      <w:r>
        <w:rPr>
          <w:rFonts w:hint="eastAsia" w:ascii="黑体" w:hAnsi="黑体" w:eastAsia="黑体"/>
          <w:color w:val="000000" w:themeColor="text1"/>
          <w:sz w:val="30"/>
          <w:szCs w:val="30"/>
          <w14:textFill>
            <w14:solidFill>
              <w14:schemeClr w14:val="tx1"/>
            </w14:solidFill>
          </w14:textFill>
        </w:rPr>
        <w:t>√</w:t>
      </w:r>
      <w:r>
        <w:rPr>
          <w:rFonts w:hint="eastAsia" w:ascii="宋体" w:hAnsi="宋体"/>
          <w:color w:val="000000" w:themeColor="text1"/>
          <w:sz w:val="30"/>
          <w:szCs w:val="30"/>
          <w14:textFill>
            <w14:solidFill>
              <w14:schemeClr w14:val="tx1"/>
            </w14:solidFill>
          </w14:textFill>
        </w:rPr>
        <w:t>座谈</w:t>
      </w:r>
      <w:r>
        <w:rPr>
          <w:rFonts w:ascii="宋体" w:hAnsi="宋体"/>
          <w:color w:val="000000" w:themeColor="text1"/>
          <w:sz w:val="30"/>
          <w:szCs w:val="30"/>
          <w14:textFill>
            <w14:solidFill>
              <w14:schemeClr w14:val="tx1"/>
            </w14:solidFill>
          </w14:textFill>
        </w:rPr>
        <w:t xml:space="preserve"> </w:t>
      </w:r>
    </w:p>
    <w:p>
      <w:pPr>
        <w:spacing w:line="440" w:lineRule="exact"/>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建议办理单位：</w:t>
      </w:r>
    </w:p>
    <w:p>
      <w:pPr>
        <w:spacing w:line="440" w:lineRule="exact"/>
        <w:rPr>
          <w:rFonts w:ascii="宋体"/>
          <w:color w:val="000000" w:themeColor="text1"/>
          <w:sz w:val="30"/>
          <w:szCs w:val="30"/>
          <w14:textFill>
            <w14:solidFill>
              <w14:schemeClr w14:val="tx1"/>
            </w14:solidFill>
          </w14:textFill>
        </w:rPr>
      </w:pPr>
      <w:r>
        <w:rPr>
          <w:rFonts w:ascii="宋体" w:hAnsi="宋体"/>
          <w:color w:val="000000" w:themeColor="text1"/>
          <w:sz w:val="30"/>
          <w:szCs w:val="30"/>
          <w14:textFill>
            <w14:solidFill>
              <w14:schemeClr w14:val="tx1"/>
            </w14:solidFill>
          </w14:textFill>
        </w:rPr>
        <w:t>1.</w:t>
      </w:r>
      <w:r>
        <w:rPr>
          <w:rFonts w:hint="eastAsia" w:ascii="宋体" w:hAnsi="宋体"/>
          <w:color w:val="000000" w:themeColor="text1"/>
          <w:sz w:val="30"/>
          <w:szCs w:val="30"/>
          <w14:textFill>
            <w14:solidFill>
              <w14:schemeClr w14:val="tx1"/>
            </w14:solidFill>
          </w14:textFill>
        </w:rPr>
        <w:t>区编办</w:t>
      </w:r>
    </w:p>
    <w:p>
      <w:pPr>
        <w:spacing w:line="440" w:lineRule="exact"/>
        <w:rPr>
          <w:rFonts w:ascii="宋体" w:hAnsi="宋体"/>
          <w:color w:val="000000" w:themeColor="text1"/>
          <w:sz w:val="30"/>
          <w:szCs w:val="30"/>
          <w14:textFill>
            <w14:solidFill>
              <w14:schemeClr w14:val="tx1"/>
            </w14:solidFill>
          </w14:textFill>
        </w:rPr>
      </w:pPr>
      <w:r>
        <w:rPr>
          <w:rFonts w:ascii="宋体" w:hAnsi="宋体"/>
          <w:color w:val="000000" w:themeColor="text1"/>
          <w:sz w:val="30"/>
          <w:szCs w:val="30"/>
          <w14:textFill>
            <w14:solidFill>
              <w14:schemeClr w14:val="tx1"/>
            </w14:solidFill>
          </w14:textFill>
        </w:rPr>
        <w:t>2.</w:t>
      </w:r>
      <w:r>
        <w:rPr>
          <w:rFonts w:hint="eastAsia" w:ascii="宋体" w:hAnsi="宋体"/>
          <w:color w:val="000000" w:themeColor="text1"/>
          <w:sz w:val="30"/>
          <w:szCs w:val="30"/>
          <w14:textFill>
            <w14:solidFill>
              <w14:schemeClr w14:val="tx1"/>
            </w14:solidFill>
          </w14:textFill>
        </w:rPr>
        <w:t>区人社局</w:t>
      </w:r>
    </w:p>
    <w:p>
      <w:pPr>
        <w:spacing w:line="440"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3.区卫生健康局</w:t>
      </w:r>
    </w:p>
    <w:p>
      <w:pPr>
        <w:spacing w:line="440"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4.区财政局</w:t>
      </w:r>
    </w:p>
    <w:p>
      <w:pPr>
        <w:spacing w:line="440" w:lineRule="exact"/>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理由：</w:t>
      </w:r>
    </w:p>
    <w:p>
      <w:pPr>
        <w:ind w:firstLine="643" w:firstLineChars="200"/>
        <w:rPr>
          <w:rFonts w:ascii="黑体" w:hAnsi="黑体" w:eastAsia="黑体" w:cs="华文宋体"/>
          <w:b/>
          <w:sz w:val="32"/>
          <w:szCs w:val="32"/>
        </w:rPr>
      </w:pPr>
      <w:r>
        <w:rPr>
          <w:rFonts w:ascii="黑体" w:hAnsi="黑体" w:eastAsia="黑体" w:cs="华文宋体"/>
          <w:b/>
          <w:sz w:val="32"/>
          <w:szCs w:val="32"/>
        </w:rPr>
        <w:t>一、背景</w:t>
      </w:r>
    </w:p>
    <w:p>
      <w:pPr>
        <w:ind w:firstLine="640" w:firstLineChars="200"/>
        <w:rPr>
          <w:rFonts w:ascii="仿宋_GB2312" w:hAnsi="宋体" w:eastAsia="仿宋" w:cs="宋体"/>
          <w:color w:val="000000"/>
          <w:kern w:val="0"/>
          <w:sz w:val="32"/>
          <w:szCs w:val="32"/>
        </w:rPr>
      </w:pPr>
      <w:bookmarkStart w:id="1" w:name="_Hlk61799236"/>
      <w:r>
        <w:rPr>
          <w:rFonts w:hint="eastAsia" w:ascii="仿宋_GB2312" w:hAnsi="宋体" w:eastAsia="仿宋" w:cs="宋体"/>
          <w:color w:val="000000"/>
          <w:kern w:val="0"/>
          <w:sz w:val="32"/>
          <w:szCs w:val="32"/>
        </w:rPr>
        <w:t>新冠肺炎疫情肆虐全球一年多。习近平总书记多次提出“做好疫情防控工作的同时，放眼长远，总结经验，吸取教训，针对疫情防控中暴露出来的问题和不足，抓紧补短板、堵漏洞、强弱项。”强调要完善重大疫情防控体制机制，健全国家公共卫生体系，增强应对突发重大公共卫生事件的能力。截止至2</w:t>
      </w:r>
      <w:r>
        <w:rPr>
          <w:rFonts w:ascii="仿宋_GB2312" w:hAnsi="宋体" w:eastAsia="仿宋" w:cs="宋体"/>
          <w:color w:val="000000"/>
          <w:kern w:val="0"/>
          <w:sz w:val="32"/>
          <w:szCs w:val="32"/>
        </w:rPr>
        <w:t>021</w:t>
      </w:r>
      <w:r>
        <w:rPr>
          <w:rFonts w:hint="eastAsia" w:ascii="仿宋_GB2312" w:hAnsi="宋体" w:eastAsia="仿宋" w:cs="宋体"/>
          <w:color w:val="000000"/>
          <w:kern w:val="0"/>
          <w:sz w:val="32"/>
          <w:szCs w:val="32"/>
        </w:rPr>
        <w:t>年1月1</w:t>
      </w:r>
      <w:r>
        <w:rPr>
          <w:rFonts w:ascii="仿宋_GB2312" w:hAnsi="宋体" w:eastAsia="仿宋" w:cs="宋体"/>
          <w:color w:val="000000"/>
          <w:kern w:val="0"/>
          <w:sz w:val="32"/>
          <w:szCs w:val="32"/>
        </w:rPr>
        <w:t>5</w:t>
      </w:r>
      <w:r>
        <w:rPr>
          <w:rFonts w:hint="eastAsia" w:ascii="仿宋_GB2312" w:hAnsi="宋体" w:eastAsia="仿宋" w:cs="宋体"/>
          <w:color w:val="000000"/>
          <w:kern w:val="0"/>
          <w:sz w:val="32"/>
          <w:szCs w:val="32"/>
        </w:rPr>
        <w:t>日，我区取得了连续3</w:t>
      </w:r>
      <w:r>
        <w:rPr>
          <w:rFonts w:ascii="仿宋_GB2312" w:hAnsi="宋体" w:eastAsia="仿宋" w:cs="宋体"/>
          <w:color w:val="000000"/>
          <w:kern w:val="0"/>
          <w:sz w:val="32"/>
          <w:szCs w:val="32"/>
        </w:rPr>
        <w:t>35</w:t>
      </w:r>
      <w:r>
        <w:rPr>
          <w:rFonts w:hint="eastAsia" w:ascii="仿宋_GB2312" w:hAnsi="宋体" w:eastAsia="仿宋" w:cs="宋体"/>
          <w:color w:val="000000"/>
          <w:kern w:val="0"/>
          <w:sz w:val="32"/>
          <w:szCs w:val="32"/>
        </w:rPr>
        <w:t>天无新增本地确认病例的疫情防控阶段性成果。其中公共卫生体系和医疗服务体系发挥了重要作用，但也暴露出一些短板和不足。 为此，</w:t>
      </w:r>
      <w:r>
        <w:rPr>
          <w:rFonts w:hint="eastAsia" w:ascii="仿宋" w:hAnsi="仿宋" w:eastAsia="仿宋" w:cs="仿宋"/>
          <w:sz w:val="32"/>
          <w:szCs w:val="32"/>
        </w:rPr>
        <w:t>现就我区疾病预防控制体系建设</w:t>
      </w:r>
      <w:r>
        <w:rPr>
          <w:rFonts w:hint="eastAsia" w:ascii="仿宋_GB2312" w:hAnsi="宋体" w:eastAsia="仿宋_GB2312" w:cs="宋体"/>
          <w:color w:val="333333"/>
          <w:kern w:val="0"/>
          <w:sz w:val="32"/>
          <w:szCs w:val="32"/>
        </w:rPr>
        <w:t>提出几点建议</w:t>
      </w:r>
      <w:r>
        <w:rPr>
          <w:rFonts w:hint="eastAsia" w:ascii="黑体" w:eastAsia="黑体"/>
          <w:sz w:val="32"/>
          <w:szCs w:val="32"/>
        </w:rPr>
        <w:t>。</w:t>
      </w:r>
    </w:p>
    <w:bookmarkEnd w:id="1"/>
    <w:p>
      <w:pPr>
        <w:ind w:firstLine="643" w:firstLineChars="200"/>
        <w:rPr>
          <w:rFonts w:ascii="黑体" w:hAnsi="黑体" w:eastAsia="黑体"/>
          <w:b/>
          <w:sz w:val="32"/>
          <w:szCs w:val="32"/>
        </w:rPr>
      </w:pPr>
      <w:r>
        <w:rPr>
          <w:rFonts w:hint="eastAsia" w:ascii="黑体" w:hAnsi="黑体" w:eastAsia="黑体"/>
          <w:b/>
          <w:sz w:val="32"/>
          <w:szCs w:val="32"/>
        </w:rPr>
        <w:t>二、问题与困难</w:t>
      </w:r>
    </w:p>
    <w:p>
      <w:pPr>
        <w:ind w:firstLine="640" w:firstLineChars="200"/>
        <w:rPr>
          <w:rFonts w:ascii="仿宋_GB2312" w:eastAsia="仿宋_GB2312"/>
          <w:sz w:val="32"/>
          <w:szCs w:val="32"/>
        </w:rPr>
      </w:pPr>
      <w:r>
        <w:rPr>
          <w:rFonts w:hint="eastAsia" w:ascii="仿宋_GB2312" w:eastAsia="仿宋_GB2312"/>
          <w:sz w:val="32"/>
          <w:szCs w:val="32"/>
        </w:rPr>
        <w:t>我区的疾病</w:t>
      </w:r>
      <w:bookmarkStart w:id="3" w:name="_GoBack"/>
      <w:bookmarkEnd w:id="3"/>
      <w:r>
        <w:rPr>
          <w:rFonts w:hint="eastAsia" w:ascii="仿宋_GB2312" w:eastAsia="仿宋_GB2312"/>
          <w:sz w:val="32"/>
          <w:szCs w:val="32"/>
        </w:rPr>
        <w:t>预防控制体系主要包括各镇街社区卫生服务机构、各镇街爱卫办、区疾病预防控制中心（CDC）、区卫生监督所及区慢性病防治站组成，各机构分别负责公共卫生与疾病预防控制的不同职能，由区卫生健康局负责行政管理。</w:t>
      </w:r>
    </w:p>
    <w:p>
      <w:pPr>
        <w:ind w:firstLine="643" w:firstLineChars="200"/>
        <w:rPr>
          <w:rFonts w:ascii="楷体_GB2312" w:eastAsia="楷体_GB2312"/>
          <w:b/>
          <w:bCs/>
          <w:sz w:val="32"/>
          <w:szCs w:val="32"/>
        </w:rPr>
      </w:pPr>
      <w:r>
        <w:rPr>
          <w:rFonts w:hint="eastAsia" w:ascii="楷体_GB2312" w:eastAsia="楷体_GB2312"/>
          <w:b/>
          <w:bCs/>
          <w:sz w:val="32"/>
          <w:szCs w:val="32"/>
        </w:rPr>
        <w:t>（一）基层公共卫生行政管理不</w:t>
      </w:r>
      <w:r>
        <w:rPr>
          <w:rFonts w:hint="eastAsia" w:ascii="楷体_GB2312" w:hAnsi="Calibri" w:eastAsia="楷体_GB2312"/>
          <w:b/>
          <w:bCs/>
          <w:color w:val="000000" w:themeColor="text1"/>
          <w:sz w:val="32"/>
          <w:szCs w:val="32"/>
          <w14:textFill>
            <w14:solidFill>
              <w14:schemeClr w14:val="tx1"/>
            </w14:solidFill>
          </w14:textFill>
        </w:rPr>
        <w:t>畅顺</w:t>
      </w:r>
    </w:p>
    <w:p>
      <w:pPr>
        <w:ind w:firstLine="645"/>
        <w:rPr>
          <w:rFonts w:ascii="仿宋_GB2312" w:eastAsia="仿宋_GB2312"/>
          <w:sz w:val="32"/>
          <w:szCs w:val="32"/>
        </w:rPr>
      </w:pPr>
      <w:r>
        <w:rPr>
          <w:rFonts w:hint="eastAsia" w:ascii="仿宋_GB2312" w:hAnsi="Calibri" w:eastAsia="仿宋_GB2312"/>
          <w:color w:val="000000" w:themeColor="text1"/>
          <w:sz w:val="32"/>
          <w:szCs w:val="32"/>
          <w14:textFill>
            <w14:solidFill>
              <w14:schemeClr w14:val="tx1"/>
            </w14:solidFill>
          </w14:textFill>
        </w:rPr>
        <w:t>重大传染病疫情发生时，首要基层时刻织密社区防控一张网，要充分发动多部门的联防联控。在新冠防控中发现，</w:t>
      </w:r>
      <w:r>
        <w:rPr>
          <w:rFonts w:hint="eastAsia" w:ascii="仿宋_GB2312" w:hAnsi="Calibri" w:eastAsia="仿宋_GB2312"/>
          <w:sz w:val="32"/>
          <w:szCs w:val="32"/>
        </w:rPr>
        <w:t>经过</w:t>
      </w:r>
      <w:r>
        <w:rPr>
          <w:rFonts w:hint="eastAsia" w:ascii="仿宋_GB2312" w:hAnsi="Calibri" w:eastAsia="仿宋_GB2312"/>
          <w:color w:val="000000" w:themeColor="text1"/>
          <w:sz w:val="32"/>
          <w:szCs w:val="32"/>
          <w14:textFill>
            <w14:solidFill>
              <w14:schemeClr w14:val="tx1"/>
            </w14:solidFill>
          </w14:textFill>
        </w:rPr>
        <w:t>近年</w:t>
      </w:r>
      <w:r>
        <w:rPr>
          <w:rFonts w:hint="eastAsia" w:ascii="仿宋_GB2312" w:hAnsi="Calibri" w:eastAsia="仿宋_GB2312"/>
          <w:sz w:val="32"/>
          <w:szCs w:val="32"/>
        </w:rPr>
        <w:t>几轮机构改革，区层面的卫生、计生、爱卫和职业健康等工作合并到区卫生健康局</w:t>
      </w:r>
      <w:r>
        <w:rPr>
          <w:rFonts w:hint="eastAsia" w:ascii="仿宋_GB2312" w:eastAsia="仿宋_GB2312"/>
          <w:sz w:val="32"/>
          <w:szCs w:val="32"/>
        </w:rPr>
        <w:t>负责管理</w:t>
      </w:r>
      <w:r>
        <w:rPr>
          <w:rFonts w:hint="eastAsia" w:ascii="仿宋_GB2312" w:hAnsi="Calibri" w:eastAsia="仿宋_GB2312"/>
          <w:sz w:val="32"/>
          <w:szCs w:val="32"/>
        </w:rPr>
        <w:t>，但各镇街的</w:t>
      </w:r>
      <w:r>
        <w:rPr>
          <w:rFonts w:hint="eastAsia" w:ascii="仿宋_GB2312" w:hAnsi="Calibri" w:eastAsia="仿宋_GB2312"/>
          <w:color w:val="000000" w:themeColor="text1"/>
          <w:sz w:val="32"/>
          <w:szCs w:val="32"/>
          <w14:textFill>
            <w14:solidFill>
              <w14:schemeClr w14:val="tx1"/>
            </w14:solidFill>
          </w14:textFill>
        </w:rPr>
        <w:t>基层公共卫生行政管理仍不畅顺，</w:t>
      </w:r>
      <w:r>
        <w:rPr>
          <w:rFonts w:hint="eastAsia" w:ascii="仿宋_GB2312" w:hAnsi="Calibri" w:eastAsia="仿宋_GB2312"/>
          <w:sz w:val="32"/>
          <w:szCs w:val="32"/>
        </w:rPr>
        <w:t>于近期成立的镇街公共服务办公室未能</w:t>
      </w:r>
      <w:r>
        <w:rPr>
          <w:rFonts w:hint="eastAsia" w:ascii="仿宋_GB2312" w:eastAsia="仿宋_GB2312"/>
          <w:sz w:val="32"/>
          <w:szCs w:val="32"/>
        </w:rPr>
        <w:t>统一落实基层疾病预防控制、公共卫生监督和管理等职能，服务网络不健全。</w:t>
      </w:r>
    </w:p>
    <w:p>
      <w:pPr>
        <w:ind w:firstLine="643" w:firstLineChars="200"/>
        <w:rPr>
          <w:rFonts w:ascii="楷体_GB2312" w:eastAsia="楷体_GB2312"/>
          <w:b/>
          <w:bCs/>
          <w:sz w:val="32"/>
          <w:szCs w:val="32"/>
        </w:rPr>
      </w:pPr>
      <w:r>
        <w:rPr>
          <w:rFonts w:hint="eastAsia" w:ascii="楷体_GB2312" w:eastAsia="楷体_GB2312"/>
          <w:b/>
          <w:bCs/>
          <w:sz w:val="32"/>
          <w:szCs w:val="32"/>
        </w:rPr>
        <w:t>（二）</w:t>
      </w:r>
      <w:r>
        <w:rPr>
          <w:rFonts w:hint="eastAsia" w:ascii="楷体_GB2312" w:hAnsi="Arial" w:eastAsia="楷体_GB2312" w:cs="Arial"/>
          <w:b/>
          <w:bCs/>
          <w:color w:val="222222"/>
          <w:kern w:val="0"/>
          <w:sz w:val="32"/>
          <w:szCs w:val="32"/>
        </w:rPr>
        <w:t>疾病预防控制专业队伍数量不足、人员不稳</w:t>
      </w:r>
    </w:p>
    <w:p>
      <w:pPr>
        <w:ind w:firstLine="643" w:firstLineChars="200"/>
        <w:rPr>
          <w:rFonts w:ascii="楷体_GB2312" w:eastAsia="楷体_GB2312"/>
          <w:b/>
          <w:bCs/>
          <w:sz w:val="32"/>
          <w:szCs w:val="32"/>
        </w:rPr>
      </w:pPr>
      <w:r>
        <w:rPr>
          <w:rFonts w:hint="eastAsia" w:ascii="楷体_GB2312" w:eastAsia="楷体_GB2312"/>
          <w:b/>
          <w:bCs/>
          <w:sz w:val="32"/>
          <w:szCs w:val="32"/>
        </w:rPr>
        <w:t>1.处于防控一线的社区卫生服务机构</w:t>
      </w:r>
      <w:r>
        <w:rPr>
          <w:rFonts w:hint="eastAsia" w:ascii="楷体_GB2312" w:hAnsi="Arial" w:eastAsia="楷体_GB2312" w:cs="Arial"/>
          <w:b/>
          <w:bCs/>
          <w:color w:val="222222"/>
          <w:kern w:val="0"/>
          <w:sz w:val="32"/>
          <w:szCs w:val="32"/>
        </w:rPr>
        <w:t>人少事多</w:t>
      </w:r>
    </w:p>
    <w:p>
      <w:pPr>
        <w:ind w:firstLine="640" w:firstLineChars="200"/>
        <w:rPr>
          <w:rFonts w:ascii="楷体_GB2312" w:hAnsi="黑体" w:eastAsia="楷体_GB2312"/>
          <w:b/>
          <w:sz w:val="32"/>
          <w:szCs w:val="32"/>
        </w:rPr>
      </w:pPr>
      <w:r>
        <w:rPr>
          <w:rFonts w:hint="eastAsia" w:ascii="仿宋_GB2312" w:eastAsia="仿宋_GB2312"/>
          <w:sz w:val="32"/>
          <w:szCs w:val="32"/>
        </w:rPr>
        <w:t>我区社区卫生服务机构只有1209个的编制数已多年没变化，但全区的常住人口已由第六次人口普查的1</w:t>
      </w:r>
      <w:r>
        <w:rPr>
          <w:rFonts w:ascii="仿宋_GB2312" w:eastAsia="仿宋_GB2312"/>
          <w:sz w:val="32"/>
          <w:szCs w:val="32"/>
        </w:rPr>
        <w:t>42</w:t>
      </w:r>
      <w:r>
        <w:rPr>
          <w:rFonts w:hint="eastAsia" w:ascii="仿宋_GB2312" w:eastAsia="仿宋_GB2312"/>
          <w:sz w:val="32"/>
          <w:szCs w:val="32"/>
        </w:rPr>
        <w:t>万增加至当前近300万。按广州市每万人口配8名医务人员的最低标准，配置全区社区卫生服务机构的医务人员数应达2400人，而当前核定的编制数让人手短缺50%，且工作任务日增不减。</w:t>
      </w:r>
      <w:r>
        <w:rPr>
          <w:rFonts w:hint="eastAsia" w:ascii="仿宋_GB2312" w:hAnsi="Arial" w:eastAsia="仿宋_GB2312" w:cs="Arial"/>
          <w:color w:val="222222"/>
          <w:kern w:val="0"/>
          <w:sz w:val="32"/>
          <w:szCs w:val="32"/>
        </w:rPr>
        <w:t>“人少事多</w:t>
      </w:r>
      <w:r>
        <w:rPr>
          <w:rFonts w:ascii="仿宋_GB2312" w:hAnsi="Arial" w:eastAsia="仿宋_GB2312" w:cs="Arial"/>
          <w:color w:val="222222"/>
          <w:kern w:val="0"/>
          <w:sz w:val="32"/>
          <w:szCs w:val="32"/>
        </w:rPr>
        <w:t>”</w:t>
      </w:r>
      <w:r>
        <w:rPr>
          <w:rFonts w:hint="eastAsia" w:ascii="仿宋_GB2312" w:hAnsi="Arial" w:eastAsia="仿宋_GB2312" w:cs="Arial"/>
          <w:color w:val="222222"/>
          <w:kern w:val="0"/>
          <w:sz w:val="32"/>
          <w:szCs w:val="32"/>
        </w:rPr>
        <w:t>矛盾突出，强基层的具体举措未见落实。</w:t>
      </w:r>
    </w:p>
    <w:p>
      <w:pPr>
        <w:ind w:firstLine="643" w:firstLineChars="200"/>
        <w:rPr>
          <w:rFonts w:ascii="楷体_GB2312" w:eastAsia="楷体_GB2312"/>
          <w:b/>
          <w:bCs/>
          <w:sz w:val="32"/>
          <w:szCs w:val="32"/>
        </w:rPr>
      </w:pPr>
      <w:r>
        <w:rPr>
          <w:rFonts w:hint="eastAsia" w:ascii="楷体_GB2312" w:eastAsia="楷体_GB2312"/>
          <w:b/>
          <w:bCs/>
          <w:sz w:val="32"/>
          <w:szCs w:val="32"/>
        </w:rPr>
        <w:t>2.区疾控中心编制少，</w:t>
      </w:r>
      <w:r>
        <w:rPr>
          <w:rFonts w:hint="eastAsia" w:ascii="楷体_GB2312" w:hAnsi="宋体" w:eastAsia="楷体_GB2312" w:cs="仿宋_GB2312"/>
          <w:b/>
          <w:bCs/>
          <w:color w:val="000000"/>
          <w:sz w:val="32"/>
          <w:szCs w:val="32"/>
        </w:rPr>
        <w:t>编外</w:t>
      </w:r>
      <w:r>
        <w:rPr>
          <w:rFonts w:hint="eastAsia" w:ascii="楷体_GB2312" w:eastAsia="楷体_GB2312"/>
          <w:b/>
          <w:bCs/>
          <w:sz w:val="32"/>
          <w:szCs w:val="32"/>
        </w:rPr>
        <w:t>专业人才队伍不稳</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区疾病预防控制中心（简称区疾控中心）承担着全区传染病防控、儿童计划免疫管理、公共卫生监测、学校卫生、职业病防治以及突发公共卫生事件的应急处理等职能，近年任务不断增加。但人员编制配置比例低</w:t>
      </w:r>
      <w:r>
        <w:rPr>
          <w:rFonts w:hint="eastAsia" w:ascii="仿宋_GB2312" w:hAnsi="宋体" w:eastAsia="仿宋_GB2312" w:cs="仿宋_GB2312"/>
          <w:color w:val="000000"/>
          <w:sz w:val="32"/>
          <w:szCs w:val="32"/>
        </w:rPr>
        <w:t>，人手</w:t>
      </w:r>
      <w:r>
        <w:rPr>
          <w:rFonts w:hint="eastAsia" w:ascii="仿宋_GB2312" w:eastAsia="仿宋_GB2312"/>
          <w:sz w:val="32"/>
          <w:szCs w:val="32"/>
        </w:rPr>
        <w:t>严重不足，现职人员长期处于超负荷工作状态。</w:t>
      </w:r>
      <w:r>
        <w:rPr>
          <w:rFonts w:hint="eastAsia" w:ascii="仿宋_GB2312" w:hAnsi="仿宋" w:eastAsia="仿宋_GB2312"/>
          <w:color w:val="000000"/>
          <w:sz w:val="32"/>
          <w:szCs w:val="32"/>
        </w:rPr>
        <w:t>受2017年高级职称评审评聘结合新政策的影响，</w:t>
      </w:r>
      <w:r>
        <w:rPr>
          <w:rFonts w:hint="eastAsia" w:ascii="仿宋_GB2312" w:hAnsi="宋体" w:eastAsia="仿宋_GB2312" w:cs="楷体_GB2312"/>
          <w:color w:val="000000"/>
          <w:sz w:val="32"/>
          <w:szCs w:val="32"/>
        </w:rPr>
        <w:t>专业技术人员职称晋升空间窄，梯队建设出现断层。目前</w:t>
      </w:r>
      <w:r>
        <w:rPr>
          <w:rFonts w:hint="eastAsia" w:ascii="仿宋_GB2312" w:hAnsi="宋体" w:eastAsia="仿宋_GB2312" w:cs="仿宋_GB2312"/>
          <w:color w:val="000000"/>
          <w:sz w:val="32"/>
          <w:szCs w:val="32"/>
        </w:rPr>
        <w:t>作为技术骨干和突发公共卫生事件处理一线的多为临聘编外人员，并因</w:t>
      </w:r>
      <w:r>
        <w:rPr>
          <w:rFonts w:hint="eastAsia" w:ascii="仿宋_GB2312" w:hAnsi="华文仿宋" w:eastAsia="仿宋_GB2312"/>
          <w:color w:val="000000"/>
          <w:sz w:val="32"/>
          <w:szCs w:val="32"/>
        </w:rPr>
        <w:t>薪酬偏低且工作量大，职业前景不明朗，</w:t>
      </w:r>
      <w:r>
        <w:rPr>
          <w:rFonts w:hint="eastAsia" w:ascii="仿宋_GB2312" w:hAnsi="宋体" w:eastAsia="仿宋_GB2312" w:cs="仿宋_GB2312"/>
          <w:color w:val="000000"/>
          <w:sz w:val="32"/>
          <w:szCs w:val="32"/>
        </w:rPr>
        <w:t>流失率极高。编制统计见下表：</w:t>
      </w:r>
    </w:p>
    <w:p>
      <w:pPr>
        <w:ind w:firstLine="1440" w:firstLineChars="6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广州市各区疾控中心人员配置基本情况统计表</w:t>
      </w:r>
    </w:p>
    <w:p>
      <w:pPr>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drawing>
          <wp:inline distT="0" distB="0" distL="0" distR="0">
            <wp:extent cx="5270500" cy="2734310"/>
            <wp:effectExtent l="0" t="0" r="635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0500" cy="2734310"/>
                    </a:xfrm>
                    <a:prstGeom prst="rect">
                      <a:avLst/>
                    </a:prstGeom>
                    <a:noFill/>
                    <a:ln>
                      <a:noFill/>
                    </a:ln>
                  </pic:spPr>
                </pic:pic>
              </a:graphicData>
            </a:graphic>
          </wp:inline>
        </w:drawing>
      </w:r>
    </w:p>
    <w:p>
      <w:pPr>
        <w:ind w:firstLine="643" w:firstLineChars="200"/>
        <w:rPr>
          <w:rFonts w:ascii="楷体_GB2312" w:eastAsia="楷体_GB2312"/>
          <w:b/>
          <w:bCs/>
          <w:sz w:val="32"/>
          <w:szCs w:val="32"/>
        </w:rPr>
      </w:pPr>
      <w:r>
        <w:rPr>
          <w:rFonts w:hint="eastAsia" w:ascii="楷体_GB2312" w:eastAsia="楷体_GB2312"/>
          <w:b/>
          <w:bCs/>
          <w:sz w:val="32"/>
          <w:szCs w:val="32"/>
        </w:rPr>
        <w:t>（三）镇街疾病预防控制中心的能力建设不足</w:t>
      </w:r>
    </w:p>
    <w:p>
      <w:pPr>
        <w:ind w:firstLine="640" w:firstLineChars="200"/>
        <w:rPr>
          <w:rFonts w:ascii="仿宋_GB2312" w:eastAsia="仿宋_GB2312"/>
          <w:sz w:val="32"/>
          <w:szCs w:val="32"/>
        </w:rPr>
      </w:pPr>
      <w:r>
        <w:rPr>
          <w:rFonts w:hint="eastAsia" w:ascii="仿宋_GB2312" w:eastAsia="仿宋_GB2312"/>
          <w:sz w:val="32"/>
          <w:szCs w:val="32"/>
        </w:rPr>
        <w:t>根据区编办《关于调整各镇街社区卫生服务中心机构编制事项的批复》（番编〔2</w:t>
      </w:r>
      <w:r>
        <w:rPr>
          <w:rFonts w:ascii="仿宋_GB2312" w:eastAsia="仿宋_GB2312"/>
          <w:sz w:val="32"/>
          <w:szCs w:val="32"/>
        </w:rPr>
        <w:t>020</w:t>
      </w:r>
      <w:r>
        <w:rPr>
          <w:rFonts w:hint="eastAsia" w:ascii="仿宋_GB2312" w:eastAsia="仿宋_GB2312"/>
          <w:sz w:val="32"/>
          <w:szCs w:val="32"/>
        </w:rPr>
        <w:t>〕8</w:t>
      </w:r>
      <w:r>
        <w:rPr>
          <w:rFonts w:ascii="仿宋_GB2312" w:eastAsia="仿宋_GB2312"/>
          <w:sz w:val="32"/>
          <w:szCs w:val="32"/>
        </w:rPr>
        <w:t>1</w:t>
      </w:r>
      <w:r>
        <w:rPr>
          <w:rFonts w:hint="eastAsia" w:ascii="仿宋_GB2312" w:eastAsia="仿宋_GB2312"/>
          <w:sz w:val="32"/>
          <w:szCs w:val="32"/>
        </w:rPr>
        <w:t>号）文件精神，各镇街社区卫生服务中心于2</w:t>
      </w:r>
      <w:r>
        <w:rPr>
          <w:rFonts w:ascii="仿宋_GB2312" w:eastAsia="仿宋_GB2312"/>
          <w:sz w:val="32"/>
          <w:szCs w:val="32"/>
        </w:rPr>
        <w:t>020</w:t>
      </w:r>
      <w:r>
        <w:rPr>
          <w:rFonts w:hint="eastAsia" w:ascii="仿宋_GB2312" w:eastAsia="仿宋_GB2312"/>
          <w:sz w:val="32"/>
          <w:szCs w:val="32"/>
        </w:rPr>
        <w:t>年1</w:t>
      </w:r>
      <w:r>
        <w:rPr>
          <w:rFonts w:ascii="仿宋_GB2312" w:eastAsia="仿宋_GB2312"/>
          <w:sz w:val="32"/>
          <w:szCs w:val="32"/>
        </w:rPr>
        <w:t>2</w:t>
      </w:r>
      <w:r>
        <w:rPr>
          <w:rFonts w:hint="eastAsia" w:ascii="仿宋_GB2312" w:eastAsia="仿宋_GB2312"/>
          <w:sz w:val="32"/>
          <w:szCs w:val="32"/>
        </w:rPr>
        <w:t>月份加挂了“广州市番禺区XX镇（街）疾病预防控制中心”牌子。增加承担本辖区疾病预防控制工作有关统筹协调、牵头、组织实施等工作职责，在机构编制不变情况下，要求承担疾病预防控制工作的人员编制不得低于编制总数的30%。目前，各镇街社区卫生服务中心承担着辖区基本医疗及14大项国家基本公共卫生项目，并在疫情防控中投入了大量人力物力，包括“三人小组”入户排查、集中隔离点的健康服务等，加班加点已是常态。巧妇难为无米之炊！由于疾控职能下沉，任务更繁重，要求更高，社区卫生服务中心超负荷运行情况雪上加霜，后果只会造成工作实效与服务质量双双低下。</w:t>
      </w:r>
    </w:p>
    <w:p>
      <w:pPr>
        <w:ind w:firstLine="643" w:firstLineChars="200"/>
        <w:rPr>
          <w:rFonts w:ascii="楷体_GB2312" w:eastAsia="楷体_GB2312"/>
          <w:b/>
          <w:bCs/>
          <w:sz w:val="32"/>
          <w:szCs w:val="32"/>
        </w:rPr>
      </w:pPr>
      <w:r>
        <w:rPr>
          <w:rFonts w:hint="eastAsia" w:ascii="楷体_GB2312" w:eastAsia="楷体_GB2312"/>
          <w:b/>
          <w:bCs/>
          <w:sz w:val="32"/>
          <w:szCs w:val="32"/>
        </w:rPr>
        <w:t>（四）疾控体系业务用房紧张现状多年未解决</w:t>
      </w:r>
    </w:p>
    <w:p>
      <w:pPr>
        <w:spacing w:line="600" w:lineRule="exact"/>
        <w:ind w:firstLine="640" w:firstLineChars="200"/>
        <w:rPr>
          <w:rFonts w:ascii="仿宋_GB2312" w:hAnsi="宋体" w:eastAsia="仿宋" w:cs="宋体"/>
          <w:color w:val="000000"/>
          <w:kern w:val="0"/>
          <w:sz w:val="32"/>
          <w:szCs w:val="32"/>
        </w:rPr>
      </w:pPr>
      <w:r>
        <w:rPr>
          <w:rFonts w:hint="eastAsia" w:ascii="仿宋_GB2312" w:hAnsi="宋体" w:eastAsia="仿宋" w:cs="宋体"/>
          <w:color w:val="000000"/>
          <w:kern w:val="0"/>
          <w:sz w:val="32"/>
          <w:szCs w:val="32"/>
        </w:rPr>
        <w:t>目前我区疾控中心、区卫生监督所、区慢病站、区血站等</w:t>
      </w:r>
      <w:r>
        <w:rPr>
          <w:rFonts w:hint="eastAsia" w:ascii="仿宋_GB2312" w:eastAsia="仿宋_GB2312"/>
          <w:sz w:val="32"/>
          <w:szCs w:val="32"/>
        </w:rPr>
        <w:t>疾控体系机构均</w:t>
      </w:r>
      <w:r>
        <w:rPr>
          <w:rFonts w:hint="eastAsia" w:ascii="仿宋_GB2312" w:hAnsi="宋体" w:eastAsia="仿宋" w:cs="宋体"/>
          <w:color w:val="000000"/>
          <w:kern w:val="0"/>
          <w:sz w:val="32"/>
          <w:szCs w:val="32"/>
        </w:rPr>
        <w:t>建成使用于</w:t>
      </w:r>
      <w:r>
        <w:rPr>
          <w:rFonts w:ascii="仿宋_GB2312" w:hAnsi="宋体" w:eastAsia="仿宋" w:cs="宋体"/>
          <w:color w:val="000000"/>
          <w:kern w:val="0"/>
          <w:sz w:val="32"/>
          <w:szCs w:val="32"/>
        </w:rPr>
        <w:t>20</w:t>
      </w:r>
      <w:r>
        <w:rPr>
          <w:rFonts w:hint="eastAsia" w:ascii="仿宋_GB2312" w:hAnsi="宋体" w:eastAsia="仿宋" w:cs="宋体"/>
          <w:color w:val="000000"/>
          <w:kern w:val="0"/>
          <w:sz w:val="32"/>
          <w:szCs w:val="32"/>
        </w:rPr>
        <w:t>多年前，甚至3</w:t>
      </w:r>
      <w:r>
        <w:rPr>
          <w:rFonts w:ascii="仿宋_GB2312" w:hAnsi="宋体" w:eastAsia="仿宋" w:cs="宋体"/>
          <w:color w:val="000000"/>
          <w:kern w:val="0"/>
          <w:sz w:val="32"/>
          <w:szCs w:val="32"/>
        </w:rPr>
        <w:t>0</w:t>
      </w:r>
      <w:r>
        <w:rPr>
          <w:rFonts w:hint="eastAsia" w:ascii="仿宋_GB2312" w:hAnsi="宋体" w:eastAsia="仿宋" w:cs="宋体"/>
          <w:color w:val="000000"/>
          <w:kern w:val="0"/>
          <w:sz w:val="32"/>
          <w:szCs w:val="32"/>
        </w:rPr>
        <w:t>多年前。随着社会经济的发展和区域公共卫生服务人口翻多倍增长，现有业务用房难以满足实际需求，网络基础设施老旧，专业设备革新升级受影响，新技术引进与应用落后，已无法与当前国家疾病预防控制专业标准和要求相匹配。</w:t>
      </w:r>
    </w:p>
    <w:p>
      <w:pPr>
        <w:spacing w:line="600" w:lineRule="exact"/>
        <w:ind w:firstLine="643" w:firstLineChars="200"/>
        <w:rPr>
          <w:rFonts w:ascii="黑体" w:hAnsi="黑体" w:eastAsia="黑体"/>
          <w:sz w:val="32"/>
          <w:szCs w:val="32"/>
        </w:rPr>
      </w:pPr>
      <w:r>
        <w:rPr>
          <w:rFonts w:hint="eastAsia" w:ascii="黑体" w:hAnsi="黑体" w:eastAsia="黑体"/>
          <w:b/>
          <w:sz w:val="32"/>
          <w:szCs w:val="32"/>
        </w:rPr>
        <w:t>三、建议与对策</w:t>
      </w:r>
    </w:p>
    <w:p>
      <w:pPr>
        <w:ind w:firstLine="643" w:firstLineChars="200"/>
        <w:rPr>
          <w:rFonts w:ascii="楷体_GB2312" w:eastAsia="楷体_GB2312"/>
          <w:b/>
          <w:bCs/>
          <w:sz w:val="32"/>
          <w:szCs w:val="32"/>
        </w:rPr>
      </w:pPr>
      <w:bookmarkStart w:id="2" w:name="_Hlk61799147"/>
      <w:r>
        <w:rPr>
          <w:rFonts w:hint="eastAsia" w:ascii="楷体_GB2312" w:eastAsia="楷体_GB2312"/>
          <w:b/>
          <w:bCs/>
          <w:sz w:val="32"/>
          <w:szCs w:val="32"/>
        </w:rPr>
        <w:t>（一）完善社区卫生服务队伍建设，增加工作人手</w:t>
      </w:r>
    </w:p>
    <w:p>
      <w:pPr>
        <w:ind w:firstLine="63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基层社区是新冠防控第一道防线。当前国内外许多疫情扩散例子如“血的教训”提醒我们，要做到“万无一失”必须要加强基层医务人员队伍建设，织密基层防控一张网。建议根据《广东省基层卫生人才队伍建设三年行动计划（2018-2020年）的通知》（粤卫[2018]69号）及广州市卫生健康委关于加快落实推进全市基层卫生健康工作会议精神，落实配置每千常住人口基层卫生人员数达到3.5以上的要求。建议结合我区实际情况，加快提高空编使用率，并适当调增社区卫生服务中心编制数。余下缺口，由区财政落实专项补助，由各社区卫生服务中心自行聘请编外人员。按照统筹考虑编内外人员待遇的医改精神，落实社区卫生服务机构在编人员经费的</w:t>
      </w:r>
      <w:r>
        <w:rPr>
          <w:rFonts w:ascii="仿宋_GB2312" w:eastAsia="仿宋_GB2312"/>
          <w:sz w:val="32"/>
          <w:szCs w:val="32"/>
        </w:rPr>
        <w:t>6</w:t>
      </w:r>
      <w:r>
        <w:rPr>
          <w:rFonts w:hint="eastAsia" w:ascii="仿宋_GB2312" w:eastAsia="仿宋_GB2312"/>
          <w:sz w:val="32"/>
          <w:szCs w:val="32"/>
        </w:rPr>
        <w:t>0%给予补助。</w:t>
      </w:r>
    </w:p>
    <w:p>
      <w:pPr>
        <w:ind w:firstLine="643" w:firstLineChars="200"/>
        <w:rPr>
          <w:rFonts w:ascii="楷体_GB2312" w:eastAsia="楷体_GB2312"/>
          <w:b/>
          <w:bCs/>
          <w:sz w:val="32"/>
          <w:szCs w:val="32"/>
        </w:rPr>
      </w:pPr>
      <w:r>
        <w:rPr>
          <w:rFonts w:hint="eastAsia" w:ascii="楷体_GB2312" w:eastAsia="楷体_GB2312"/>
          <w:b/>
          <w:bCs/>
          <w:sz w:val="32"/>
          <w:szCs w:val="32"/>
        </w:rPr>
        <w:t>（二）填补疾控专业队伍不足，强化疾控人才培养</w:t>
      </w:r>
    </w:p>
    <w:p>
      <w:pPr>
        <w:ind w:firstLine="630"/>
        <w:rPr>
          <w:rFonts w:ascii="仿宋_GB2312" w:eastAsia="仿宋_GB2312"/>
          <w:sz w:val="32"/>
          <w:szCs w:val="32"/>
        </w:rPr>
      </w:pPr>
      <w:r>
        <w:rPr>
          <w:rFonts w:hint="eastAsia" w:ascii="仿宋_GB2312" w:eastAsia="仿宋_GB2312"/>
          <w:sz w:val="32"/>
          <w:szCs w:val="32"/>
        </w:rPr>
        <w:t>建议着实扭转区疾控中心因编制过少，专业技术人才长期超负荷工作的状态。增加区疾控中心编制数达到广州市平均水平，即每万人口疾控人员(编制数/常住人口）比例达到0.6。按目前我区177.7万人口计算，应配置106个编制，即在现有6</w:t>
      </w:r>
      <w:r>
        <w:rPr>
          <w:rFonts w:ascii="仿宋_GB2312" w:eastAsia="仿宋_GB2312"/>
          <w:sz w:val="32"/>
          <w:szCs w:val="32"/>
        </w:rPr>
        <w:t>6</w:t>
      </w:r>
      <w:r>
        <w:rPr>
          <w:rFonts w:hint="eastAsia" w:ascii="仿宋_GB2312" w:eastAsia="仿宋_GB2312"/>
          <w:sz w:val="32"/>
          <w:szCs w:val="32"/>
        </w:rPr>
        <w:t>个编制基础上填补4</w:t>
      </w:r>
      <w:r>
        <w:rPr>
          <w:rFonts w:ascii="仿宋_GB2312" w:eastAsia="仿宋_GB2312"/>
          <w:sz w:val="32"/>
          <w:szCs w:val="32"/>
        </w:rPr>
        <w:t>0</w:t>
      </w:r>
      <w:r>
        <w:rPr>
          <w:rFonts w:hint="eastAsia" w:ascii="仿宋_GB2312" w:eastAsia="仿宋_GB2312"/>
          <w:sz w:val="32"/>
          <w:szCs w:val="32"/>
        </w:rPr>
        <w:t>个编制。或通过区财政增加专项补助用于聘请疾控专业技术人员。并切实提高待遇，落实绩效激励机制，减少因薪酬过低造成编外专业人才的持续流失。同时，建议结合流行病学调查、标本采集、疫源地消杀等疾控工作专业性很强的特点，强化疾控人员的专业技术培训，落实举措保障队伍的稳定性，切实提高区疾控中心的服务能力。</w:t>
      </w:r>
    </w:p>
    <w:p>
      <w:pPr>
        <w:ind w:firstLine="643" w:firstLineChars="200"/>
        <w:rPr>
          <w:rFonts w:ascii="楷体_GB2312" w:eastAsia="楷体_GB2312"/>
          <w:b/>
          <w:bCs/>
          <w:sz w:val="32"/>
          <w:szCs w:val="32"/>
        </w:rPr>
      </w:pPr>
      <w:r>
        <w:rPr>
          <w:rFonts w:hint="eastAsia" w:ascii="楷体_GB2312" w:eastAsia="楷体_GB2312"/>
          <w:b/>
          <w:bCs/>
          <w:sz w:val="32"/>
          <w:szCs w:val="32"/>
        </w:rPr>
        <w:t>（三）加强镇街疾病预防控制中心的能力建设</w:t>
      </w:r>
    </w:p>
    <w:p>
      <w:pPr>
        <w:ind w:firstLine="640" w:firstLineChars="200"/>
        <w:rPr>
          <w:rFonts w:ascii="仿宋_GB2312" w:eastAsia="仿宋_GB2312"/>
          <w:sz w:val="32"/>
          <w:szCs w:val="32"/>
        </w:rPr>
      </w:pPr>
      <w:r>
        <w:rPr>
          <w:rFonts w:hint="eastAsia" w:ascii="仿宋_GB2312" w:eastAsia="仿宋_GB2312"/>
          <w:sz w:val="32"/>
          <w:szCs w:val="32"/>
        </w:rPr>
        <w:t>实现镇街疾病预防控制中心职能，需解决“无米之炊”。建议如下：一是先解决人手问题，按要求增加的承担本辖区疾病预防控制职能的人员编制数（不低于目前社区卫生服务中心总编制数的30%），采用更灵活方式盘活现有资源，增加人手，如提高一类单位二类管理的收支结余返还标准，探索“加法”激励机制；提高社区卫生服务中心聘用疾控专业技术人员的自主性，包括人员薪酬水平及专业晋升与培训等。 二是结合实际需要，落实各镇街增加属地疾控业务用房与相应设备设施的配置。</w:t>
      </w:r>
    </w:p>
    <w:p>
      <w:pPr>
        <w:ind w:firstLine="643" w:firstLineChars="200"/>
        <w:rPr>
          <w:rFonts w:ascii="楷体_GB2312" w:eastAsia="楷体_GB2312"/>
          <w:b/>
          <w:bCs/>
          <w:sz w:val="32"/>
          <w:szCs w:val="32"/>
        </w:rPr>
      </w:pPr>
      <w:r>
        <w:rPr>
          <w:rFonts w:hint="eastAsia" w:ascii="楷体_GB2312" w:eastAsia="楷体_GB2312"/>
          <w:b/>
          <w:bCs/>
          <w:sz w:val="32"/>
          <w:szCs w:val="32"/>
        </w:rPr>
        <w:t>（四）加快推进区公共卫生大楼建设项目</w:t>
      </w:r>
    </w:p>
    <w:p>
      <w:pPr>
        <w:widowControl/>
        <w:ind w:firstLine="566" w:firstLineChars="177"/>
        <w:rPr>
          <w:rFonts w:ascii="仿宋_GB2312" w:eastAsia="仿宋_GB2312" w:hAnsiTheme="minorEastAsia"/>
          <w:sz w:val="32"/>
          <w:szCs w:val="32"/>
        </w:rPr>
      </w:pPr>
      <w:r>
        <w:rPr>
          <w:rFonts w:hint="eastAsia" w:ascii="仿宋_GB2312" w:eastAsia="仿宋_GB2312"/>
          <w:sz w:val="32"/>
          <w:szCs w:val="32"/>
        </w:rPr>
        <w:t>为更好地应对新冠肺炎疫情全球大流行的严峻形势，建议加快推进已选址桥南街番禺区中心医院东区南侧，用地规模23.73亩的区公共卫生大楼建设项目。落实具体建设方案、建设进度及投入使用时间表。争取尽快</w:t>
      </w:r>
      <w:r>
        <w:rPr>
          <w:rFonts w:hint="eastAsia" w:ascii="仿宋_GB2312" w:eastAsia="仿宋_GB2312" w:cs="楷体" w:hAnsiTheme="minorEastAsia"/>
          <w:color w:val="000000"/>
          <w:kern w:val="0"/>
          <w:sz w:val="32"/>
          <w:szCs w:val="32"/>
        </w:rPr>
        <w:t>整合区疾控中心、区血站、区卫监所、区卫生技术人员继教中心等专业机构，以提高</w:t>
      </w:r>
      <w:r>
        <w:rPr>
          <w:rFonts w:hint="eastAsia" w:ascii="仿宋_GB2312" w:eastAsia="仿宋_GB2312" w:hAnsiTheme="minorEastAsia"/>
          <w:sz w:val="32"/>
          <w:szCs w:val="32"/>
        </w:rPr>
        <w:t>资源</w:t>
      </w:r>
      <w:r>
        <w:rPr>
          <w:rFonts w:hint="eastAsia" w:ascii="仿宋_GB2312" w:eastAsia="仿宋_GB2312" w:cs="楷体" w:hAnsiTheme="minorEastAsia"/>
          <w:color w:val="000000"/>
          <w:kern w:val="0"/>
          <w:sz w:val="32"/>
          <w:szCs w:val="32"/>
        </w:rPr>
        <w:t>利用率和工作效率，</w:t>
      </w:r>
      <w:r>
        <w:rPr>
          <w:rFonts w:hint="eastAsia" w:ascii="仿宋_GB2312" w:eastAsia="仿宋_GB2312" w:hAnsiTheme="minorEastAsia"/>
          <w:sz w:val="32"/>
          <w:szCs w:val="32"/>
        </w:rPr>
        <w:t>补齐我区公共卫生短板。</w:t>
      </w:r>
    </w:p>
    <w:p>
      <w:pPr>
        <w:ind w:firstLine="643" w:firstLineChars="200"/>
        <w:rPr>
          <w:rFonts w:ascii="楷体_GB2312" w:eastAsia="楷体_GB2312"/>
          <w:b/>
          <w:bCs/>
          <w:sz w:val="32"/>
          <w:szCs w:val="32"/>
        </w:rPr>
      </w:pPr>
      <w:r>
        <w:rPr>
          <w:rFonts w:hint="eastAsia" w:ascii="楷体_GB2312" w:eastAsia="楷体_GB2312"/>
          <w:b/>
          <w:bCs/>
          <w:sz w:val="32"/>
          <w:szCs w:val="32"/>
        </w:rPr>
        <w:t>（五）理顺镇街公共卫生行政管理职能</w:t>
      </w:r>
    </w:p>
    <w:p>
      <w:pPr>
        <w:ind w:firstLine="640" w:firstLineChars="200"/>
        <w:rPr>
          <w:rFonts w:ascii="仿宋_GB2312" w:eastAsia="仿宋_GB2312"/>
          <w:sz w:val="32"/>
          <w:szCs w:val="32"/>
        </w:rPr>
      </w:pPr>
      <w:r>
        <w:rPr>
          <w:rFonts w:hint="eastAsia" w:ascii="仿宋_GB2312" w:eastAsia="仿宋_GB2312"/>
          <w:sz w:val="32"/>
          <w:szCs w:val="32"/>
        </w:rPr>
        <w:t>建议加快推进与理顺镇街公共服务办公室职能，落实统筹传染病防控、精神病防治、流行病调查、卫生监督、卫生应急处置、爱国卫生运动、老年健康与医养结合服务、人口监测和职业病监管、妇幼健康服务等公共卫生服务的行政管理职能。</w:t>
      </w:r>
    </w:p>
    <w:bookmarkEnd w:id="2"/>
    <w:p>
      <w:pPr>
        <w:rPr>
          <w:rFonts w:ascii="仿宋_GB2312" w:hAnsi="华文宋体" w:eastAsia="仿宋_GB2312" w:cs="华文宋体"/>
          <w:sz w:val="32"/>
          <w:szCs w:val="32"/>
        </w:rPr>
      </w:pPr>
    </w:p>
    <w:p>
      <w:pPr>
        <w:ind w:firstLine="5280" w:firstLineChars="165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21</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18</w:t>
      </w:r>
      <w:r>
        <w:rPr>
          <w:rFonts w:hint="eastAsia" w:ascii="仿宋_GB2312" w:eastAsia="仿宋_GB2312"/>
          <w:sz w:val="32"/>
          <w:szCs w:val="32"/>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4590273"/>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636"/>
    <w:rsid w:val="000019C4"/>
    <w:rsid w:val="000035AA"/>
    <w:rsid w:val="000077E7"/>
    <w:rsid w:val="00007B61"/>
    <w:rsid w:val="00043009"/>
    <w:rsid w:val="00095938"/>
    <w:rsid w:val="000B1FBE"/>
    <w:rsid w:val="000C7B40"/>
    <w:rsid w:val="000D68ED"/>
    <w:rsid w:val="000F4102"/>
    <w:rsid w:val="000F7528"/>
    <w:rsid w:val="00101D9C"/>
    <w:rsid w:val="00110E4F"/>
    <w:rsid w:val="00125736"/>
    <w:rsid w:val="00167161"/>
    <w:rsid w:val="00172A27"/>
    <w:rsid w:val="00175F8D"/>
    <w:rsid w:val="00184D56"/>
    <w:rsid w:val="001B1FEE"/>
    <w:rsid w:val="001C2281"/>
    <w:rsid w:val="002040E6"/>
    <w:rsid w:val="00211E5B"/>
    <w:rsid w:val="0022715C"/>
    <w:rsid w:val="00244FD3"/>
    <w:rsid w:val="002751FA"/>
    <w:rsid w:val="00276717"/>
    <w:rsid w:val="00283432"/>
    <w:rsid w:val="00284387"/>
    <w:rsid w:val="002A2B82"/>
    <w:rsid w:val="002B0B2E"/>
    <w:rsid w:val="002D30C3"/>
    <w:rsid w:val="002E6C64"/>
    <w:rsid w:val="002F7384"/>
    <w:rsid w:val="00315038"/>
    <w:rsid w:val="00315D4B"/>
    <w:rsid w:val="00345BB9"/>
    <w:rsid w:val="0036016A"/>
    <w:rsid w:val="0039033E"/>
    <w:rsid w:val="003942D9"/>
    <w:rsid w:val="00397F0D"/>
    <w:rsid w:val="003A6A84"/>
    <w:rsid w:val="003B1B5E"/>
    <w:rsid w:val="003C0FA3"/>
    <w:rsid w:val="003D6F17"/>
    <w:rsid w:val="003F06C4"/>
    <w:rsid w:val="004072F6"/>
    <w:rsid w:val="00416CDE"/>
    <w:rsid w:val="0048028F"/>
    <w:rsid w:val="00493363"/>
    <w:rsid w:val="0049642E"/>
    <w:rsid w:val="004A1C65"/>
    <w:rsid w:val="004B658E"/>
    <w:rsid w:val="004C1FC8"/>
    <w:rsid w:val="004C55DE"/>
    <w:rsid w:val="004F43C8"/>
    <w:rsid w:val="004F793A"/>
    <w:rsid w:val="00515F00"/>
    <w:rsid w:val="005279A6"/>
    <w:rsid w:val="005308D3"/>
    <w:rsid w:val="005426B4"/>
    <w:rsid w:val="00550CE3"/>
    <w:rsid w:val="005669CB"/>
    <w:rsid w:val="00571822"/>
    <w:rsid w:val="0057611B"/>
    <w:rsid w:val="005B3FC3"/>
    <w:rsid w:val="00617551"/>
    <w:rsid w:val="00631EF1"/>
    <w:rsid w:val="00641C53"/>
    <w:rsid w:val="00664542"/>
    <w:rsid w:val="00691B4C"/>
    <w:rsid w:val="006A462A"/>
    <w:rsid w:val="006C4897"/>
    <w:rsid w:val="006D6BE6"/>
    <w:rsid w:val="006E5EB7"/>
    <w:rsid w:val="006E6C35"/>
    <w:rsid w:val="00761149"/>
    <w:rsid w:val="00766A1D"/>
    <w:rsid w:val="00774408"/>
    <w:rsid w:val="007832B8"/>
    <w:rsid w:val="0079005F"/>
    <w:rsid w:val="007D09F4"/>
    <w:rsid w:val="007D407D"/>
    <w:rsid w:val="007D62AD"/>
    <w:rsid w:val="008059F1"/>
    <w:rsid w:val="00814B04"/>
    <w:rsid w:val="00826AF4"/>
    <w:rsid w:val="00846C1D"/>
    <w:rsid w:val="00857F42"/>
    <w:rsid w:val="008A4806"/>
    <w:rsid w:val="009030E3"/>
    <w:rsid w:val="00934E7A"/>
    <w:rsid w:val="0093798D"/>
    <w:rsid w:val="009542A7"/>
    <w:rsid w:val="009A5C64"/>
    <w:rsid w:val="009C50CF"/>
    <w:rsid w:val="009E336B"/>
    <w:rsid w:val="00A015A0"/>
    <w:rsid w:val="00A45BFD"/>
    <w:rsid w:val="00A93530"/>
    <w:rsid w:val="00AA0DAE"/>
    <w:rsid w:val="00AB095F"/>
    <w:rsid w:val="00AD6B8C"/>
    <w:rsid w:val="00AF19CB"/>
    <w:rsid w:val="00AF509B"/>
    <w:rsid w:val="00B2325C"/>
    <w:rsid w:val="00B37854"/>
    <w:rsid w:val="00B45885"/>
    <w:rsid w:val="00B55BD8"/>
    <w:rsid w:val="00B70683"/>
    <w:rsid w:val="00B86C18"/>
    <w:rsid w:val="00BA253B"/>
    <w:rsid w:val="00BB31D9"/>
    <w:rsid w:val="00BE37C8"/>
    <w:rsid w:val="00BE498C"/>
    <w:rsid w:val="00C35DC9"/>
    <w:rsid w:val="00C5263B"/>
    <w:rsid w:val="00C55655"/>
    <w:rsid w:val="00C62A9C"/>
    <w:rsid w:val="00C707A0"/>
    <w:rsid w:val="00CB6261"/>
    <w:rsid w:val="00CB6660"/>
    <w:rsid w:val="00CE2940"/>
    <w:rsid w:val="00CF2210"/>
    <w:rsid w:val="00D87F91"/>
    <w:rsid w:val="00DA0911"/>
    <w:rsid w:val="00DA7A84"/>
    <w:rsid w:val="00DB228F"/>
    <w:rsid w:val="00DB293A"/>
    <w:rsid w:val="00DB4BE2"/>
    <w:rsid w:val="00DD6B0B"/>
    <w:rsid w:val="00DE0DDD"/>
    <w:rsid w:val="00DF0AF1"/>
    <w:rsid w:val="00E04D9E"/>
    <w:rsid w:val="00E324D5"/>
    <w:rsid w:val="00E32B69"/>
    <w:rsid w:val="00E5512A"/>
    <w:rsid w:val="00E66E41"/>
    <w:rsid w:val="00E80ECD"/>
    <w:rsid w:val="00EC16B2"/>
    <w:rsid w:val="00ED4133"/>
    <w:rsid w:val="00ED6F9E"/>
    <w:rsid w:val="00F2017A"/>
    <w:rsid w:val="00F60726"/>
    <w:rsid w:val="00F86FA7"/>
    <w:rsid w:val="00FE0740"/>
    <w:rsid w:val="37D935E7"/>
    <w:rsid w:val="47773060"/>
    <w:rsid w:val="7BF16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kern w:val="0"/>
      <w:sz w:val="20"/>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uiPriority w:val="99"/>
    <w:rPr>
      <w:kern w:val="2"/>
      <w:sz w:val="18"/>
      <w:szCs w:val="18"/>
    </w:rPr>
  </w:style>
  <w:style w:type="character" w:customStyle="1" w:styleId="8">
    <w:name w:val="页脚 字符"/>
    <w:link w:val="3"/>
    <w:uiPriority w:val="99"/>
    <w:rPr>
      <w:kern w:val="2"/>
      <w:sz w:val="18"/>
      <w:szCs w:val="18"/>
    </w:rPr>
  </w:style>
  <w:style w:type="paragraph" w:styleId="9">
    <w:name w:val="List Paragraph"/>
    <w:basedOn w:val="1"/>
    <w:qFormat/>
    <w:uiPriority w:val="34"/>
    <w:pPr>
      <w:ind w:firstLine="420" w:firstLineChars="200"/>
    </w:pPr>
  </w:style>
  <w:style w:type="character" w:customStyle="1" w:styleId="10">
    <w:name w:val="bjh-p"/>
    <w:basedOn w:val="6"/>
    <w:qFormat/>
    <w:uiPriority w:val="0"/>
  </w:style>
  <w:style w:type="character" w:customStyle="1" w:styleId="11">
    <w:name w:val="纯文本 字符1"/>
    <w:link w:val="2"/>
    <w:qFormat/>
    <w:uiPriority w:val="99"/>
    <w:rPr>
      <w:rFonts w:ascii="宋体" w:hAnsi="Courier New"/>
      <w:szCs w:val="21"/>
    </w:rPr>
  </w:style>
  <w:style w:type="character" w:customStyle="1" w:styleId="12">
    <w:name w:val="纯文本 字符"/>
    <w:basedOn w:val="6"/>
    <w:semiHidden/>
    <w:qFormat/>
    <w:uiPriority w:val="99"/>
    <w:rPr>
      <w:rFonts w:hAnsi="Courier New" w:cs="Courier New" w:asciiTheme="minorEastAsia" w:eastAsiaTheme="minorEastAsia"/>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458</Words>
  <Characters>2611</Characters>
  <Lines>21</Lines>
  <Paragraphs>6</Paragraphs>
  <TotalTime>3</TotalTime>
  <ScaleCrop>false</ScaleCrop>
  <LinksUpToDate>false</LinksUpToDate>
  <CharactersWithSpaces>3063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2021-01-17T10:08:00Z</dcterms:created>
  <dc:creator>lenove</dc:creator>
  <cp:lastModifiedBy>user</cp:lastModifiedBy>
  <dcterms:modified xsi:type="dcterms:W3CDTF">2023-08-09T03:38:20Z</dcterms:modified>
  <dc:title>Windows 用户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