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960"/>
      </w:pPr>
      <w:r>
        <w:rPr>
          <w:rFonts w:hint="eastAsia" w:ascii="仿宋" w:hAnsi="仿宋" w:eastAsia="仿宋"/>
          <w:sz w:val="32"/>
          <w:szCs w:val="32"/>
        </w:rPr>
        <w:t>附件</w:t>
      </w:r>
      <w:r>
        <w:rPr>
          <w:rFonts w:ascii="仿宋" w:hAnsi="仿宋" w:eastAsia="仿宋"/>
          <w:sz w:val="32"/>
          <w:szCs w:val="32"/>
        </w:rPr>
        <w:t>2</w:t>
      </w:r>
      <w:r>
        <w:rPr>
          <w:rFonts w:hint="eastAsia" w:ascii="仿宋" w:hAnsi="仿宋" w:eastAsia="仿宋"/>
          <w:sz w:val="32"/>
          <w:szCs w:val="32"/>
        </w:rPr>
        <w:t>：</w:t>
      </w:r>
    </w:p>
    <w:p>
      <w:pPr>
        <w:jc w:val="right"/>
        <w:rPr>
          <w:rFonts w:ascii="宋体"/>
          <w:sz w:val="32"/>
          <w:szCs w:val="32"/>
        </w:rPr>
      </w:pPr>
      <w:r>
        <w:rPr>
          <w:rFonts w:hint="eastAsia" w:ascii="宋体" w:hAnsi="宋体"/>
          <w:sz w:val="32"/>
          <w:szCs w:val="32"/>
        </w:rPr>
        <w:t>第</w:t>
      </w:r>
      <w:r>
        <w:rPr>
          <w:rFonts w:ascii="宋体" w:hAnsi="宋体"/>
          <w:sz w:val="32"/>
          <w:szCs w:val="32"/>
          <w:u w:val="single"/>
        </w:rPr>
        <w:t xml:space="preserve">   </w:t>
      </w:r>
      <w:r>
        <w:rPr>
          <w:rFonts w:hint="eastAsia" w:ascii="宋体" w:hAnsi="宋体"/>
          <w:sz w:val="32"/>
          <w:szCs w:val="32"/>
          <w:u w:val="single"/>
          <w:lang w:val="en-US" w:eastAsia="zh-CN"/>
        </w:rPr>
        <w:t>4</w:t>
      </w:r>
      <w:r>
        <w:rPr>
          <w:rFonts w:ascii="宋体" w:hAnsi="宋体"/>
          <w:sz w:val="32"/>
          <w:szCs w:val="32"/>
          <w:u w:val="single"/>
        </w:rPr>
        <w:t xml:space="preserve">   </w:t>
      </w:r>
      <w:r>
        <w:rPr>
          <w:rFonts w:hint="eastAsia" w:ascii="宋体" w:hAnsi="宋体"/>
          <w:sz w:val="32"/>
          <w:szCs w:val="32"/>
        </w:rPr>
        <w:t>号</w:t>
      </w:r>
    </w:p>
    <w:p>
      <w:pPr>
        <w:jc w:val="center"/>
        <w:rPr>
          <w:rFonts w:ascii="小标宋" w:hAnsi="黑体" w:eastAsia="小标宋"/>
          <w:sz w:val="44"/>
          <w:szCs w:val="44"/>
        </w:rPr>
      </w:pPr>
      <w:r>
        <w:rPr>
          <w:rFonts w:hint="eastAsia" w:ascii="小标宋" w:hAnsi="黑体" w:eastAsia="小标宋"/>
          <w:sz w:val="44"/>
          <w:szCs w:val="44"/>
        </w:rPr>
        <w:t>番禺区政协十五届二次会议提案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93"/>
        <w:gridCol w:w="284"/>
        <w:gridCol w:w="1276"/>
        <w:gridCol w:w="99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680" w:lineRule="exact"/>
              <w:jc w:val="center"/>
              <w:rPr>
                <w:rFonts w:hint="eastAsia" w:ascii="仿宋_GB2312" w:hAnsi="宋体" w:eastAsia="仿宋_GB2312"/>
                <w:sz w:val="32"/>
                <w:szCs w:val="32"/>
              </w:rPr>
            </w:pPr>
            <w:r>
              <w:rPr>
                <w:rFonts w:hint="eastAsia" w:ascii="仿宋_GB2312" w:hAnsi="宋体" w:eastAsia="仿宋_GB2312"/>
                <w:sz w:val="32"/>
                <w:szCs w:val="32"/>
              </w:rPr>
              <w:t>题目</w:t>
            </w:r>
          </w:p>
        </w:tc>
        <w:tc>
          <w:tcPr>
            <w:tcW w:w="6804" w:type="dxa"/>
            <w:gridSpan w:val="5"/>
          </w:tcPr>
          <w:p>
            <w:pPr>
              <w:spacing w:line="680" w:lineRule="exact"/>
              <w:rPr>
                <w:rFonts w:hint="eastAsia" w:ascii="仿宋_GB2312" w:hAnsi="宋体" w:eastAsia="仿宋_GB2312"/>
                <w:sz w:val="32"/>
                <w:szCs w:val="32"/>
              </w:rPr>
            </w:pPr>
            <w:r>
              <w:rPr>
                <w:rFonts w:hint="eastAsia" w:ascii="仿宋_GB2312" w:hAnsi="宋体" w:eastAsia="仿宋_GB2312"/>
                <w:sz w:val="32"/>
                <w:szCs w:val="32"/>
              </w:rPr>
              <w:t>关于加快“制造”向“智造”转化，促进实体经济高质量发展的建议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提案者</w:t>
            </w:r>
          </w:p>
        </w:tc>
        <w:tc>
          <w:tcPr>
            <w:tcW w:w="2977" w:type="dxa"/>
            <w:gridSpan w:val="2"/>
          </w:tcPr>
          <w:p>
            <w:pPr>
              <w:spacing w:line="680" w:lineRule="exact"/>
              <w:rPr>
                <w:rFonts w:hint="eastAsia" w:ascii="仿宋_GB2312" w:hAnsi="宋体" w:eastAsia="仿宋_GB2312"/>
                <w:sz w:val="32"/>
                <w:szCs w:val="32"/>
                <w:lang w:val="en-US" w:eastAsia="zh-CN"/>
              </w:rPr>
            </w:pPr>
            <w:r>
              <w:rPr>
                <w:rFonts w:hint="eastAsia" w:ascii="仿宋_GB2312" w:hAnsi="宋体" w:eastAsia="仿宋_GB2312"/>
                <w:sz w:val="32"/>
                <w:szCs w:val="32"/>
              </w:rPr>
              <w:t>民建番禺区基层委</w:t>
            </w:r>
            <w:r>
              <w:rPr>
                <w:rFonts w:hint="eastAsia" w:ascii="仿宋_GB2312" w:hAnsi="宋体" w:eastAsia="仿宋_GB2312"/>
                <w:sz w:val="32"/>
                <w:szCs w:val="32"/>
                <w:lang w:val="en-US" w:eastAsia="zh-CN"/>
              </w:rPr>
              <w:t>员会</w:t>
            </w:r>
          </w:p>
        </w:tc>
        <w:tc>
          <w:tcPr>
            <w:tcW w:w="1276" w:type="dxa"/>
          </w:tcPr>
          <w:p>
            <w:pPr>
              <w:spacing w:line="680" w:lineRule="exact"/>
              <w:rPr>
                <w:rFonts w:ascii="仿宋_GB2312" w:hAnsi="宋体" w:eastAsia="仿宋_GB2312"/>
                <w:sz w:val="32"/>
                <w:szCs w:val="32"/>
              </w:rPr>
            </w:pPr>
            <w:r>
              <w:rPr>
                <w:rFonts w:hint="eastAsia" w:ascii="仿宋_GB2312" w:hAnsi="宋体" w:eastAsia="仿宋_GB2312"/>
                <w:sz w:val="32"/>
                <w:szCs w:val="32"/>
              </w:rPr>
              <w:t>联系人</w:t>
            </w:r>
          </w:p>
        </w:tc>
        <w:tc>
          <w:tcPr>
            <w:tcW w:w="2551" w:type="dxa"/>
            <w:gridSpan w:val="2"/>
          </w:tcPr>
          <w:p>
            <w:pPr>
              <w:spacing w:line="680" w:lineRule="exact"/>
              <w:rPr>
                <w:rFonts w:ascii="仿宋_GB2312" w:hAnsi="宋体" w:eastAsia="仿宋_GB2312"/>
                <w:sz w:val="32"/>
                <w:szCs w:val="32"/>
              </w:rPr>
            </w:pPr>
            <w:r>
              <w:rPr>
                <w:rFonts w:hint="eastAsia" w:ascii="仿宋_GB2312" w:hAnsi="宋体" w:eastAsia="仿宋_GB2312"/>
                <w:sz w:val="32"/>
                <w:szCs w:val="32"/>
              </w:rPr>
              <w:t>任玉桐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工作单位</w:t>
            </w:r>
          </w:p>
        </w:tc>
        <w:tc>
          <w:tcPr>
            <w:tcW w:w="2977" w:type="dxa"/>
            <w:gridSpan w:val="2"/>
          </w:tcPr>
          <w:p>
            <w:pPr>
              <w:spacing w:line="680" w:lineRule="exact"/>
              <w:rPr>
                <w:rFonts w:ascii="仿宋_GB2312" w:hAnsi="宋体" w:eastAsia="仿宋_GB2312"/>
                <w:sz w:val="32"/>
                <w:szCs w:val="32"/>
              </w:rPr>
            </w:pPr>
            <w:r>
              <w:rPr>
                <w:rFonts w:hint="eastAsia" w:ascii="仿宋_GB2312" w:hAnsi="宋体" w:eastAsia="仿宋_GB2312"/>
                <w:sz w:val="32"/>
                <w:szCs w:val="32"/>
              </w:rPr>
              <w:t>广东省机器人协会</w:t>
            </w:r>
          </w:p>
        </w:tc>
        <w:tc>
          <w:tcPr>
            <w:tcW w:w="1276" w:type="dxa"/>
          </w:tcPr>
          <w:p>
            <w:pPr>
              <w:spacing w:line="680" w:lineRule="exact"/>
              <w:rPr>
                <w:rFonts w:ascii="仿宋_GB2312" w:hAnsi="宋体" w:eastAsia="仿宋_GB2312"/>
                <w:sz w:val="32"/>
                <w:szCs w:val="32"/>
              </w:rPr>
            </w:pPr>
            <w:r>
              <w:rPr>
                <w:rFonts w:hint="eastAsia" w:ascii="仿宋_GB2312" w:hAnsi="宋体" w:eastAsia="仿宋_GB2312"/>
                <w:sz w:val="32"/>
                <w:szCs w:val="32"/>
              </w:rPr>
              <w:t>职</w:t>
            </w:r>
            <w:r>
              <w:rPr>
                <w:rFonts w:ascii="仿宋_GB2312" w:hAnsi="宋体" w:eastAsia="仿宋_GB2312"/>
                <w:sz w:val="32"/>
                <w:szCs w:val="32"/>
              </w:rPr>
              <w:t xml:space="preserve">  </w:t>
            </w:r>
            <w:r>
              <w:rPr>
                <w:rFonts w:hint="eastAsia" w:ascii="仿宋_GB2312" w:hAnsi="宋体" w:eastAsia="仿宋_GB2312"/>
                <w:sz w:val="32"/>
                <w:szCs w:val="32"/>
              </w:rPr>
              <w:t>务</w:t>
            </w:r>
          </w:p>
        </w:tc>
        <w:tc>
          <w:tcPr>
            <w:tcW w:w="2551" w:type="dxa"/>
            <w:gridSpan w:val="2"/>
          </w:tcPr>
          <w:p>
            <w:pPr>
              <w:spacing w:line="680" w:lineRule="exact"/>
              <w:rPr>
                <w:rFonts w:ascii="仿宋_GB2312" w:hAnsi="宋体" w:eastAsia="仿宋_GB2312"/>
                <w:sz w:val="32"/>
                <w:szCs w:val="32"/>
              </w:rPr>
            </w:pPr>
            <w:r>
              <w:rPr>
                <w:rFonts w:hint="eastAsia" w:ascii="仿宋_GB2312" w:hAnsi="宋体" w:eastAsia="仿宋_GB2312"/>
                <w:sz w:val="32"/>
                <w:szCs w:val="32"/>
              </w:rPr>
              <w:t>执行会长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手机号码</w:t>
            </w:r>
          </w:p>
        </w:tc>
        <w:tc>
          <w:tcPr>
            <w:tcW w:w="2693" w:type="dxa"/>
          </w:tcPr>
          <w:p>
            <w:pPr>
              <w:spacing w:line="680" w:lineRule="exact"/>
              <w:rPr>
                <w:rFonts w:ascii="仿宋_GB2312" w:hAnsi="宋体" w:eastAsia="仿宋_GB2312"/>
                <w:sz w:val="32"/>
                <w:szCs w:val="32"/>
              </w:rPr>
            </w:pPr>
            <w:bookmarkStart w:id="0" w:name="_GoBack"/>
            <w:bookmarkEnd w:id="0"/>
          </w:p>
        </w:tc>
        <w:tc>
          <w:tcPr>
            <w:tcW w:w="1560" w:type="dxa"/>
            <w:gridSpan w:val="2"/>
          </w:tcPr>
          <w:p>
            <w:pPr>
              <w:spacing w:line="680" w:lineRule="exact"/>
              <w:rPr>
                <w:rFonts w:ascii="仿宋_GB2312" w:hAnsi="宋体" w:eastAsia="仿宋_GB2312"/>
                <w:sz w:val="32"/>
                <w:szCs w:val="32"/>
              </w:rPr>
            </w:pPr>
            <w:r>
              <w:rPr>
                <w:rFonts w:hint="eastAsia" w:ascii="仿宋_GB2312" w:hAnsi="宋体" w:eastAsia="仿宋_GB2312"/>
                <w:sz w:val="32"/>
                <w:szCs w:val="32"/>
              </w:rPr>
              <w:t>办公电话</w:t>
            </w:r>
          </w:p>
        </w:tc>
        <w:tc>
          <w:tcPr>
            <w:tcW w:w="2551" w:type="dxa"/>
            <w:gridSpan w:val="2"/>
          </w:tcPr>
          <w:p>
            <w:pPr>
              <w:spacing w:line="680" w:lineRule="exac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通讯地址</w:t>
            </w:r>
          </w:p>
        </w:tc>
        <w:tc>
          <w:tcPr>
            <w:tcW w:w="4253" w:type="dxa"/>
            <w:gridSpan w:val="3"/>
          </w:tcPr>
          <w:p>
            <w:pPr>
              <w:spacing w:line="680" w:lineRule="exact"/>
              <w:rPr>
                <w:rFonts w:ascii="仿宋_GB2312" w:hAnsi="宋体" w:eastAsia="仿宋_GB2312"/>
                <w:sz w:val="32"/>
                <w:szCs w:val="32"/>
              </w:rPr>
            </w:pPr>
          </w:p>
        </w:tc>
        <w:tc>
          <w:tcPr>
            <w:tcW w:w="992" w:type="dxa"/>
          </w:tcPr>
          <w:p>
            <w:pPr>
              <w:spacing w:line="680" w:lineRule="exact"/>
              <w:rPr>
                <w:rFonts w:ascii="仿宋_GB2312" w:hAnsi="宋体" w:eastAsia="仿宋_GB2312"/>
                <w:sz w:val="32"/>
                <w:szCs w:val="32"/>
              </w:rPr>
            </w:pPr>
            <w:r>
              <w:rPr>
                <w:rFonts w:hint="eastAsia" w:ascii="仿宋_GB2312" w:hAnsi="宋体" w:eastAsia="仿宋_GB2312"/>
                <w:sz w:val="32"/>
                <w:szCs w:val="32"/>
              </w:rPr>
              <w:t>邮编</w:t>
            </w:r>
          </w:p>
        </w:tc>
        <w:tc>
          <w:tcPr>
            <w:tcW w:w="1559" w:type="dxa"/>
          </w:tcPr>
          <w:p>
            <w:pPr>
              <w:spacing w:line="680" w:lineRule="exac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51" w:type="dxa"/>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联名提案人</w:t>
            </w:r>
          </w:p>
          <w:p>
            <w:pPr>
              <w:spacing w:line="680" w:lineRule="exact"/>
              <w:jc w:val="center"/>
              <w:rPr>
                <w:rFonts w:ascii="仿宋_GB2312" w:hAnsi="宋体" w:eastAsia="仿宋_GB2312"/>
                <w:spacing w:val="-14"/>
                <w:sz w:val="32"/>
                <w:szCs w:val="32"/>
              </w:rPr>
            </w:pPr>
            <w:r>
              <w:rPr>
                <w:rFonts w:hint="eastAsia" w:ascii="仿宋_GB2312" w:hAnsi="宋体" w:eastAsia="仿宋_GB2312"/>
                <w:spacing w:val="-14"/>
                <w:sz w:val="32"/>
                <w:szCs w:val="32"/>
              </w:rPr>
              <w:t>（如</w:t>
            </w:r>
            <w:r>
              <w:rPr>
                <w:rFonts w:hint="eastAsia" w:ascii="仿宋_GB2312" w:hAnsi="宋体" w:eastAsia="仿宋_GB2312"/>
                <w:spacing w:val="-14"/>
                <w:sz w:val="28"/>
                <w:szCs w:val="28"/>
              </w:rPr>
              <w:t>人数较多，可另附于文后</w:t>
            </w:r>
            <w:r>
              <w:rPr>
                <w:rFonts w:hint="eastAsia" w:ascii="仿宋_GB2312" w:hAnsi="宋体" w:eastAsia="仿宋_GB2312"/>
                <w:spacing w:val="-14"/>
                <w:sz w:val="32"/>
                <w:szCs w:val="32"/>
              </w:rPr>
              <w:t>）</w:t>
            </w:r>
          </w:p>
        </w:tc>
        <w:tc>
          <w:tcPr>
            <w:tcW w:w="6804" w:type="dxa"/>
            <w:gridSpan w:val="5"/>
          </w:tcPr>
          <w:p>
            <w:pPr>
              <w:spacing w:line="68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提案委员会</w:t>
            </w:r>
          </w:p>
          <w:p>
            <w:pPr>
              <w:spacing w:line="680" w:lineRule="exact"/>
              <w:jc w:val="center"/>
              <w:rPr>
                <w:rFonts w:ascii="仿宋_GB2312" w:hAnsi="宋体" w:eastAsia="仿宋_GB2312"/>
                <w:sz w:val="32"/>
                <w:szCs w:val="32"/>
              </w:rPr>
            </w:pPr>
            <w:r>
              <w:rPr>
                <w:rFonts w:hint="eastAsia" w:ascii="仿宋_GB2312" w:hAnsi="宋体" w:eastAsia="仿宋_GB2312"/>
                <w:sz w:val="32"/>
                <w:szCs w:val="32"/>
              </w:rPr>
              <w:t>审查意见</w:t>
            </w:r>
          </w:p>
        </w:tc>
        <w:tc>
          <w:tcPr>
            <w:tcW w:w="6804" w:type="dxa"/>
            <w:gridSpan w:val="5"/>
          </w:tcPr>
          <w:p>
            <w:pPr>
              <w:spacing w:line="680" w:lineRule="exact"/>
              <w:rPr>
                <w:rFonts w:ascii="仿宋_GB2312" w:hAnsi="宋体" w:eastAsia="仿宋_GB2312"/>
                <w:sz w:val="32"/>
                <w:szCs w:val="32"/>
              </w:rPr>
            </w:pPr>
          </w:p>
        </w:tc>
      </w:tr>
    </w:tbl>
    <w:p>
      <w:pPr>
        <w:spacing w:line="560" w:lineRule="exact"/>
        <w:rPr>
          <w:rFonts w:ascii="仿宋" w:hAnsi="仿宋" w:eastAsia="仿宋"/>
          <w:sz w:val="32"/>
          <w:szCs w:val="32"/>
        </w:rPr>
      </w:pPr>
      <w:r>
        <w:rPr>
          <w:rFonts w:hint="eastAsia" w:ascii="黑体" w:hAnsi="黑体" w:eastAsia="黑体"/>
          <w:sz w:val="32"/>
          <w:szCs w:val="32"/>
        </w:rPr>
        <w:t>根据实际情况在（）内打勾确认：</w:t>
      </w:r>
    </w:p>
    <w:p>
      <w:pPr>
        <w:spacing w:line="440" w:lineRule="exact"/>
        <w:rPr>
          <w:rFonts w:ascii="宋体"/>
          <w:b/>
          <w:sz w:val="30"/>
          <w:szCs w:val="30"/>
        </w:rPr>
      </w:pPr>
      <w:r>
        <w:rPr>
          <w:rFonts w:hint="eastAsia" w:ascii="宋体" w:hAnsi="宋体"/>
          <w:b/>
          <w:sz w:val="30"/>
          <w:szCs w:val="30"/>
        </w:rPr>
        <w:t>是否同意公开：</w:t>
      </w:r>
    </w:p>
    <w:p>
      <w:pPr>
        <w:spacing w:line="440" w:lineRule="exact"/>
        <w:rPr>
          <w:rFonts w:ascii="宋体"/>
          <w:sz w:val="30"/>
          <w:szCs w:val="30"/>
        </w:rPr>
      </w:pPr>
      <w:r>
        <w:rPr>
          <w:rFonts w:hint="eastAsia" w:ascii="宋体" w:hAnsi="宋体"/>
          <w:sz w:val="30"/>
          <w:szCs w:val="30"/>
        </w:rPr>
        <w:t>是（√）</w:t>
      </w:r>
      <w:r>
        <w:rPr>
          <w:rFonts w:ascii="宋体" w:hAnsi="宋体"/>
          <w:sz w:val="30"/>
          <w:szCs w:val="30"/>
        </w:rPr>
        <w:t xml:space="preserve">  </w:t>
      </w:r>
      <w:r>
        <w:rPr>
          <w:rFonts w:hint="eastAsia" w:ascii="宋体" w:hAnsi="宋体"/>
          <w:sz w:val="30"/>
          <w:szCs w:val="30"/>
        </w:rPr>
        <w:t>否（）</w:t>
      </w:r>
      <w:r>
        <w:rPr>
          <w:rFonts w:ascii="宋体" w:hAnsi="宋体"/>
          <w:sz w:val="30"/>
          <w:szCs w:val="30"/>
        </w:rPr>
        <w:t xml:space="preserve"> </w:t>
      </w:r>
    </w:p>
    <w:p>
      <w:pPr>
        <w:spacing w:line="440" w:lineRule="exact"/>
        <w:rPr>
          <w:rFonts w:ascii="黑体" w:hAnsi="黑体" w:eastAsia="黑体"/>
          <w:b/>
          <w:sz w:val="32"/>
          <w:szCs w:val="32"/>
        </w:rPr>
      </w:pPr>
    </w:p>
    <w:p>
      <w:pPr>
        <w:spacing w:line="440" w:lineRule="exact"/>
        <w:rPr>
          <w:rFonts w:ascii="黑体" w:hAnsi="黑体" w:eastAsia="黑体"/>
          <w:b/>
          <w:sz w:val="32"/>
          <w:szCs w:val="32"/>
        </w:rPr>
      </w:pPr>
    </w:p>
    <w:p>
      <w:pPr>
        <w:spacing w:line="560" w:lineRule="exact"/>
        <w:rPr>
          <w:rFonts w:hint="eastAsia" w:ascii="黑体" w:hAnsi="黑体" w:eastAsia="黑体" w:cs="黑体"/>
          <w:b/>
          <w:bCs/>
          <w:sz w:val="32"/>
          <w:szCs w:val="32"/>
        </w:rPr>
      </w:pPr>
      <w:r>
        <w:rPr>
          <w:rFonts w:hint="eastAsia" w:ascii="黑体" w:hAnsi="黑体" w:eastAsia="黑体" w:cs="黑体"/>
          <w:b/>
          <w:bCs/>
          <w:sz w:val="32"/>
          <w:szCs w:val="32"/>
        </w:rPr>
        <w:t>理</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由：</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中共中央把大湾区建设看作政府工作的重中之重，并先后出台了《政府工作报告》《深化粤港澳合作 推进大湾区建设框架协议》《粤港澳大湾区发展规划纲要》等政策性文件，明确指出：推动制造业智能化发展，以机器人及其关键零部件、高速高精加工装备和智能成套装备为重点，大力发展智能制造装备和产品，培育一批具有系统集成能力、智能装备开发能力和关键部件研发生产能力的智能制造骨干企业。番禺区应发挥粤港澳大湾区的区位优势，大力支持汽车、电子、装备制造、灯光音响、红木珠宝等优势产业，推动我区传统制造业的智能化转型升级，促进粤港澳大湾区制造业高质量发展。</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尽管智能制造在汽车、电子、装备制造、医疗防控、物资生产以及城市管理领域的应用已有一定基础，但受限于自身技术及行业各自的局限性，“制造”向“智造”转化进程中仍面临诸多问题，主要体现在以下几方面：</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（一）“制造”向“智造”推广深度广度不够</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“制造”向“智造”的应用实践大多以点状探索和增量式创新为主，应用的深度不足，可规模化复制推广的场景相对较少。</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（二）“智造”整体技术含量不高，产业竞争力仍有待提升</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一是“智造”的关键核心技术仍未完全掌握，核心零部件未能完全“国产化”；二是“智造”的输出以低端产品为主；三是“智造”产业检测、认证、标准等体系尚未完善，产品质量控制能力有待加强。</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（三）“制造”向“智造”转化的主要障碍是缺乏专业人才</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缺乏“智造”专业运用人才,使企业不能够进行“制造”向“智造”的转化升级，特别是应用方面，知识和经验还不同程度地匮乏。</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（四）“智造”缺乏开放的应用示范平台</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由于各行业出于各自的利益需要,建立自己的行业技术壁垒,使得“智造”的推广应用变得困难，缺乏开放的应用示范平台。</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（五）本地企业和外资企业差距明显，中小企业与大企业相比应用落后</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外资企业“智造”的程度普遍领先本地企业,中小企业与大企业相比，受到资金不足等各方面影响，“智造”应用明显不足。</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（六）资金和成本制约企业“制造”向“智造”转化</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“智造”的运用是跨学科融合，前期一次性投入大、技术改造的成本高，这提高了“智造”应用的门槛。特别是中小企业普遍存在技术改造资金不足的问题，制约了“制造”向“智造”转化进程。</w:t>
      </w:r>
    </w:p>
    <w:p>
      <w:pPr>
        <w:spacing w:line="56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办  法：</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（一）“制造”向“智造”转化进程要有系统思维</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“制造”向“智造”转化进程要有系统思维，不能舍本逐末，把“智造”只看成具体的技术或工具，而是要“制造”向“智造”转型的“4 转 1 化”，即转思想、转战略、转战术、转手段与建立适应“制造”向“智造”转化的企业文化，打造人机共融，人机协同的企业文化，让产品和服务有竞争力。</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（二）以科技创新推动“制造”向“智造”转化</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要加强自主创新和关键核心技术突破。要充分发挥我区专精特新企业、制造业单项冠军企业及广州大学城高校人才、技术等资源要素集聚优势，着力构建粤港澳大湾区一流创新生态圈。加强自主创新，统筹各方技术优势，开展前沿技术、颠覆性技术的联合攻关，有效解决“卡脖子”技术问题，为“制造”向“智造”转化提供强有力的技术支撑。</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二要大力支持科技创新平台建设，建立国家级科技创新平台、示范平台。大胆探索多种合作模式，促进行业内信息交流和跨界合作，实现跨机构、跨区域的资源整合与信息共享。</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三要推进基础标准、检测评定方法标准、行业标准、产品标准等标准体系建设，力争形成国家标准乃至国际标准，掌握市场竞争话语权。</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（三）建立多层次、应用型人才教育培训体制，壮大产业发展人才库</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一是要围绕粤港澳大湾区“制造”向“智造”转化的发展需求，重点抓好专业技能人才队伍建设，面向全球精准引进一批智能制造领域内专业技能高精尖人才及高端创新创业团队。</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二是要加大智能制造领域人才培养力度，培养从系统集成、安装调试、操作维护到运行管理的多层次、多类型应用型人才。</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是支持第三方行业组织、企业与高等院校、专业培训机构与产业集聚区建立合作关系，共同推动建立符合我区智能制造产业发展需求的人才实训基地，重点培训面向操作的应用型人才，对培训合格的专业人才由相关机构出具资格认证，营造有利于智能制造产业发展的良好氛围。</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四是要完善人才激励制度，优先引进研发、设计、管理等环节的紧缺人才，做好高端人才的子女教育、配偶就业、社保医疗等服务保障工作。</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（四）加大精准招商工作力度</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大力支持我区汽车、电子、装备制造、灯光音响、红木、珠宝、动漫等优势产业的发展、做大做强，同时积极推动智能制造行业巨头进入或扩大在我区的投资，完善粤港澳大湾区智能装备关键零部件配套供给体系。</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（五）加强政策扶持，强化要素支撑</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大力支持智能装备产业园的重点建设项目、重点平台建设，推广应用智能装备创新产品，积极争取首台套、首版次、首批次政策扶持。</w:t>
      </w:r>
    </w:p>
    <w:p>
      <w:pPr>
        <w:spacing w:line="600" w:lineRule="exact"/>
        <w:ind w:firstLine="643" w:firstLineChars="200"/>
        <w:jc w:val="left"/>
        <w:rPr>
          <w:rFonts w:hint="eastAsia" w:ascii="楷体" w:hAnsi="楷体" w:eastAsia="楷体" w:cs="楷体"/>
          <w:b/>
          <w:bCs/>
          <w:kern w:val="2"/>
          <w:sz w:val="32"/>
          <w:szCs w:val="24"/>
          <w:lang w:val="en-US" w:eastAsia="zh-CN" w:bidi="ar-SA"/>
        </w:rPr>
      </w:pPr>
      <w:r>
        <w:rPr>
          <w:rFonts w:hint="eastAsia" w:ascii="楷体" w:hAnsi="楷体" w:eastAsia="楷体" w:cs="楷体"/>
          <w:b/>
          <w:bCs/>
          <w:kern w:val="2"/>
          <w:sz w:val="32"/>
          <w:szCs w:val="24"/>
          <w:lang w:val="en-US" w:eastAsia="zh-CN" w:bidi="ar-SA"/>
        </w:rPr>
        <w:t>（六）充分发挥行业组织的作用</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要充分发挥行业组织对本行业痛点难点信息的收集作用，赋能行业组织，让行业组织在“制造”向“智造”转化过程真正起着重要的桥梁与纽带作用。同时，应大力鼓励与支持行业组织牵头智能制造与细分行业、龙头企业的精准对接，助力企业进行智能化转型升级和创新发展，帮助“智造”对接应用场景，拓展市场。</w:t>
      </w:r>
    </w:p>
    <w:sectPr>
      <w:headerReference r:id="rId3" w:type="default"/>
      <w:footerReference r:id="rId4" w:type="default"/>
      <w:pgSz w:w="11906" w:h="16838"/>
      <w:pgMar w:top="1985"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en-US"/>
      </w:rPr>
      <w:fldChar w:fldCharType="begin"/>
    </w:r>
    <w:r>
      <w:instrText xml:space="preserve"> PAGE   \* MERGEFORMAT </w:instrText>
    </w:r>
    <w:r>
      <w:rPr>
        <w:lang w:val="en-US"/>
      </w:rPr>
      <w:fldChar w:fldCharType="separate"/>
    </w:r>
    <w:r>
      <w:rPr>
        <w:lang w:val="zh-CN"/>
      </w:rPr>
      <w:t>2</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61D1B2D"/>
    <w:rsid w:val="0000083E"/>
    <w:rsid w:val="00073E2D"/>
    <w:rsid w:val="00154E9E"/>
    <w:rsid w:val="001F1053"/>
    <w:rsid w:val="00252947"/>
    <w:rsid w:val="00322A5F"/>
    <w:rsid w:val="003646A9"/>
    <w:rsid w:val="0040502E"/>
    <w:rsid w:val="004470EA"/>
    <w:rsid w:val="00485B68"/>
    <w:rsid w:val="004F4B0B"/>
    <w:rsid w:val="005D464A"/>
    <w:rsid w:val="006D491F"/>
    <w:rsid w:val="00705352"/>
    <w:rsid w:val="00777312"/>
    <w:rsid w:val="007E19D1"/>
    <w:rsid w:val="00875190"/>
    <w:rsid w:val="00936125"/>
    <w:rsid w:val="009C3E88"/>
    <w:rsid w:val="00A85D11"/>
    <w:rsid w:val="00DB0066"/>
    <w:rsid w:val="00EA0D1A"/>
    <w:rsid w:val="00ED5C60"/>
    <w:rsid w:val="00EE1B8D"/>
    <w:rsid w:val="00EE6F12"/>
    <w:rsid w:val="00FC1CD9"/>
    <w:rsid w:val="0FD30A53"/>
    <w:rsid w:val="4093126E"/>
    <w:rsid w:val="4BAF5295"/>
    <w:rsid w:val="561D1B2D"/>
    <w:rsid w:val="59012204"/>
    <w:rsid w:val="640D3B95"/>
    <w:rsid w:val="713A6D5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0"/>
    <w:qFormat/>
    <w:uiPriority w:val="99"/>
    <w:pPr>
      <w:spacing w:line="360" w:lineRule="auto"/>
      <w:ind w:firstLine="1040" w:firstLineChars="200"/>
    </w:pPr>
    <w:rPr>
      <w:sz w:val="24"/>
    </w:rPr>
  </w:style>
  <w:style w:type="paragraph" w:styleId="3">
    <w:name w:val="Body Text Indent"/>
    <w:basedOn w:val="1"/>
    <w:link w:val="9"/>
    <w:qFormat/>
    <w:uiPriority w:val="99"/>
    <w:pPr>
      <w:ind w:firstLine="645"/>
    </w:pPr>
    <w:rPr>
      <w:kern w:val="0"/>
      <w:sz w:val="20"/>
    </w:rPr>
  </w:style>
  <w:style w:type="paragraph" w:styleId="4">
    <w:name w:val="footer"/>
    <w:basedOn w:val="1"/>
    <w:link w:val="11"/>
    <w:qFormat/>
    <w:uiPriority w:val="99"/>
    <w:pPr>
      <w:tabs>
        <w:tab w:val="center" w:pos="4153"/>
        <w:tab w:val="right" w:pos="8306"/>
      </w:tabs>
      <w:snapToGrid w:val="0"/>
      <w:jc w:val="left"/>
    </w:pPr>
    <w:rPr>
      <w:kern w:val="0"/>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正文文本缩进 Char"/>
    <w:link w:val="3"/>
    <w:semiHidden/>
    <w:qFormat/>
    <w:uiPriority w:val="99"/>
    <w:rPr>
      <w:rFonts w:ascii="Times New Roman" w:hAnsi="Times New Roman"/>
      <w:szCs w:val="24"/>
    </w:rPr>
  </w:style>
  <w:style w:type="character" w:customStyle="1" w:styleId="10">
    <w:name w:val="正文首行缩进 2 Char"/>
    <w:basedOn w:val="9"/>
    <w:link w:val="2"/>
    <w:semiHidden/>
    <w:qFormat/>
    <w:uiPriority w:val="99"/>
    <w:rPr>
      <w:rFonts w:ascii="Times New Roman" w:hAnsi="Times New Roman"/>
      <w:szCs w:val="24"/>
    </w:rPr>
  </w:style>
  <w:style w:type="character" w:customStyle="1" w:styleId="11">
    <w:name w:val="页脚 Char"/>
    <w:link w:val="4"/>
    <w:semiHidden/>
    <w:qFormat/>
    <w:uiPriority w:val="99"/>
    <w:rPr>
      <w:rFonts w:ascii="Times New Roman" w:hAnsi="Times New Roman"/>
      <w:sz w:val="18"/>
      <w:szCs w:val="18"/>
    </w:rPr>
  </w:style>
  <w:style w:type="character" w:customStyle="1" w:styleId="12">
    <w:name w:val="页眉 Char"/>
    <w:link w:val="5"/>
    <w:semiHidden/>
    <w:qFormat/>
    <w:uiPriority w:val="99"/>
    <w:rPr>
      <w:rFonts w:ascii="Times New Roman" w:hAnsi="Times New Roman"/>
      <w:sz w:val="18"/>
      <w:szCs w:val="18"/>
    </w:rPr>
  </w:style>
  <w:style w:type="paragraph" w:customStyle="1" w:styleId="13">
    <w:name w:val="列出段落1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其他</Company>
  <Pages>6</Pages>
  <Words>359</Words>
  <Characters>2048</Characters>
  <Lines>17</Lines>
  <Paragraphs>4</Paragraphs>
  <TotalTime>51</TotalTime>
  <ScaleCrop>false</ScaleCrop>
  <LinksUpToDate>false</LinksUpToDate>
  <CharactersWithSpaces>2403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2021-12-31T03:34:00Z</dcterms:created>
  <dc:creator>Administrator</dc:creator>
  <cp:lastModifiedBy>user</cp:lastModifiedBy>
  <dcterms:modified xsi:type="dcterms:W3CDTF">2023-11-21T10:21:52Z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3DEE490C556C48D4856D6F2644B2F38A</vt:lpwstr>
  </property>
</Properties>
</file>