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960"/>
        <w:rPr>
          <w:rFonts w:hint="eastAsia"/>
        </w:rPr>
      </w:pPr>
      <w:r>
        <w:rPr>
          <w:rFonts w:hint="eastAsia" w:ascii="仿宋" w:hAnsi="仿宋" w:eastAsia="仿宋"/>
          <w:sz w:val="32"/>
          <w:szCs w:val="32"/>
          <w:lang w:eastAsia="zh-CN"/>
        </w:rPr>
        <w:t>附件</w:t>
      </w:r>
      <w:r>
        <w:rPr>
          <w:rFonts w:hint="eastAsia" w:ascii="仿宋" w:hAnsi="仿宋" w:eastAsia="仿宋"/>
          <w:sz w:val="32"/>
          <w:szCs w:val="32"/>
          <w:lang w:val="en-US" w:eastAsia="zh-CN"/>
        </w:rPr>
        <w:t>2：</w:t>
      </w:r>
    </w:p>
    <w:p>
      <w:pPr>
        <w:jc w:val="right"/>
        <w:rPr>
          <w:rFonts w:hint="eastAsia" w:ascii="宋体" w:hAnsi="宋体"/>
          <w:sz w:val="32"/>
          <w:szCs w:val="32"/>
        </w:rPr>
      </w:pPr>
      <w:r>
        <w:rPr>
          <w:rFonts w:hint="eastAsia" w:ascii="宋体" w:hAnsi="宋体"/>
          <w:sz w:val="32"/>
          <w:szCs w:val="32"/>
        </w:rPr>
        <w:t>第</w:t>
      </w:r>
      <w:r>
        <w:rPr>
          <w:rFonts w:ascii="宋体" w:hAnsi="宋体"/>
          <w:sz w:val="32"/>
          <w:szCs w:val="32"/>
          <w:u w:val="single"/>
        </w:rPr>
        <w:t xml:space="preserve">   </w:t>
      </w:r>
      <w:r>
        <w:rPr>
          <w:rFonts w:hint="eastAsia" w:ascii="宋体" w:hAnsi="宋体"/>
          <w:sz w:val="32"/>
          <w:szCs w:val="32"/>
          <w:u w:val="single"/>
          <w:lang w:val="en-US" w:eastAsia="zh-CN"/>
        </w:rPr>
        <w:t>14</w:t>
      </w:r>
      <w:r>
        <w:rPr>
          <w:rFonts w:ascii="宋体" w:hAnsi="宋体"/>
          <w:sz w:val="32"/>
          <w:szCs w:val="32"/>
          <w:u w:val="single"/>
        </w:rPr>
        <w:t xml:space="preserve">   </w:t>
      </w:r>
      <w:r>
        <w:rPr>
          <w:rFonts w:hint="eastAsia" w:ascii="宋体" w:hAnsi="宋体"/>
          <w:sz w:val="32"/>
          <w:szCs w:val="32"/>
        </w:rPr>
        <w:t>号</w:t>
      </w:r>
    </w:p>
    <w:p>
      <w:pPr>
        <w:jc w:val="center"/>
        <w:rPr>
          <w:rFonts w:ascii="小标宋" w:hAnsi="黑体" w:eastAsia="小标宋"/>
          <w:sz w:val="44"/>
          <w:szCs w:val="44"/>
        </w:rPr>
      </w:pPr>
      <w:r>
        <w:rPr>
          <w:rFonts w:hint="eastAsia" w:ascii="小标宋" w:hAnsi="黑体" w:eastAsia="小标宋"/>
          <w:sz w:val="44"/>
          <w:szCs w:val="44"/>
        </w:rPr>
        <w:t>番禺区政协十</w:t>
      </w:r>
      <w:r>
        <w:rPr>
          <w:rFonts w:hint="eastAsia" w:ascii="小标宋" w:hAnsi="黑体" w:eastAsia="小标宋"/>
          <w:sz w:val="44"/>
          <w:szCs w:val="44"/>
          <w:lang w:eastAsia="zh-CN"/>
        </w:rPr>
        <w:t>五</w:t>
      </w:r>
      <w:r>
        <w:rPr>
          <w:rFonts w:hint="eastAsia" w:ascii="小标宋" w:hAnsi="黑体" w:eastAsia="小标宋"/>
          <w:sz w:val="44"/>
          <w:szCs w:val="44"/>
        </w:rPr>
        <w:t>届</w:t>
      </w:r>
      <w:r>
        <w:rPr>
          <w:rFonts w:hint="eastAsia" w:ascii="小标宋" w:hAnsi="黑体" w:eastAsia="小标宋"/>
          <w:sz w:val="44"/>
          <w:szCs w:val="44"/>
          <w:lang w:eastAsia="zh-CN"/>
        </w:rPr>
        <w:t>二</w:t>
      </w:r>
      <w:r>
        <w:rPr>
          <w:rFonts w:hint="eastAsia" w:ascii="小标宋" w:hAnsi="黑体" w:eastAsia="小标宋"/>
          <w:sz w:val="44"/>
          <w:szCs w:val="44"/>
        </w:rPr>
        <w:t>次会议提案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93"/>
        <w:gridCol w:w="284"/>
        <w:gridCol w:w="1276"/>
        <w:gridCol w:w="99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题目</w:t>
            </w:r>
          </w:p>
        </w:tc>
        <w:tc>
          <w:tcPr>
            <w:tcW w:w="6571" w:type="dxa"/>
            <w:gridSpan w:val="5"/>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 w:eastAsia="仿宋" w:cs="宋体"/>
                <w:kern w:val="0"/>
                <w:sz w:val="32"/>
                <w:szCs w:val="32"/>
                <w:lang w:val="en-US" w:eastAsia="zh-CN"/>
              </w:rPr>
              <w:t>关于</w:t>
            </w:r>
            <w:r>
              <w:rPr>
                <w:rFonts w:hint="eastAsia" w:ascii="仿宋" w:eastAsia="仿宋" w:cs="宋体"/>
                <w:kern w:val="0"/>
                <w:sz w:val="32"/>
                <w:szCs w:val="32"/>
              </w:rPr>
              <w:t>番禺钻石产业发展</w:t>
            </w:r>
            <w:r>
              <w:rPr>
                <w:rFonts w:hint="eastAsia" w:ascii="仿宋" w:eastAsia="仿宋" w:cs="宋体"/>
                <w:kern w:val="0"/>
                <w:sz w:val="32"/>
                <w:szCs w:val="32"/>
                <w:lang w:val="en-US" w:eastAsia="zh-CN"/>
              </w:rPr>
              <w:t>的</w:t>
            </w:r>
            <w:r>
              <w:rPr>
                <w:rFonts w:hint="eastAsia" w:ascii="仿宋" w:eastAsia="仿宋" w:cs="宋体"/>
                <w:kern w:val="0"/>
                <w:sz w:val="32"/>
                <w:szCs w:val="32"/>
              </w:rPr>
              <w:t>几点建议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提案者</w:t>
            </w:r>
          </w:p>
        </w:tc>
        <w:tc>
          <w:tcPr>
            <w:tcW w:w="2977"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 w:eastAsia="仿宋" w:cs="宋体"/>
                <w:kern w:val="0"/>
                <w:sz w:val="32"/>
                <w:szCs w:val="32"/>
              </w:rPr>
              <w:t>张俊</w:t>
            </w: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rPr>
              <w:t>联系人</w:t>
            </w:r>
          </w:p>
        </w:tc>
        <w:tc>
          <w:tcPr>
            <w:tcW w:w="2318"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 w:eastAsia="仿宋" w:cs="宋体"/>
                <w:kern w:val="0"/>
                <w:sz w:val="32"/>
                <w:szCs w:val="32"/>
              </w:rPr>
              <w:t>张俊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工作单位</w:t>
            </w:r>
          </w:p>
        </w:tc>
        <w:tc>
          <w:tcPr>
            <w:tcW w:w="2977"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 w:eastAsia="仿宋" w:cs="宋体"/>
                <w:kern w:val="0"/>
                <w:sz w:val="32"/>
                <w:szCs w:val="32"/>
              </w:rPr>
              <w:t>番禺海关</w:t>
            </w: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rPr>
              <w:t>职</w:t>
            </w:r>
            <w:r>
              <w:rPr>
                <w:rFonts w:ascii="仿宋_GB2312" w:hAnsi="宋体" w:eastAsia="仿宋_GB2312"/>
                <w:sz w:val="32"/>
                <w:szCs w:val="32"/>
              </w:rPr>
              <w:t xml:space="preserve">  </w:t>
            </w:r>
            <w:r>
              <w:rPr>
                <w:rFonts w:hint="eastAsia" w:ascii="仿宋_GB2312" w:hAnsi="宋体" w:eastAsia="仿宋_GB2312"/>
                <w:sz w:val="32"/>
                <w:szCs w:val="32"/>
              </w:rPr>
              <w:t>务</w:t>
            </w:r>
          </w:p>
        </w:tc>
        <w:tc>
          <w:tcPr>
            <w:tcW w:w="2318"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 w:eastAsia="仿宋" w:cs="宋体"/>
                <w:kern w:val="0"/>
                <w:sz w:val="32"/>
                <w:szCs w:val="32"/>
              </w:rPr>
              <w:t>副关长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手机号码</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p>
        </w:tc>
        <w:tc>
          <w:tcPr>
            <w:tcW w:w="1560"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rPr>
              <w:t>办公电话</w:t>
            </w:r>
          </w:p>
        </w:tc>
        <w:tc>
          <w:tcPr>
            <w:tcW w:w="2318"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通讯地址</w:t>
            </w:r>
          </w:p>
        </w:tc>
        <w:tc>
          <w:tcPr>
            <w:tcW w:w="4253" w:type="dxa"/>
            <w:gridSpan w:val="3"/>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rPr>
              <w:t>邮编</w:t>
            </w: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default" w:ascii="仿宋_GB2312" w:hAnsi="宋体" w:eastAsia="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联名提案人</w:t>
            </w:r>
          </w:p>
          <w:p>
            <w:pPr>
              <w:spacing w:line="680" w:lineRule="exact"/>
              <w:jc w:val="center"/>
              <w:rPr>
                <w:rFonts w:ascii="仿宋_GB2312" w:hAnsi="宋体" w:eastAsia="仿宋_GB2312"/>
                <w:spacing w:val="-14"/>
                <w:sz w:val="32"/>
                <w:szCs w:val="32"/>
              </w:rPr>
            </w:pPr>
            <w:r>
              <w:rPr>
                <w:rFonts w:hint="eastAsia" w:ascii="仿宋_GB2312" w:hAnsi="宋体" w:eastAsia="仿宋_GB2312"/>
                <w:spacing w:val="-14"/>
                <w:sz w:val="32"/>
                <w:szCs w:val="32"/>
              </w:rPr>
              <w:t>（如</w:t>
            </w:r>
            <w:r>
              <w:rPr>
                <w:rFonts w:hint="eastAsia" w:ascii="仿宋_GB2312" w:hAnsi="宋体" w:eastAsia="仿宋_GB2312"/>
                <w:spacing w:val="-14"/>
                <w:sz w:val="28"/>
                <w:szCs w:val="28"/>
              </w:rPr>
              <w:t>人数较多，可另附于文后</w:t>
            </w:r>
            <w:r>
              <w:rPr>
                <w:rFonts w:hint="eastAsia" w:ascii="仿宋_GB2312" w:hAnsi="宋体" w:eastAsia="仿宋_GB2312"/>
                <w:spacing w:val="-14"/>
                <w:sz w:val="32"/>
                <w:szCs w:val="32"/>
              </w:rPr>
              <w:t>）</w:t>
            </w:r>
          </w:p>
        </w:tc>
        <w:tc>
          <w:tcPr>
            <w:tcW w:w="6571" w:type="dxa"/>
            <w:gridSpan w:val="5"/>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提案委员会</w:t>
            </w:r>
          </w:p>
          <w:p>
            <w:pPr>
              <w:spacing w:line="680" w:lineRule="exact"/>
              <w:jc w:val="center"/>
              <w:rPr>
                <w:rFonts w:ascii="仿宋_GB2312" w:hAnsi="宋体" w:eastAsia="仿宋_GB2312"/>
                <w:sz w:val="32"/>
                <w:szCs w:val="32"/>
              </w:rPr>
            </w:pPr>
            <w:r>
              <w:rPr>
                <w:rFonts w:hint="eastAsia" w:ascii="仿宋_GB2312" w:hAnsi="宋体" w:eastAsia="仿宋_GB2312"/>
                <w:sz w:val="32"/>
                <w:szCs w:val="32"/>
              </w:rPr>
              <w:t>审查意见</w:t>
            </w:r>
          </w:p>
        </w:tc>
        <w:tc>
          <w:tcPr>
            <w:tcW w:w="6571" w:type="dxa"/>
            <w:gridSpan w:val="5"/>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p>
        </w:tc>
      </w:tr>
    </w:tbl>
    <w:p>
      <w:pPr>
        <w:spacing w:line="560" w:lineRule="exact"/>
        <w:rPr>
          <w:rFonts w:hint="eastAsia" w:ascii="仿宋" w:hAnsi="仿宋" w:eastAsia="仿宋"/>
          <w:sz w:val="32"/>
          <w:szCs w:val="32"/>
          <w:lang w:val="en-US" w:eastAsia="zh-CN"/>
        </w:rPr>
      </w:pPr>
      <w:r>
        <w:rPr>
          <w:rFonts w:hint="eastAsia" w:ascii="黑体" w:hAnsi="黑体" w:eastAsia="黑体"/>
          <w:sz w:val="32"/>
          <w:szCs w:val="32"/>
        </w:rPr>
        <w:t>根据实际情况在</w:t>
      </w:r>
      <w:r>
        <w:rPr>
          <w:rFonts w:hint="eastAsia" w:ascii="黑体" w:hAnsi="黑体" w:eastAsia="黑体"/>
          <w:sz w:val="32"/>
          <w:szCs w:val="32"/>
          <w:lang w:eastAsia="zh-CN"/>
        </w:rPr>
        <w:t>（）</w:t>
      </w:r>
      <w:r>
        <w:rPr>
          <w:rFonts w:hint="eastAsia" w:ascii="黑体" w:hAnsi="黑体" w:eastAsia="黑体"/>
          <w:sz w:val="32"/>
          <w:szCs w:val="32"/>
        </w:rPr>
        <w:t>内打勾确认：</w:t>
      </w:r>
    </w:p>
    <w:p>
      <w:pPr>
        <w:spacing w:line="440" w:lineRule="exact"/>
        <w:rPr>
          <w:rFonts w:ascii="宋体" w:hAnsi="宋体"/>
          <w:b/>
          <w:sz w:val="30"/>
          <w:szCs w:val="30"/>
        </w:rPr>
      </w:pPr>
      <w:r>
        <w:rPr>
          <w:rFonts w:hint="eastAsia" w:ascii="宋体" w:hAnsi="宋体"/>
          <w:b/>
          <w:sz w:val="30"/>
          <w:szCs w:val="30"/>
          <w:lang w:eastAsia="zh-CN"/>
        </w:rPr>
        <w:t>是否同意公开</w:t>
      </w:r>
      <w:r>
        <w:rPr>
          <w:rFonts w:hint="eastAsia" w:ascii="宋体" w:hAnsi="宋体"/>
          <w:b/>
          <w:sz w:val="30"/>
          <w:szCs w:val="30"/>
        </w:rPr>
        <w:t>：</w:t>
      </w:r>
    </w:p>
    <w:p>
      <w:pPr>
        <w:spacing w:line="440" w:lineRule="exact"/>
        <w:rPr>
          <w:rFonts w:ascii="宋体"/>
          <w:sz w:val="30"/>
          <w:szCs w:val="30"/>
        </w:rPr>
      </w:pPr>
      <w:r>
        <w:rPr>
          <w:rFonts w:hint="eastAsia" w:ascii="宋体" w:hAnsi="宋体"/>
          <w:sz w:val="30"/>
          <w:szCs w:val="30"/>
          <w:lang w:eastAsia="zh-CN"/>
        </w:rPr>
        <w:t>是（）</w:t>
      </w:r>
      <w:r>
        <w:rPr>
          <w:rFonts w:ascii="宋体" w:hAnsi="宋体"/>
          <w:sz w:val="30"/>
          <w:szCs w:val="30"/>
        </w:rPr>
        <w:t xml:space="preserve">  </w:t>
      </w:r>
      <w:r>
        <w:rPr>
          <w:rFonts w:hint="eastAsia" w:ascii="宋体" w:hAnsi="宋体"/>
          <w:sz w:val="30"/>
          <w:szCs w:val="30"/>
          <w:lang w:eastAsia="zh-CN"/>
        </w:rPr>
        <w:t>否（）</w:t>
      </w:r>
      <w:r>
        <w:rPr>
          <w:rFonts w:ascii="宋体" w:hAnsi="宋体"/>
          <w:sz w:val="30"/>
          <w:szCs w:val="30"/>
        </w:rPr>
        <w:t xml:space="preserve"> </w:t>
      </w:r>
    </w:p>
    <w:p/>
    <w:p>
      <w:pPr>
        <w:pStyle w:val="2"/>
      </w:pPr>
    </w:p>
    <w:p>
      <w:pPr>
        <w:pStyle w:val="2"/>
      </w:pPr>
    </w:p>
    <w:p>
      <w:pPr>
        <w:pStyle w:val="2"/>
      </w:pPr>
    </w:p>
    <w:p>
      <w:pPr>
        <w:pStyle w:val="2"/>
      </w:pPr>
    </w:p>
    <w:p>
      <w:pPr>
        <w:pStyle w:val="2"/>
      </w:pPr>
    </w:p>
    <w:p>
      <w:pPr>
        <w:spacing w:line="600" w:lineRule="exact"/>
        <w:jc w:val="left"/>
        <w:rPr>
          <w:rFonts w:hint="eastAsia" w:ascii="仿宋" w:hAnsi="仿宋" w:eastAsia="仿宋" w:cs="仿宋"/>
          <w:kern w:val="2"/>
          <w:sz w:val="32"/>
          <w:szCs w:val="32"/>
          <w:lang w:val="en-US" w:eastAsia="zh-CN" w:bidi="ar-SA"/>
        </w:rPr>
      </w:pPr>
      <w:r>
        <w:rPr>
          <w:rFonts w:hint="eastAsia" w:ascii="黑体" w:hAnsi="黑体" w:eastAsia="黑体"/>
          <w:b/>
          <w:sz w:val="32"/>
          <w:szCs w:val="32"/>
        </w:rPr>
        <w:t>理</w:t>
      </w:r>
      <w:r>
        <w:rPr>
          <w:rFonts w:hint="eastAsia" w:ascii="黑体" w:hAnsi="黑体" w:eastAsia="黑体"/>
          <w:b/>
          <w:sz w:val="32"/>
          <w:szCs w:val="32"/>
          <w:lang w:val="en-US" w:eastAsia="zh-CN"/>
        </w:rPr>
        <w:t xml:space="preserve">  </w:t>
      </w:r>
      <w:r>
        <w:rPr>
          <w:rFonts w:hint="eastAsia" w:ascii="黑体" w:hAnsi="黑体" w:eastAsia="黑体"/>
          <w:b/>
          <w:sz w:val="32"/>
          <w:szCs w:val="32"/>
        </w:rPr>
        <w:t>由：</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广州市是全球钻石贸易重要加工基地，经过改革开放近40多年的发展，聚集了加工、设计、展览、贸易、检测、物流、金融等一体的综合型钻石珠宝产业群，并打造了“世界珠宝，番禺智造”的金字招牌。番禺区作为全世界范围内著名的钻石珠宝产业聚集地，产业历史悠久、基础雄厚、市场主体活跃、纵横配套系统完备，具有广阔的发展前景，展现出较强的韧劲和内生动力。</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受限于我国当前的钻石进出口政策，钻石的一般贸易必须经上海钻石交易所进出口。港澳厂商从国际市场输送到广东加工的成品钻石，须按加工贸易方式出境后绕道至上海，再按一般贸易方式进口回到广东，通过首饰生产企业进入大湾区内各产业集散地，最后销往国内市场，手续繁复且运输、交易费用高，严重影响了钻石行业在广州的发展壮大。港澳地区丰富的国际钻石资源网络、金融和外汇体系，以及广东殷实的产业基础和国内辐射能力，难以与国内巨大的消费市场实现便捷对接，这使得以粤港澳大湾区为主的中国钻石产业一直停留在简单的加工贸易，难以有效实现转型升级，并进一步影响国家产业优化发展计划的实施和国际影响力的发挥。近年叠加疫情的影响，番禺区钻石产业的发展逐步遇到瓶颈。</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贯彻落实“六稳”“六保”重大部署，大力推动、加快建立以国内大循环为主体、国内国际双循环相互促进的钻石产业发展新格局，番禺需充分发挥作为粤港澳大湾区地理核心、“一带一路”重要枢纽的区位优势，拓宽钻石产业的发展思路，下一步发展要紧密依托广州钻石交易中心等专业交易平台，在前期工作的基础上继续争取钻石一般贸易政策尽快落地，以开拓国内国外两个市场，促使我市我区钻石产业重新焕发生机。</w:t>
      </w:r>
    </w:p>
    <w:p>
      <w:pPr>
        <w:rPr>
          <w:rFonts w:hint="eastAsia" w:ascii="方正仿宋_GBK" w:eastAsia="方正仿宋_GBK"/>
          <w:b/>
          <w:sz w:val="32"/>
          <w:szCs w:val="32"/>
        </w:rPr>
      </w:pPr>
    </w:p>
    <w:p>
      <w:pPr>
        <w:spacing w:line="600" w:lineRule="exact"/>
        <w:jc w:val="left"/>
        <w:rPr>
          <w:rFonts w:hint="eastAsia"/>
        </w:rPr>
      </w:pPr>
      <w:r>
        <w:rPr>
          <w:rFonts w:hint="eastAsia" w:ascii="黑体" w:hAnsi="黑体" w:eastAsia="黑体" w:cs="Times New Roman"/>
          <w:b/>
          <w:sz w:val="32"/>
          <w:szCs w:val="32"/>
          <w:lang w:val="en-US" w:eastAsia="zh-CN"/>
        </w:rPr>
        <w:t>办  法：</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（一）营造良好就业、营商环境。</w:t>
      </w:r>
      <w:r>
        <w:rPr>
          <w:rFonts w:hint="eastAsia" w:ascii="仿宋" w:hAnsi="仿宋" w:eastAsia="仿宋" w:cs="仿宋"/>
          <w:kern w:val="2"/>
          <w:sz w:val="32"/>
          <w:szCs w:val="32"/>
          <w:lang w:val="en-US" w:eastAsia="zh-CN" w:bidi="ar-SA"/>
        </w:rPr>
        <w:t>一是出台人才引进和培育政策，一方面为相关领域的引进人才营造良好的创业环境，提供优惠保障和政策指导，解决生活配套需求，例如子女教育、医疗等关乎切身利益的问题；另一方面加强政企沟通协作，邀请国内外领军企业、行业精英来番禺交流设展，甄选本地优秀的珠宝设计师继续深造，加快建设一支具备国际视野和技术水平的本土优秀设计师人才队伍。二是统筹开办行业权威培训，由区政府牵头与珠宝业商会、协会合作举办专题培训，由企业派送员工参与，对技术类、管理类、营销类学员开展模拟生产任务、营销场景等的专业对口实训，培训费用由相关企业支付，此举能为学员提供就业提升机会，有利于企业招得人才的同时，节省独立开展培训的成本，资金盈余便利企业发展。</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（二）培育区域自主全球知名品牌。</w:t>
      </w:r>
      <w:r>
        <w:rPr>
          <w:rFonts w:hint="eastAsia" w:ascii="仿宋" w:hAnsi="仿宋" w:eastAsia="仿宋" w:cs="仿宋"/>
          <w:kern w:val="2"/>
          <w:sz w:val="32"/>
          <w:szCs w:val="32"/>
          <w:lang w:val="en-US" w:eastAsia="zh-CN" w:bidi="ar-SA"/>
        </w:rPr>
        <w:t>培育一批创意、研发、设计、加工、营销、金融等企业，向高附加值产业领域拓展，发挥港澳地区在钻石国际展览、文化创意、品牌运营等方面的优势，以此带动区域内钻石企业创造力；适时开展品牌推广活动，支持企业争创中国驰名商标、中国质量奖等具备影响力的奖项，打响“广州•番禺”设计品牌，树立“世界珠宝•番禺设计”形象，打造钻石首饰国潮国货精品；邀请知名媒体记者深入企业，讲好“钻石工匠”故事，宣传企业形象。</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（三）创新“旅游+钻石”文化新模式。</w:t>
      </w:r>
      <w:r>
        <w:rPr>
          <w:rFonts w:hint="eastAsia" w:ascii="仿宋" w:hAnsi="仿宋" w:eastAsia="仿宋" w:cs="仿宋"/>
          <w:kern w:val="2"/>
          <w:sz w:val="32"/>
          <w:szCs w:val="32"/>
          <w:lang w:val="en-US" w:eastAsia="zh-CN" w:bidi="ar-SA"/>
        </w:rPr>
        <w:t>鼓励开发钻石旅游产品，绘制广州•番禺旅游钻石时尚消费地图，培育以钻石龙头企业、叠加展示展厅及相关设施和模拟设计钻石产品实践活动为支撑的体验旅游、研学旅游和休闲旅游，形成钻石旅游消费新热点。鼓励钻石文创产品设计开发，推动沙湾小镇等钻石产业与房地产文化跨界发展，配套完善教育、医疗资源等，吸引优质人才聚集以带动产业进一步发展。</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（四）坚持创新驱动。</w:t>
      </w:r>
      <w:r>
        <w:rPr>
          <w:rFonts w:hint="eastAsia" w:ascii="仿宋" w:hAnsi="仿宋" w:eastAsia="仿宋" w:cs="仿宋"/>
          <w:kern w:val="2"/>
          <w:sz w:val="32"/>
          <w:szCs w:val="32"/>
          <w:lang w:val="en-US" w:eastAsia="zh-CN" w:bidi="ar-SA"/>
        </w:rPr>
        <w:t>产业链创新方面，引导部分企业出口产品直接开拓国内市场，并鼓励和引导企业从单一的来料加工模式向自主设计、自主开发、具有自主技术和自有品牌的模式转变，推动产业链向高端升级发展，在质量管控、生产设备、制造技术等方面聚集先进科研力量，夯实番禺钻石珠宝先进制造业根基。销售渠道创新方面，依托5G发展技术，邀请当红直播带货达人，适时开展番禺钻石产业产品线上直播采买，番禺钻石珠宝产品依托 “天猫”、“京东”等电商平台进行线上下定、线下选款，消费者更可体验设计师面对面专属设计，实现货未生产完成即已完成销售；下一步结合“智慧海关、智能边境、智享联通”的“三智”推进建设，将智能协同监管理念和方法运用到“一带一路”跨境合作中，争取钻石首饰等高值商品有序纳入跨境电商政策，实现消费者足不出户即完成线上预订、货未出口港澳即已完成销售，促进国内消费市场大循环及国际国内双循环，消费者通过“工厂-个人”的直销方式购买钻石，保障企业资金快速回流、中间商让利反哺消费。</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（五）争取广州钻石一般贸易交易通关政策和税收优惠政策落地。</w:t>
      </w:r>
      <w:r>
        <w:rPr>
          <w:rFonts w:hint="eastAsia" w:ascii="仿宋" w:hAnsi="仿宋" w:eastAsia="仿宋" w:cs="仿宋"/>
          <w:kern w:val="2"/>
          <w:sz w:val="32"/>
          <w:szCs w:val="32"/>
          <w:lang w:val="en-US" w:eastAsia="zh-CN" w:bidi="ar-SA"/>
        </w:rPr>
        <w:t>依托广州钻石交易中心，在上一年度与省市、部委等的沟通基础上，尽快完善对应材料和先行配套。番禺要聚全区之力引导大湾区内钻石加工贸易企业通过广钻中心开展业务；搭建以广钻中心为主体的钻石一般贸易及加工贸易转内销一站式通关平台，拓展钻石保税展示交易，同样依托天猫国际、京东国际、抖音等平台进行跨境电商（BBC）在线直播销售，迎合国内消费者对保税仓发货的时效和产品质量的高标准要求，进一步扩大番禺钻石产业在全国范围内的影响力和变现能力，实现我区钻石对外贸易值逐年稳步增长，最终实现番禺钻石产业稳据国内大循环发展新格局中的一席之地。</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93E74"/>
    <w:rsid w:val="181B0CFB"/>
    <w:rsid w:val="59DD7FB2"/>
    <w:rsid w:val="63093E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360" w:lineRule="auto"/>
      <w:ind w:left="0" w:leftChars="0" w:firstLine="1040" w:firstLineChars="200"/>
    </w:pPr>
    <w:rPr>
      <w:sz w:val="24"/>
    </w:rPr>
  </w:style>
  <w:style w:type="paragraph" w:styleId="3">
    <w:name w:val="Body Text Indent"/>
    <w:basedOn w:val="1"/>
    <w:qFormat/>
    <w:uiPriority w:val="0"/>
    <w:pPr>
      <w:ind w:firstLine="645"/>
    </w:pPr>
    <w:rPr>
      <w:rFonts w:ascii="仿宋_GB2312"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2022-02-09T09:23:00Z</dcterms:created>
  <dc:creator>D.y.s</dc:creator>
  <cp:lastModifiedBy>user</cp:lastModifiedBy>
  <dcterms:modified xsi:type="dcterms:W3CDTF">2023-11-21T10:23:54Z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2D920F94B4F04AB5B66C9D563808A45E</vt:lpwstr>
  </property>
</Properties>
</file>