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960"/>
        <w:rPr>
          <w:rFonts w:hint="eastAsia"/>
        </w:rPr>
      </w:pPr>
      <w:r>
        <w:rPr>
          <w:rFonts w:hint="eastAsia" w:ascii="仿宋" w:hAnsi="仿宋" w:eastAsia="仿宋"/>
          <w:sz w:val="32"/>
          <w:szCs w:val="32"/>
          <w:lang w:eastAsia="zh-CN"/>
        </w:rPr>
        <w:t>附件</w:t>
      </w:r>
      <w:r>
        <w:rPr>
          <w:rFonts w:hint="eastAsia" w:ascii="仿宋" w:hAnsi="仿宋" w:eastAsia="仿宋"/>
          <w:sz w:val="32"/>
          <w:szCs w:val="32"/>
          <w:lang w:val="en-US" w:eastAsia="zh-CN"/>
        </w:rPr>
        <w:t>2：</w:t>
      </w:r>
    </w:p>
    <w:p>
      <w:pPr>
        <w:jc w:val="right"/>
        <w:rPr>
          <w:rFonts w:hint="eastAsia" w:ascii="宋体" w:hAnsi="宋体"/>
          <w:sz w:val="32"/>
          <w:szCs w:val="32"/>
        </w:rPr>
      </w:pPr>
      <w:r>
        <w:rPr>
          <w:rFonts w:hint="eastAsia" w:ascii="宋体" w:hAnsi="宋体"/>
          <w:sz w:val="32"/>
          <w:szCs w:val="32"/>
        </w:rPr>
        <w:t>第</w:t>
      </w:r>
      <w:r>
        <w:rPr>
          <w:rFonts w:ascii="宋体" w:hAnsi="宋体"/>
          <w:sz w:val="32"/>
          <w:szCs w:val="32"/>
          <w:u w:val="single"/>
        </w:rPr>
        <w:t xml:space="preserve">   </w:t>
      </w:r>
      <w:r>
        <w:rPr>
          <w:rFonts w:hint="eastAsia" w:ascii="宋体" w:hAnsi="宋体"/>
          <w:sz w:val="32"/>
          <w:szCs w:val="32"/>
          <w:u w:val="single"/>
          <w:lang w:val="en-US" w:eastAsia="zh-CN"/>
        </w:rPr>
        <w:t xml:space="preserve">16 </w:t>
      </w:r>
      <w:r>
        <w:rPr>
          <w:rFonts w:ascii="宋体" w:hAnsi="宋体"/>
          <w:sz w:val="32"/>
          <w:szCs w:val="32"/>
          <w:u w:val="single"/>
        </w:rPr>
        <w:t xml:space="preserve">  </w:t>
      </w:r>
      <w:r>
        <w:rPr>
          <w:rFonts w:hint="eastAsia" w:ascii="宋体" w:hAnsi="宋体"/>
          <w:sz w:val="32"/>
          <w:szCs w:val="32"/>
        </w:rPr>
        <w:t>号</w:t>
      </w:r>
    </w:p>
    <w:p>
      <w:pPr>
        <w:jc w:val="center"/>
        <w:rPr>
          <w:rFonts w:ascii="小标宋" w:hAnsi="黑体" w:eastAsia="小标宋"/>
          <w:sz w:val="44"/>
          <w:szCs w:val="44"/>
        </w:rPr>
      </w:pPr>
      <w:r>
        <w:rPr>
          <w:rFonts w:hint="eastAsia" w:ascii="小标宋" w:hAnsi="黑体" w:eastAsia="小标宋"/>
          <w:sz w:val="44"/>
          <w:szCs w:val="44"/>
        </w:rPr>
        <w:t>番禺区政协十</w:t>
      </w:r>
      <w:r>
        <w:rPr>
          <w:rFonts w:hint="eastAsia" w:ascii="小标宋" w:hAnsi="黑体" w:eastAsia="小标宋"/>
          <w:sz w:val="44"/>
          <w:szCs w:val="44"/>
          <w:lang w:eastAsia="zh-CN"/>
        </w:rPr>
        <w:t>五</w:t>
      </w:r>
      <w:r>
        <w:rPr>
          <w:rFonts w:hint="eastAsia" w:ascii="小标宋" w:hAnsi="黑体" w:eastAsia="小标宋"/>
          <w:sz w:val="44"/>
          <w:szCs w:val="44"/>
        </w:rPr>
        <w:t>届</w:t>
      </w:r>
      <w:r>
        <w:rPr>
          <w:rFonts w:hint="eastAsia" w:ascii="小标宋" w:hAnsi="黑体" w:eastAsia="小标宋"/>
          <w:sz w:val="44"/>
          <w:szCs w:val="44"/>
          <w:lang w:eastAsia="zh-CN"/>
        </w:rPr>
        <w:t>二</w:t>
      </w:r>
      <w:r>
        <w:rPr>
          <w:rFonts w:hint="eastAsia" w:ascii="小标宋" w:hAnsi="黑体" w:eastAsia="小标宋"/>
          <w:sz w:val="44"/>
          <w:szCs w:val="44"/>
        </w:rPr>
        <w:t>次会议提案</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693"/>
        <w:gridCol w:w="284"/>
        <w:gridCol w:w="1276"/>
        <w:gridCol w:w="992"/>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sz w:val="32"/>
                <w:szCs w:val="32"/>
              </w:rPr>
            </w:pPr>
            <w:r>
              <w:rPr>
                <w:rFonts w:hint="eastAsia" w:ascii="仿宋_GB2312" w:hAnsi="宋体" w:eastAsia="仿宋_GB2312"/>
                <w:sz w:val="32"/>
                <w:szCs w:val="32"/>
              </w:rPr>
              <w:t>题目</w:t>
            </w:r>
          </w:p>
        </w:tc>
        <w:tc>
          <w:tcPr>
            <w:tcW w:w="657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sz w:val="32"/>
                <w:szCs w:val="32"/>
                <w:lang w:eastAsia="zh-CN"/>
              </w:rPr>
            </w:pPr>
            <w:r>
              <w:rPr>
                <w:rFonts w:hint="eastAsia" w:ascii="仿宋_GB2312" w:hAnsi="宋体" w:eastAsia="仿宋_GB2312"/>
                <w:sz w:val="32"/>
                <w:szCs w:val="32"/>
              </w:rPr>
              <w:t>关于番禺区提高工业用地容积率的</w:t>
            </w:r>
            <w:r>
              <w:rPr>
                <w:rFonts w:hint="eastAsia" w:ascii="仿宋_GB2312" w:hAnsi="宋体" w:eastAsia="仿宋_GB2312"/>
                <w:sz w:val="32"/>
                <w:szCs w:val="32"/>
                <w:lang w:val="en-US" w:eastAsia="zh-CN"/>
              </w:rPr>
              <w:t>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sz w:val="32"/>
                <w:szCs w:val="32"/>
              </w:rPr>
            </w:pPr>
            <w:r>
              <w:rPr>
                <w:rFonts w:hint="eastAsia" w:ascii="仿宋_GB2312" w:hAnsi="宋体" w:eastAsia="仿宋_GB2312"/>
                <w:sz w:val="32"/>
                <w:szCs w:val="32"/>
              </w:rPr>
              <w:t>提案者</w:t>
            </w:r>
          </w:p>
        </w:tc>
        <w:tc>
          <w:tcPr>
            <w:tcW w:w="29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sz w:val="32"/>
                <w:szCs w:val="32"/>
              </w:rPr>
            </w:pPr>
            <w:r>
              <w:rPr>
                <w:rFonts w:hint="eastAsia" w:ascii="仿宋_GB2312" w:hAnsi="宋体" w:eastAsia="仿宋_GB2312"/>
                <w:sz w:val="32"/>
                <w:szCs w:val="32"/>
              </w:rPr>
              <w:t>何兆华</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sz w:val="32"/>
                <w:szCs w:val="32"/>
              </w:rPr>
            </w:pPr>
            <w:r>
              <w:rPr>
                <w:rFonts w:hint="eastAsia" w:ascii="仿宋_GB2312" w:hAnsi="宋体" w:eastAsia="仿宋_GB2312"/>
                <w:sz w:val="32"/>
                <w:szCs w:val="32"/>
              </w:rPr>
              <w:t>联系人</w:t>
            </w:r>
          </w:p>
        </w:tc>
        <w:tc>
          <w:tcPr>
            <w:tcW w:w="23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何兆华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sz w:val="32"/>
                <w:szCs w:val="32"/>
              </w:rPr>
            </w:pPr>
            <w:r>
              <w:rPr>
                <w:rFonts w:hint="eastAsia" w:ascii="仿宋_GB2312" w:hAnsi="宋体" w:eastAsia="仿宋_GB2312"/>
                <w:sz w:val="32"/>
                <w:szCs w:val="32"/>
              </w:rPr>
              <w:t>工作单位</w:t>
            </w:r>
          </w:p>
        </w:tc>
        <w:tc>
          <w:tcPr>
            <w:tcW w:w="29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sz w:val="32"/>
                <w:szCs w:val="32"/>
              </w:rPr>
            </w:pPr>
            <w:r>
              <w:rPr>
                <w:rFonts w:hint="eastAsia" w:ascii="仿宋_GB2312" w:hAnsi="宋体" w:eastAsia="仿宋_GB2312"/>
                <w:sz w:val="32"/>
                <w:szCs w:val="32"/>
              </w:rPr>
              <w:t>中国人寿财产保险股份有限公司广州市番禺支公司</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sz w:val="32"/>
                <w:szCs w:val="32"/>
              </w:rPr>
            </w:pPr>
            <w:r>
              <w:rPr>
                <w:rFonts w:hint="eastAsia" w:ascii="仿宋_GB2312" w:hAnsi="宋体" w:eastAsia="仿宋_GB2312"/>
                <w:sz w:val="32"/>
                <w:szCs w:val="32"/>
              </w:rPr>
              <w:t>职</w:t>
            </w:r>
            <w:r>
              <w:rPr>
                <w:rFonts w:ascii="仿宋_GB2312" w:hAnsi="宋体" w:eastAsia="仿宋_GB2312"/>
                <w:sz w:val="32"/>
                <w:szCs w:val="32"/>
              </w:rPr>
              <w:t xml:space="preserve">  </w:t>
            </w:r>
            <w:r>
              <w:rPr>
                <w:rFonts w:hint="eastAsia" w:ascii="仿宋_GB2312" w:hAnsi="宋体" w:eastAsia="仿宋_GB2312"/>
                <w:sz w:val="32"/>
                <w:szCs w:val="32"/>
              </w:rPr>
              <w:t>务</w:t>
            </w:r>
          </w:p>
        </w:tc>
        <w:tc>
          <w:tcPr>
            <w:tcW w:w="23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sz w:val="32"/>
                <w:szCs w:val="32"/>
              </w:rPr>
            </w:pPr>
            <w:r>
              <w:rPr>
                <w:rFonts w:hint="eastAsia" w:ascii="仿宋_GB2312" w:hAnsi="宋体" w:eastAsia="仿宋_GB2312"/>
                <w:sz w:val="32"/>
                <w:szCs w:val="32"/>
              </w:rPr>
              <w:t>党委书记、总经理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sz w:val="32"/>
                <w:szCs w:val="32"/>
              </w:rPr>
            </w:pPr>
            <w:r>
              <w:rPr>
                <w:rFonts w:hint="eastAsia" w:ascii="仿宋_GB2312" w:hAnsi="宋体" w:eastAsia="仿宋_GB2312"/>
                <w:sz w:val="32"/>
                <w:szCs w:val="32"/>
              </w:rPr>
              <w:t>手机号码</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sz w:val="32"/>
                <w:szCs w:val="32"/>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办公电话</w:t>
            </w:r>
          </w:p>
        </w:tc>
        <w:tc>
          <w:tcPr>
            <w:tcW w:w="23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Times New Roman"/>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sz w:val="32"/>
                <w:szCs w:val="32"/>
              </w:rPr>
            </w:pPr>
            <w:r>
              <w:rPr>
                <w:rFonts w:hint="eastAsia" w:ascii="仿宋_GB2312" w:hAnsi="宋体" w:eastAsia="仿宋_GB2312"/>
                <w:sz w:val="32"/>
                <w:szCs w:val="32"/>
              </w:rPr>
              <w:t>通讯地址</w:t>
            </w: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hint="default" w:ascii="Times New Roman" w:hAnsi="仿宋_GB2312" w:eastAsia="仿宋_GB2312" w:cs="仿宋_GB2312"/>
                <w:kern w:val="2"/>
                <w:sz w:val="32"/>
                <w:szCs w:val="24"/>
                <w:lang w:val="en-US" w:eastAsia="zh-CN" w:bidi="zh-CN"/>
              </w:rPr>
            </w:pPr>
            <w:bookmarkStart w:id="0" w:name="_GoBack"/>
            <w:bookmarkEnd w:id="0"/>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sz w:val="32"/>
                <w:szCs w:val="32"/>
              </w:rPr>
            </w:pPr>
            <w:r>
              <w:rPr>
                <w:rFonts w:hint="eastAsia" w:ascii="仿宋_GB2312" w:hAnsi="宋体" w:eastAsia="仿宋_GB2312"/>
                <w:sz w:val="32"/>
                <w:szCs w:val="32"/>
              </w:rPr>
              <w:t>邮编</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sz w:val="32"/>
                <w:szCs w:val="32"/>
              </w:rPr>
            </w:pPr>
            <w:r>
              <w:rPr>
                <w:rFonts w:hint="eastAsia" w:ascii="仿宋_GB2312" w:hAnsi="宋体" w:eastAsia="仿宋_GB2312"/>
                <w:sz w:val="32"/>
                <w:szCs w:val="32"/>
              </w:rPr>
              <w:t>联名提案人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spacing w:val="-14"/>
                <w:sz w:val="32"/>
                <w:szCs w:val="32"/>
              </w:rPr>
            </w:pPr>
            <w:r>
              <w:rPr>
                <w:rFonts w:hint="eastAsia" w:ascii="仿宋_GB2312" w:hAnsi="宋体" w:eastAsia="仿宋_GB2312"/>
                <w:spacing w:val="-14"/>
                <w:sz w:val="32"/>
                <w:szCs w:val="32"/>
              </w:rPr>
              <w:t>（如</w:t>
            </w:r>
            <w:r>
              <w:rPr>
                <w:rFonts w:hint="eastAsia" w:ascii="仿宋_GB2312" w:hAnsi="宋体" w:eastAsia="仿宋_GB2312"/>
                <w:spacing w:val="-14"/>
                <w:sz w:val="28"/>
                <w:szCs w:val="28"/>
              </w:rPr>
              <w:t>人数较多，可另附于文后</w:t>
            </w:r>
            <w:r>
              <w:rPr>
                <w:rFonts w:hint="eastAsia" w:ascii="仿宋_GB2312" w:hAnsi="宋体" w:eastAsia="仿宋_GB2312"/>
                <w:spacing w:val="-14"/>
                <w:sz w:val="32"/>
                <w:szCs w:val="32"/>
              </w:rPr>
              <w:t>）</w:t>
            </w:r>
          </w:p>
        </w:tc>
        <w:tc>
          <w:tcPr>
            <w:tcW w:w="657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sz w:val="32"/>
                <w:szCs w:val="32"/>
              </w:rPr>
            </w:pPr>
            <w:r>
              <w:rPr>
                <w:rFonts w:hint="eastAsia" w:ascii="仿宋_GB2312" w:hAnsi="宋体" w:eastAsia="仿宋_GB2312"/>
                <w:sz w:val="32"/>
                <w:szCs w:val="32"/>
              </w:rPr>
              <w:t>提案委员会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sz w:val="32"/>
                <w:szCs w:val="32"/>
              </w:rPr>
            </w:pPr>
            <w:r>
              <w:rPr>
                <w:rFonts w:hint="eastAsia" w:ascii="仿宋_GB2312" w:hAnsi="宋体" w:eastAsia="仿宋_GB2312"/>
                <w:sz w:val="32"/>
                <w:szCs w:val="32"/>
              </w:rPr>
              <w:t>审查意见</w:t>
            </w:r>
          </w:p>
        </w:tc>
        <w:tc>
          <w:tcPr>
            <w:tcW w:w="657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sz w:val="32"/>
                <w:szCs w:val="32"/>
              </w:rPr>
            </w:pPr>
          </w:p>
        </w:tc>
      </w:tr>
    </w:tbl>
    <w:p>
      <w:pPr>
        <w:spacing w:line="560" w:lineRule="exact"/>
        <w:rPr>
          <w:rFonts w:hint="eastAsia" w:ascii="仿宋" w:hAnsi="仿宋" w:eastAsia="仿宋"/>
          <w:sz w:val="32"/>
          <w:szCs w:val="32"/>
          <w:lang w:val="en-US" w:eastAsia="zh-CN"/>
        </w:rPr>
      </w:pPr>
      <w:r>
        <w:rPr>
          <w:rFonts w:hint="eastAsia" w:ascii="黑体" w:hAnsi="黑体" w:eastAsia="黑体"/>
          <w:sz w:val="32"/>
          <w:szCs w:val="32"/>
        </w:rPr>
        <w:t>根据实际情况在</w:t>
      </w:r>
      <w:r>
        <w:rPr>
          <w:rFonts w:hint="eastAsia" w:ascii="黑体" w:hAnsi="黑体" w:eastAsia="黑体"/>
          <w:sz w:val="32"/>
          <w:szCs w:val="32"/>
          <w:lang w:eastAsia="zh-CN"/>
        </w:rPr>
        <w:t>（）</w:t>
      </w:r>
      <w:r>
        <w:rPr>
          <w:rFonts w:hint="eastAsia" w:ascii="黑体" w:hAnsi="黑体" w:eastAsia="黑体"/>
          <w:sz w:val="32"/>
          <w:szCs w:val="32"/>
        </w:rPr>
        <w:t>内打勾确认：</w:t>
      </w:r>
    </w:p>
    <w:p>
      <w:pPr>
        <w:spacing w:line="440" w:lineRule="exact"/>
        <w:rPr>
          <w:rFonts w:ascii="宋体" w:hAnsi="宋体"/>
          <w:b/>
          <w:sz w:val="30"/>
          <w:szCs w:val="30"/>
        </w:rPr>
      </w:pPr>
      <w:r>
        <w:rPr>
          <w:rFonts w:hint="eastAsia" w:ascii="宋体" w:hAnsi="宋体"/>
          <w:b/>
          <w:sz w:val="30"/>
          <w:szCs w:val="30"/>
          <w:lang w:eastAsia="zh-CN"/>
        </w:rPr>
        <w:t>是否同意公开</w:t>
      </w:r>
      <w:r>
        <w:rPr>
          <w:rFonts w:hint="eastAsia" w:ascii="宋体" w:hAnsi="宋体"/>
          <w:b/>
          <w:sz w:val="30"/>
          <w:szCs w:val="30"/>
        </w:rPr>
        <w:t>：</w:t>
      </w:r>
    </w:p>
    <w:p>
      <w:pPr>
        <w:spacing w:line="440" w:lineRule="exact"/>
        <w:rPr>
          <w:rFonts w:ascii="宋体"/>
          <w:sz w:val="30"/>
          <w:szCs w:val="30"/>
        </w:rPr>
      </w:pPr>
      <w:r>
        <w:rPr>
          <w:rFonts w:hint="eastAsia" w:ascii="宋体" w:hAnsi="宋体"/>
          <w:sz w:val="30"/>
          <w:szCs w:val="30"/>
          <w:lang w:eastAsia="zh-CN"/>
        </w:rPr>
        <w:t>是（</w:t>
      </w:r>
      <w:r>
        <w:rPr>
          <w:rFonts w:hint="eastAsia" w:ascii="宋体" w:eastAsia="宋体"/>
          <w:sz w:val="30"/>
          <w:lang w:eastAsia="zh-CN"/>
        </w:rPr>
        <w:t>√</w:t>
      </w:r>
      <w:r>
        <w:rPr>
          <w:rFonts w:hint="eastAsia" w:ascii="宋体" w:hAnsi="宋体"/>
          <w:sz w:val="30"/>
          <w:szCs w:val="30"/>
          <w:lang w:eastAsia="zh-CN"/>
        </w:rPr>
        <w:t>）</w:t>
      </w:r>
      <w:r>
        <w:rPr>
          <w:rFonts w:ascii="宋体" w:hAnsi="宋体"/>
          <w:sz w:val="30"/>
          <w:szCs w:val="30"/>
        </w:rPr>
        <w:t xml:space="preserve">  </w:t>
      </w:r>
      <w:r>
        <w:rPr>
          <w:rFonts w:hint="eastAsia" w:ascii="宋体" w:hAnsi="宋体"/>
          <w:sz w:val="30"/>
          <w:szCs w:val="30"/>
          <w:lang w:eastAsia="zh-CN"/>
        </w:rPr>
        <w:t>否（）</w:t>
      </w:r>
      <w:r>
        <w:rPr>
          <w:rFonts w:ascii="宋体" w:hAnsi="宋体"/>
          <w:sz w:val="30"/>
          <w:szCs w:val="30"/>
        </w:rPr>
        <w:t xml:space="preserve"> </w:t>
      </w:r>
    </w:p>
    <w:p>
      <w:pPr>
        <w:spacing w:line="440" w:lineRule="exact"/>
        <w:rPr>
          <w:rFonts w:hint="eastAsia" w:ascii="黑体" w:hAnsi="黑体" w:eastAsia="黑体"/>
          <w:b/>
          <w:sz w:val="32"/>
          <w:szCs w:val="32"/>
        </w:rPr>
      </w:pPr>
    </w:p>
    <w:p>
      <w:pPr>
        <w:spacing w:line="440" w:lineRule="exact"/>
        <w:rPr>
          <w:rFonts w:hint="eastAsia" w:ascii="黑体" w:hAnsi="黑体" w:eastAsia="黑体"/>
          <w:b/>
          <w:sz w:val="32"/>
          <w:szCs w:val="32"/>
        </w:rPr>
      </w:pPr>
    </w:p>
    <w:p>
      <w:pPr>
        <w:spacing w:line="440" w:lineRule="exact"/>
        <w:rPr>
          <w:rFonts w:hint="eastAsia" w:ascii="黑体" w:hAnsi="黑体" w:eastAsia="黑体"/>
          <w:b/>
          <w:sz w:val="32"/>
          <w:szCs w:val="32"/>
        </w:rPr>
      </w:pPr>
    </w:p>
    <w:p>
      <w:pPr>
        <w:spacing w:line="440" w:lineRule="exact"/>
        <w:rPr>
          <w:rFonts w:hint="eastAsia" w:ascii="黑体" w:hAnsi="黑体" w:eastAsia="黑体"/>
          <w:b/>
          <w:sz w:val="32"/>
          <w:szCs w:val="32"/>
        </w:rPr>
      </w:pPr>
      <w:r>
        <w:rPr>
          <w:rFonts w:hint="eastAsia" w:ascii="黑体" w:hAnsi="黑体" w:eastAsia="黑体"/>
          <w:b/>
          <w:sz w:val="32"/>
          <w:szCs w:val="32"/>
        </w:rPr>
        <w:t>理</w:t>
      </w:r>
      <w:r>
        <w:rPr>
          <w:rFonts w:hint="eastAsia" w:ascii="黑体" w:hAnsi="黑体" w:eastAsia="黑体"/>
          <w:b/>
          <w:sz w:val="32"/>
          <w:szCs w:val="32"/>
          <w:lang w:val="en-US" w:eastAsia="zh-CN"/>
        </w:rPr>
        <w:t xml:space="preserve">  </w:t>
      </w:r>
      <w:r>
        <w:rPr>
          <w:rFonts w:hint="eastAsia" w:ascii="黑体" w:hAnsi="黑体" w:eastAsia="黑体"/>
          <w:b/>
          <w:sz w:val="32"/>
          <w:szCs w:val="32"/>
        </w:rPr>
        <w:t>由：</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土地是制造业发展的基础和载体，实施制造强区战略离不开土地支撑，但番禺现阶段土地已成为稀缺资源，企业用地难、用地贵问题突出。主要问题表现有：</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一、目前番禺还没有一个成规模的工业园,基本上每个村都有小工业园,小散乱是番禺没有破解的难题。偏高的土地成本会相对折损开发主体对后期运营 的投入和保障能力，难以实现引导产业创新集群集聚发展的目的。</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容积率是指一个区域的地上总建筑面积与用地面积的比率。番禺区目前采取区间制的方式，即给定容积率上下限度，实现对土地开发强度的管控。然而，通过对本地园区走访中发现，开发主体普遍具有“顶上限开发”的倾向。显然，这一现象并不利于规划主管部门对产业空间的布局引导和城市空间的管控塑造。</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outlineLvl w:val="9"/>
      </w:pPr>
      <w:r>
        <w:rPr>
          <w:rFonts w:hint="eastAsia" w:ascii="仿宋_GB2312" w:hAnsi="仿宋_GB2312" w:eastAsia="仿宋_GB2312" w:cs="仿宋_GB2312"/>
          <w:b w:val="0"/>
          <w:bCs w:val="0"/>
          <w:sz w:val="32"/>
          <w:szCs w:val="32"/>
          <w:lang w:val="en-US" w:eastAsia="zh-CN"/>
        </w:rPr>
        <w:t>三、通过网络信息得知，根据《广州市提高工业用地利用效率实行办法》,一类工业用地容积率不得低于2.0,但目前工业区内现状的容积率由0.63到2.0不等，仍未达到发展相应需求，土地成本上升，相当于掐住了企业发展的脉博,导致一部分优秀企业迁移区外,阻碍做大做强我区实体经济。</w:t>
      </w:r>
    </w:p>
    <w:p>
      <w:pPr>
        <w:spacing w:line="560" w:lineRule="exact"/>
        <w:rPr>
          <w:rFonts w:hint="eastAsia" w:ascii="黑体" w:hAnsi="黑体" w:eastAsia="黑体"/>
          <w:b/>
          <w:sz w:val="32"/>
          <w:szCs w:val="32"/>
        </w:rPr>
      </w:pPr>
    </w:p>
    <w:p>
      <w:pPr>
        <w:spacing w:line="560" w:lineRule="exact"/>
        <w:rPr>
          <w:rFonts w:hint="eastAsia" w:ascii="黑体" w:hAnsi="黑体" w:eastAsia="黑体"/>
          <w:b/>
          <w:sz w:val="32"/>
          <w:szCs w:val="32"/>
        </w:rPr>
      </w:pPr>
      <w:r>
        <w:rPr>
          <w:rFonts w:hint="eastAsia" w:ascii="黑体" w:hAnsi="黑体" w:eastAsia="黑体"/>
          <w:b/>
          <w:sz w:val="32"/>
          <w:szCs w:val="32"/>
        </w:rPr>
        <w:t>办</w:t>
      </w:r>
      <w:r>
        <w:rPr>
          <w:rFonts w:hint="eastAsia" w:ascii="黑体" w:hAnsi="黑体" w:eastAsia="黑体"/>
          <w:b/>
          <w:sz w:val="32"/>
          <w:szCs w:val="32"/>
          <w:lang w:val="en-US" w:eastAsia="zh-CN"/>
        </w:rPr>
        <w:t xml:space="preserve">  </w:t>
      </w:r>
      <w:r>
        <w:rPr>
          <w:rFonts w:hint="eastAsia" w:ascii="黑体" w:hAnsi="黑体" w:eastAsia="黑体"/>
          <w:b/>
          <w:sz w:val="32"/>
          <w:szCs w:val="32"/>
        </w:rPr>
        <w:t>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月1日，我陪同黎伟棠主席前往佛山市顺德区广东永通起重机械股份有限公司调研与交流（图1），发现顺德区对本土制造业企业的工业用地容积率有相关支持政策，主要发展先进制造业，以及支持先进制造业和战略性新兴产业发展的创新、研发等高端产业。由于普通工业用地增加容积率不加收出让金，这有利于企业节省经营成本，增加产业升级转型和产品研发的投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4250055" cy="3186430"/>
            <wp:effectExtent l="0" t="0" r="7620" b="4445"/>
            <wp:docPr id="1" name="图片 1" descr="微信图片_20220106165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106165601"/>
                    <pic:cNvPicPr>
                      <a:picLocks noChangeAspect="1"/>
                    </pic:cNvPicPr>
                  </pic:nvPicPr>
                  <pic:blipFill>
                    <a:blip r:embed="rId6"/>
                    <a:stretch>
                      <a:fillRect/>
                    </a:stretch>
                  </pic:blipFill>
                  <pic:spPr>
                    <a:xfrm>
                      <a:off x="0" y="0"/>
                      <a:ext cx="4250055" cy="318643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（图1：黎伟棠调研广东永通起重机械股份有限公司）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本次调研交流，利用百度卫星地图对比永通公司新旧工业园区实景发现（图2、图3），顺德工业用地容积率提升幅度显著，土地利用率高，为此建议区级有关部门考虑在土地资源稀少,土地成本增加的背景下，为减少部分优秀企业外迁建议放宽工业用地的容积率限制。主要办法建议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对容积率管控采用基准制，这更具有弹性，可根据城市不同区域的开发需求和实际承载力差异，对城市密度进行分区，将不同地块的容积率与城市密度分区挂钩，同时又依据地区所处的交通等区位条件予以修正。这种差别化的容积率设定方式，既明确了容积率的计算方法，又为各区平衡调节保留了弹性，可能会成为未来城市规划管控的发展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制定工业用地建筑建设标准，企业根据发展速度和需求，在厂房符合规定安全承载的条件下，鼓励合理利用工业用地地上地下空间，促进工业用地复合利用、立体利用、综合利用；鼓励通过厂房加层、老厂改造、内部整理等途径相应提高土地利用率、提升园区容积率，促使企业升级转型，产业规模扩大，形成空间集聚效应，将有助于提升基础设施配套水平、有效降低各方成本、激发创新动能，促进产业集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4683760" cy="2493645"/>
            <wp:effectExtent l="0" t="0" r="2540" b="1905"/>
            <wp:docPr id="2" name="图片 2" descr="微信图片_20220106173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106173804"/>
                    <pic:cNvPicPr>
                      <a:picLocks noChangeAspect="1"/>
                    </pic:cNvPicPr>
                  </pic:nvPicPr>
                  <pic:blipFill>
                    <a:blip r:embed="rId7"/>
                    <a:stretch>
                      <a:fillRect/>
                    </a:stretch>
                  </pic:blipFill>
                  <pic:spPr>
                    <a:xfrm>
                      <a:off x="0" y="0"/>
                      <a:ext cx="4683760" cy="249364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（图2：广东永通起重机械股份有限公司旧厂区实景图）</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inline distT="0" distB="0" distL="114300" distR="114300">
            <wp:extent cx="4707255" cy="2643505"/>
            <wp:effectExtent l="0" t="0" r="7620" b="4445"/>
            <wp:docPr id="3" name="图片 3" descr="C:\Users\天眼\Desktop\永通图片\新厂\581825655978394086.jpg581825655978394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天眼\Desktop\永通图片\新厂\581825655978394086.jpg581825655978394086"/>
                    <pic:cNvPicPr>
                      <a:picLocks noChangeAspect="1"/>
                    </pic:cNvPicPr>
                  </pic:nvPicPr>
                  <pic:blipFill>
                    <a:blip r:embed="rId8"/>
                    <a:srcRect/>
                    <a:stretch>
                      <a:fillRect/>
                    </a:stretch>
                  </pic:blipFill>
                  <pic:spPr>
                    <a:xfrm>
                      <a:off x="0" y="0"/>
                      <a:ext cx="4707255" cy="26435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pPr>
      <w:r>
        <w:rPr>
          <w:rFonts w:hint="eastAsia" w:ascii="仿宋_GB2312" w:hAnsi="仿宋_GB2312" w:eastAsia="仿宋_GB2312" w:cs="仿宋_GB2312"/>
          <w:sz w:val="32"/>
          <w:szCs w:val="32"/>
          <w:lang w:val="en-US" w:eastAsia="zh-CN"/>
        </w:rPr>
        <w:t>（图3：广东永通起重机械股份有限公司新厂区实景图）</w:t>
      </w:r>
    </w:p>
    <w:sectPr>
      <w:headerReference r:id="rId3" w:type="default"/>
      <w:footerReference r:id="rId4" w:type="default"/>
      <w:pgSz w:w="11906" w:h="16838"/>
      <w:pgMar w:top="1985" w:right="1474"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1D1B2D"/>
    <w:rsid w:val="122E07DD"/>
    <w:rsid w:val="17412E84"/>
    <w:rsid w:val="2B155FA5"/>
    <w:rsid w:val="3A4F50FF"/>
    <w:rsid w:val="3A8A792C"/>
    <w:rsid w:val="3E4B3950"/>
    <w:rsid w:val="4EA67419"/>
    <w:rsid w:val="4FD80B7D"/>
    <w:rsid w:val="561D1B2D"/>
    <w:rsid w:val="59012204"/>
    <w:rsid w:val="68A35C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line="360" w:lineRule="auto"/>
      <w:ind w:left="0" w:leftChars="0" w:firstLine="1040" w:firstLineChars="200"/>
    </w:pPr>
    <w:rPr>
      <w:sz w:val="24"/>
    </w:rPr>
  </w:style>
  <w:style w:type="paragraph" w:styleId="3">
    <w:name w:val="Body Text Indent"/>
    <w:basedOn w:val="1"/>
    <w:qFormat/>
    <w:uiPriority w:val="0"/>
    <w:pPr>
      <w:ind w:firstLine="645"/>
    </w:pPr>
    <w:rPr>
      <w:rFonts w:ascii="仿宋_GB2312" w:eastAsia="仿宋_GB2312"/>
      <w:sz w:val="32"/>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4</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2021-12-31T03:34:00Z</dcterms:created>
  <dc:creator>Administrator</dc:creator>
  <cp:lastModifiedBy>user</cp:lastModifiedBy>
  <dcterms:modified xsi:type="dcterms:W3CDTF">2023-11-21T10:24:27Z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C266A47DFD6F478CB44BB533C2954C1B</vt:lpwstr>
  </property>
</Properties>
</file>