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eastAsia="zh-CN"/>
        </w:rPr>
        <w:t>第</w:t>
      </w:r>
      <w:r>
        <w:rPr>
          <w:rFonts w:hint="eastAsia" w:ascii="方正小标宋_GBK" w:hAnsi="方正小标宋_GBK" w:eastAsia="方正小标宋_GBK" w:cs="方正小标宋_GBK"/>
          <w:sz w:val="32"/>
          <w:szCs w:val="32"/>
          <w:u w:val="single"/>
          <w:lang w:val="en-US" w:eastAsia="zh-CN"/>
        </w:rPr>
        <w:t>30</w:t>
      </w:r>
      <w:r>
        <w:rPr>
          <w:rFonts w:hint="eastAsia" w:ascii="方正小标宋_GBK" w:hAnsi="方正小标宋_GBK" w:eastAsia="方正小标宋_GBK" w:cs="方正小标宋_GBK"/>
          <w:sz w:val="32"/>
          <w:szCs w:val="32"/>
          <w:lang w:val="en-US" w:eastAsia="zh-CN"/>
        </w:rPr>
        <w:t>号</w:t>
      </w:r>
    </w:p>
    <w:p>
      <w:pPr>
        <w:pStyle w:val="2"/>
        <w:rPr>
          <w:rFonts w:hint="default"/>
          <w:lang w:val="en-US" w:eastAsia="zh-CN"/>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番禺区政协十五届二次会议提案</w:t>
      </w:r>
    </w:p>
    <w:tbl>
      <w:tblPr>
        <w:tblStyle w:val="7"/>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7114" w:type="dxa"/>
            <w:gridSpan w:val="5"/>
            <w:tcBorders>
              <w:top w:val="single" w:color="auto" w:sz="4" w:space="0"/>
              <w:left w:val="single" w:color="auto" w:sz="4" w:space="0"/>
              <w:bottom w:val="single" w:color="auto" w:sz="4" w:space="0"/>
              <w:right w:val="single" w:color="auto" w:sz="4" w:space="0"/>
            </w:tcBorders>
          </w:tcPr>
          <w:p>
            <w:pPr>
              <w:jc w:val="left"/>
              <w:rPr>
                <w:rFonts w:ascii="仿宋_GB2312" w:hAnsi="宋体" w:eastAsia="仿宋_GB2312"/>
                <w:sz w:val="32"/>
                <w:szCs w:val="32"/>
              </w:rPr>
            </w:pPr>
            <w:r>
              <w:rPr>
                <w:rFonts w:hint="eastAsia" w:ascii="仿宋" w:hAnsi="仿宋" w:eastAsia="仿宋" w:cs="仿宋"/>
                <w:sz w:val="32"/>
                <w:szCs w:val="32"/>
                <w:lang w:eastAsia="zh-CN"/>
              </w:rPr>
              <w:t xml:space="preserve">关于开展番禺北部万博-长隆及周边地区产业、交通规划研究，促进番禺北部城区互联互通的建议  </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sz w:val="32"/>
                <w:szCs w:val="32"/>
                <w:lang w:eastAsia="zh-CN"/>
              </w:rPr>
            </w:pPr>
            <w:r>
              <w:rPr>
                <w:rFonts w:hint="eastAsia" w:ascii="仿宋_GB2312" w:hAnsi="宋体" w:eastAsia="仿宋_GB2312"/>
                <w:sz w:val="32"/>
                <w:szCs w:val="32"/>
              </w:rPr>
              <w:t>民革</w:t>
            </w:r>
            <w:r>
              <w:rPr>
                <w:rFonts w:ascii="仿宋_GB2312" w:hAnsi="宋体" w:eastAsia="仿宋_GB2312"/>
                <w:sz w:val="32"/>
                <w:szCs w:val="32"/>
              </w:rPr>
              <w:t>番禺</w:t>
            </w:r>
            <w:r>
              <w:rPr>
                <w:rFonts w:hint="eastAsia" w:ascii="仿宋_GB2312" w:hAnsi="宋体" w:eastAsia="仿宋_GB2312"/>
                <w:sz w:val="32"/>
                <w:szCs w:val="32"/>
                <w:lang w:eastAsia="zh-CN"/>
              </w:rPr>
              <w:t>区</w:t>
            </w:r>
            <w:r>
              <w:rPr>
                <w:rFonts w:ascii="仿宋_GB2312" w:hAnsi="宋体" w:eastAsia="仿宋_GB2312"/>
                <w:sz w:val="32"/>
                <w:szCs w:val="32"/>
              </w:rPr>
              <w:t>基层委</w:t>
            </w:r>
            <w:r>
              <w:rPr>
                <w:rFonts w:hint="eastAsia" w:ascii="仿宋_GB2312" w:hAnsi="宋体" w:eastAsia="仿宋_GB2312"/>
                <w:sz w:val="32"/>
                <w:szCs w:val="32"/>
                <w:lang w:eastAsia="zh-CN"/>
              </w:rPr>
              <w:t>员会</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32"/>
                <w:szCs w:val="32"/>
              </w:rPr>
            </w:pPr>
            <w:r>
              <w:rPr>
                <w:rFonts w:hint="eastAsia" w:ascii="仿宋_GB2312" w:hAnsi="宋体" w:eastAsia="仿宋_GB2312"/>
                <w:sz w:val="32"/>
                <w:szCs w:val="32"/>
              </w:rPr>
              <w:t>联系人</w:t>
            </w:r>
          </w:p>
        </w:tc>
        <w:tc>
          <w:tcPr>
            <w:tcW w:w="2861" w:type="dxa"/>
            <w:gridSpan w:val="2"/>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ascii="仿宋_GB2312" w:hAnsi="宋体" w:eastAsia="仿宋_GB2312"/>
                <w:sz w:val="32"/>
                <w:szCs w:val="32"/>
              </w:rPr>
              <w:t>郑月玲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番禺信息技术投资发展有限公司 董事</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职  务</w:t>
            </w:r>
          </w:p>
        </w:tc>
        <w:tc>
          <w:tcPr>
            <w:tcW w:w="2861" w:type="dxa"/>
            <w:gridSpan w:val="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副总经理兼万博商务区建设指挥部总工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办公电话</w:t>
            </w:r>
          </w:p>
        </w:tc>
        <w:tc>
          <w:tcPr>
            <w:tcW w:w="2861" w:type="dxa"/>
            <w:gridSpan w:val="2"/>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邮编</w:t>
            </w:r>
          </w:p>
        </w:tc>
        <w:tc>
          <w:tcPr>
            <w:tcW w:w="1869" w:type="dxa"/>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56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7114" w:type="dxa"/>
            <w:gridSpan w:val="5"/>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56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7114" w:type="dxa"/>
            <w:gridSpan w:val="5"/>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32"/>
                <w:szCs w:val="32"/>
              </w:rPr>
            </w:pPr>
          </w:p>
        </w:tc>
      </w:tr>
    </w:tbl>
    <w:p>
      <w:pPr>
        <w:spacing w:line="560" w:lineRule="exact"/>
        <w:rPr>
          <w:rFonts w:ascii="仿宋" w:hAnsi="仿宋" w:eastAsia="仿宋"/>
          <w:sz w:val="32"/>
          <w:szCs w:val="32"/>
        </w:rPr>
      </w:pPr>
      <w:r>
        <w:rPr>
          <w:rFonts w:hint="eastAsia" w:ascii="黑体" w:hAnsi="黑体" w:eastAsia="黑体"/>
          <w:sz w:val="32"/>
          <w:szCs w:val="32"/>
        </w:rPr>
        <w:t>根据实际情况在（）内打勾确认：</w:t>
      </w:r>
    </w:p>
    <w:p>
      <w:pPr>
        <w:spacing w:line="560" w:lineRule="exact"/>
        <w:rPr>
          <w:rFonts w:ascii="宋体" w:hAnsi="宋体"/>
          <w:b/>
          <w:sz w:val="30"/>
          <w:szCs w:val="30"/>
        </w:rPr>
      </w:pPr>
      <w:r>
        <w:rPr>
          <w:rFonts w:hint="eastAsia" w:ascii="宋体" w:hAnsi="宋体"/>
          <w:b/>
          <w:sz w:val="30"/>
          <w:szCs w:val="30"/>
        </w:rPr>
        <w:t>是否同意公开：</w:t>
      </w:r>
    </w:p>
    <w:p>
      <w:pPr>
        <w:spacing w:line="560" w:lineRule="exact"/>
        <w:rPr>
          <w:rFonts w:ascii="宋体"/>
          <w:sz w:val="30"/>
          <w:szCs w:val="30"/>
        </w:rPr>
      </w:pPr>
      <w:r>
        <w:rPr>
          <w:rFonts w:hint="eastAsia" w:ascii="宋体" w:hAnsi="宋体"/>
          <w:sz w:val="30"/>
          <w:szCs w:val="30"/>
        </w:rPr>
        <w:t>是（）</w:t>
      </w:r>
      <w:r>
        <w:rPr>
          <w:rFonts w:ascii="宋体" w:hAnsi="宋体"/>
          <w:sz w:val="30"/>
          <w:szCs w:val="30"/>
        </w:rPr>
        <w:t xml:space="preserve">  </w:t>
      </w:r>
      <w:r>
        <w:rPr>
          <w:rFonts w:hint="eastAsia" w:ascii="宋体" w:hAnsi="宋体"/>
          <w:sz w:val="30"/>
          <w:szCs w:val="30"/>
        </w:rPr>
        <w:t>否√</w:t>
      </w:r>
      <w:r>
        <w:rPr>
          <w:rFonts w:ascii="宋体" w:hAnsi="宋体"/>
          <w:sz w:val="30"/>
          <w:szCs w:val="30"/>
        </w:rPr>
        <w:t xml:space="preserve"> </w:t>
      </w:r>
    </w:p>
    <w:p>
      <w:pPr>
        <w:spacing w:line="560" w:lineRule="exact"/>
        <w:rPr>
          <w:rFonts w:ascii="黑体" w:hAnsi="黑体" w:eastAsia="黑体"/>
          <w:b/>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r>
        <w:rPr>
          <w:rFonts w:ascii="黑体" w:hAnsi="黑体" w:eastAsia="黑体"/>
          <w:b/>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十年磨一剑”，2011年至今，经过十年多的精心谋划，万博商务区已横空出世，无论是整体形态还是空间布局，都受到业界普遍好评，随着区内重点项目的陆续开业，万博对番禺区的贡献有目共睹。华南板块乃至整个番禺区由于万博商务区的建成，经济生活日渐兴旺，居民购物日益便利，文化生活日益丰富，生活品质大大提升。近期，区委区政府在第十四次党代会上提出“要打造以长隆万博为核心的广州亲海商务区”，万博商务区日益受到人们的关注，今年国庆节期间人气十分火爆，即使到了晚上十点后仍然人来人往，川流不息。由于万博商务区的加持，周围住宅价格飙升，新楼盘价格已高达6万/平方米，并且当日售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今年是“十四五”开局之年，番禺区正在全面落实中央、省、市关于粤港澳大湾区建设的有关部署，提出“重点围绕沿江经济带、南大干线经济带和番禺大道经济带开展城市更新，强化生态驱动、交通驱动、文化驱动、产业驱动，实现更新片区经济价值、社会价值和生态价值全面提升，构建“以点带面、串珠成链、引城出海的大开发格局”。万博商务区已处于我区重大发展战略的核心位置。但是，随着万博商务区的建设完成，区内项目陆续开业，番禺大道、汉溪大道、南大干线的交通拥堵问题也日益严重，周围居民在享受着物业升值、生活配套日益便利的同时，也感受到塞车的困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造成番禺区华南板块交通拥堵的根源，归根究底是由于早期的产业规划缺失，没能实现产城融合，导致整个番禺区北部成为全国知名的“睡城”，只承担了居住功能，而人们的就业、日常消费及公共娱乐活动必须要到广州的其他城区及番禺市桥才能解决，从而造成严重的钟摆式交通拥堵，同时还存在公共交通配套严重不足、地铁异常拥挤、城市公共服务不均衡等一系列问题。 “罗马不是一天建成的”，番禺北部城市发展目前的困局，既是番禺的问题，更是广州的问题，希望能够引起广州市、区两级政府的足够关注和重视。</w:t>
      </w:r>
    </w:p>
    <w:p>
      <w:pPr>
        <w:keepNext w:val="0"/>
        <w:keepLines w:val="0"/>
        <w:pageBreakBefore w:val="0"/>
        <w:widowControl w:val="0"/>
        <w:tabs>
          <w:tab w:val="left" w:pos="1758"/>
        </w:tabs>
        <w:kinsoku/>
        <w:wordWrap/>
        <w:overflowPunct/>
        <w:topLinePunct w:val="0"/>
        <w:autoSpaceDE/>
        <w:autoSpaceDN/>
        <w:bidi w:val="0"/>
        <w:adjustRightInd/>
        <w:snapToGrid/>
        <w:spacing w:line="560" w:lineRule="exact"/>
        <w:textAlignment w:val="auto"/>
        <w:rPr>
          <w:rFonts w:ascii="宋体"/>
          <w:b/>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sz w:val="32"/>
          <w:szCs w:val="32"/>
        </w:rPr>
      </w:pPr>
      <w:r>
        <w:rPr>
          <w:rFonts w:hint="eastAsia" w:ascii="黑体" w:hAnsi="黑体" w:eastAsia="黑体" w:cs="Times New Roman"/>
          <w:b/>
          <w:sz w:val="32"/>
          <w:szCs w:val="32"/>
        </w:rPr>
        <w:t>办</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32"/>
          <w:sz w:val="32"/>
          <w:szCs w:val="32"/>
          <w:lang w:val="en-US" w:eastAsia="zh-CN" w:bidi="ar-SA"/>
        </w:rPr>
      </w:pPr>
      <w:r>
        <w:rPr>
          <w:rFonts w:hint="eastAsia" w:ascii="黑体" w:hAnsi="黑体" w:eastAsia="黑体" w:cs="黑体"/>
          <w:kern w:val="32"/>
          <w:sz w:val="32"/>
          <w:szCs w:val="32"/>
          <w:lang w:val="en-US" w:eastAsia="zh-CN" w:bidi="ar-SA"/>
        </w:rPr>
        <w:t>一、市、区联动，开展系统的产业规划，结合产业招商，尽早实现番禺北部的产城融合、职住平衡，逐步改善钟摆式交通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所谓产城融合，是指产业与城市融合发展，“以产促城、以城兴产，产城融合”。以城市为基础，承载产业空间和发展产业经济，以产业为保障，驱动城市更新、完善服务配套。目前城市发展应该走产城融合，多中心发展的健康之路。这就要求我们在城市建设方面，以人为本，完善番禺北部城区的公共交通和社会福利设施；建设满足人口需求的住宅、商业功能区，完善生活服务设施和文化娱乐设施；预留大片土地，为新城产业结构转型和长远发展提供保障。产业方面，实现与天河、海珠相邻城区产业的互补和错位竞争，引进龙头企业，加大发展零售、教育培训、咨询、保险、科研等服务业；开发大量的就业岗位，避免大量人口往返于广州天河、海珠与番禺之间，实现人口的截留，促进新城职住平衡。产城融合需要具备全局统筹的大视野，前瞻性的产业规划，以头部企业为主导，通过虹吸效应，形成产业链，打造产业生态。在建设过程中围绕产业发展、配套建设、人口集聚三大方面开展，从不同空间层级、不同区位特征及不同结构属性等方面进行融合，最终达到“产城人融合发展”，即实现人的发展与社会、经济、文化、产业、生态环境的良性互动和深度融合，在城市发展中形成“产业升级、人才集聚、城市转型”的新格局。广州市最新的城市规划，已经将番禺北部广明高速以北范围纳入广州城区，因此，希望市、区两级政府高度重视，开展产业规划研究，使番禺区北部享受广州城区同等待遇，纳入城市统一管理，切实解决产城分离造成的一系列问题，尽早实现产城人融合发展，彻底解决番禺北部城市发展的根本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32"/>
          <w:sz w:val="32"/>
          <w:szCs w:val="32"/>
          <w:lang w:val="en-US" w:eastAsia="zh-CN" w:bidi="ar-SA"/>
        </w:rPr>
      </w:pPr>
      <w:r>
        <w:rPr>
          <w:rFonts w:hint="eastAsia" w:ascii="黑体" w:hAnsi="黑体" w:eastAsia="黑体" w:cs="黑体"/>
          <w:kern w:val="32"/>
          <w:sz w:val="32"/>
          <w:szCs w:val="32"/>
          <w:lang w:val="en-US" w:eastAsia="zh-CN" w:bidi="ar-SA"/>
        </w:rPr>
        <w:t>二、开展番禺北部片区的交通规划研究，完善路网系统，形成交通大循环格局，彻底解决交通拥堵。</w:t>
      </w:r>
      <w:r>
        <w:rPr>
          <w:rFonts w:hint="eastAsia" w:ascii="仿宋" w:hAnsi="仿宋" w:eastAsia="仿宋" w:cs="仿宋"/>
          <w:kern w:val="32"/>
          <w:sz w:val="32"/>
          <w:szCs w:val="32"/>
          <w:lang w:val="en-US" w:eastAsia="zh-CN" w:bidi="ar-SA"/>
        </w:rPr>
        <w:t>从目前的城市规划来看，随着万博商务区的建设完成，汉溪长隆片区、南站商务区的相继建成，番禺北部片区的产业配套将会日趋完善，商业服务、文化娱乐设施逐步齐全，但公共交通的短板急需跟上。根据番禺发展战略，里仁洞村改、汉溪长隆片区开发（含越秀和樾府）、珠江铂世湾建设、官塘元岗村旧改等项目均需在十四五内完成，意味着近3-5年内将有大量的（约30万）新居民落户番禺万博商务区周边，万博商务区外围的交通拥堵问题将日益严重，急需解决，否则，将成为区域发展的严重障碍。为满足车流日益增长的交通需求，助力区域经济发展，建议尽快开展万博商务区外围交通规划研究，改善交通环境，为居民出行提供方便。具体如下：</w:t>
      </w:r>
      <w:r>
        <w:rPr>
          <w:rFonts w:hint="eastAsia" w:ascii="楷体" w:hAnsi="楷体" w:eastAsia="楷体" w:cs="楷体"/>
          <w:kern w:val="32"/>
          <w:sz w:val="32"/>
          <w:szCs w:val="32"/>
          <w:lang w:val="en-US" w:eastAsia="zh-CN" w:bidi="ar-SA"/>
        </w:rPr>
        <w:t>（一）对番禺大道北部道路交通进行系统研究，由市政府出资建设滨江大道，往东延伸连接金光大道。（二）研究万博商务区汉溪大道北延段再往北延伸，连接滨江大道，甚至可跨江连接至洛溪岛的沙溪大道，使万博往北车流可通过沙溪大道华南快速干线立交、新光快速立交迅速疏散。（三）扩建万博二路北延段(华南新城段)、员岗路、塘岗路等番禺北部城市主次干道，打通区域路网体系。（四）建设万博商务区海顺路、万博二路南段等城市主次干道，完善区内路网。（五）结合新开发项目、旧改项目，交通先行，建设区域范围内东西、南北向的城市次干道、支路，加强交通微循环。在拍地和审批环节，将道路建设纳入拍地条件，由开发企业出资建设，并要求新建设的居住区道路必须对社会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32"/>
          <w:sz w:val="32"/>
          <w:szCs w:val="32"/>
          <w:lang w:val="en-US" w:eastAsia="zh-CN" w:bidi="ar-SA"/>
        </w:rPr>
      </w:pPr>
      <w:r>
        <w:rPr>
          <w:rFonts w:hint="eastAsia" w:ascii="黑体" w:hAnsi="黑体" w:eastAsia="黑体" w:cs="黑体"/>
          <w:kern w:val="32"/>
          <w:sz w:val="32"/>
          <w:szCs w:val="32"/>
          <w:lang w:val="en-US" w:eastAsia="zh-CN" w:bidi="ar-SA"/>
        </w:rPr>
        <w:t>三、完善番禺北部的公共交通系统，从而减少居民开车出行，缓解道路交通拥堵。</w:t>
      </w:r>
      <w:r>
        <w:rPr>
          <w:rFonts w:hint="eastAsia" w:ascii="仿宋" w:hAnsi="仿宋" w:eastAsia="仿宋" w:cs="仿宋"/>
          <w:kern w:val="32"/>
          <w:sz w:val="32"/>
          <w:szCs w:val="32"/>
          <w:lang w:val="en-US" w:eastAsia="zh-CN" w:bidi="ar-SA"/>
        </w:rPr>
        <w:t>具体如下：</w:t>
      </w:r>
      <w:r>
        <w:rPr>
          <w:rFonts w:hint="eastAsia" w:ascii="楷体" w:hAnsi="楷体" w:eastAsia="楷体" w:cs="楷体"/>
          <w:kern w:val="32"/>
          <w:sz w:val="32"/>
          <w:szCs w:val="32"/>
          <w:lang w:val="en-US" w:eastAsia="zh-CN" w:bidi="ar-SA"/>
        </w:rPr>
        <w:t>（一）增加广州天河、海珠区通往番禺区北部的公共交通线路，作为地铁3号线、18号线的有效补充；（二）完善区域公共交通，在离万博商务区距离较远、居民较多且乘坐地铁不便的居住区开设通往7号线、3号线、18号线地铁站的公共汽车，减少居民开车出行;(三)开通连接万博商务区附近各居住区的公共交通专线，与各居住区内楼巴上落点有效衔接，为周边居民提供方便，从而减少开车出行，缓解番禺大道、汉溪大道及南大干线交通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32"/>
          <w:sz w:val="32"/>
          <w:szCs w:val="32"/>
          <w:lang w:val="en-US" w:eastAsia="zh-CN" w:bidi="ar-SA"/>
        </w:rPr>
      </w:pPr>
      <w:r>
        <w:rPr>
          <w:rFonts w:hint="eastAsia" w:ascii="黑体" w:hAnsi="黑体" w:eastAsia="黑体" w:cs="黑体"/>
          <w:kern w:val="32"/>
          <w:sz w:val="32"/>
          <w:szCs w:val="32"/>
          <w:lang w:val="en-US" w:eastAsia="zh-CN" w:bidi="ar-SA"/>
        </w:rPr>
        <w:t>四、建设区域自行车、代步车及步行专用通道等慢行系统，为居民的绿色出行提供方便。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对现有道路的断面进行优化、改造，形成专门的非机动车、代步车道及人行步行通道，鼓励绿色出行，进而减少开车出行，减轻道路交通压力。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32"/>
          <w:sz w:val="32"/>
          <w:szCs w:val="32"/>
          <w:lang w:val="en-US" w:eastAsia="zh-CN" w:bidi="ar-SA"/>
        </w:rPr>
      </w:pPr>
      <w:r>
        <w:rPr>
          <w:rFonts w:hint="eastAsia" w:ascii="黑体" w:hAnsi="黑体" w:eastAsia="黑体" w:cs="黑体"/>
          <w:kern w:val="32"/>
          <w:sz w:val="32"/>
          <w:szCs w:val="32"/>
          <w:lang w:val="en-US" w:eastAsia="zh-CN" w:bidi="ar-SA"/>
        </w:rPr>
        <w:t>五、建设番禺北部绿色廊道，提高居民生活品质。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32"/>
          <w:sz w:val="32"/>
          <w:szCs w:val="32"/>
          <w:lang w:val="en-US" w:eastAsia="zh-CN" w:bidi="ar-SA"/>
        </w:rPr>
      </w:pPr>
      <w:r>
        <w:rPr>
          <w:rFonts w:hint="eastAsia" w:ascii="仿宋" w:hAnsi="仿宋" w:eastAsia="仿宋" w:cs="仿宋"/>
          <w:kern w:val="32"/>
          <w:sz w:val="32"/>
          <w:szCs w:val="32"/>
          <w:lang w:val="en-US" w:eastAsia="zh-CN" w:bidi="ar-SA"/>
        </w:rPr>
        <w:t>加强绿地系统建设，通过系统规划，合理选线，结合城市人行道，建设跨越城市道路的人行桥，把番禺北部大夫山森林公园、南站公共绿地、大象岗森林公园、汉溪长隆、万博商务区景观带、大镇岗森林公园、沿江绿化休闲带串联起来，形成独具番禺特色的绿道。具体建议如下：</w:t>
      </w:r>
      <w:r>
        <w:rPr>
          <w:rFonts w:hint="eastAsia" w:ascii="楷体" w:hAnsi="楷体" w:eastAsia="楷体" w:cs="楷体"/>
          <w:kern w:val="32"/>
          <w:sz w:val="32"/>
          <w:szCs w:val="32"/>
          <w:lang w:val="en-US" w:eastAsia="zh-CN" w:bidi="ar-SA"/>
        </w:rPr>
        <w:t>（一）建设大镇岗森林公园-汉溪长隆-南站公共绿地-大夫山森林公园绿道，使万博与南站、大夫山串联起来；（二）在大象岗与星河湾半岛、科学中心之间建设跨大学城的步行桥，将大镇岗森林公园-万博公共绿地-大象岗森林公园-星河湾半岛-大学城科学中心等公共绿地连接起来，使万博商务区与沿江经济带和大学城串联起来，大大提升番禺北部城市活力，使得万博-长隆地区成为经济活跃、文化丰富、产业兴旺、人才集聚、宜业宜居的现代化新城。</w:t>
      </w:r>
    </w:p>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02F8"/>
    <w:rsid w:val="000D02F8"/>
    <w:rsid w:val="001A228E"/>
    <w:rsid w:val="0023670D"/>
    <w:rsid w:val="00351BA8"/>
    <w:rsid w:val="00562DCE"/>
    <w:rsid w:val="007D1A9C"/>
    <w:rsid w:val="00B12F67"/>
    <w:rsid w:val="00C8460B"/>
    <w:rsid w:val="00DE5FE3"/>
    <w:rsid w:val="0DB602D1"/>
    <w:rsid w:val="276E440B"/>
    <w:rsid w:val="526954B0"/>
    <w:rsid w:val="529351A3"/>
    <w:rsid w:val="556D3E6B"/>
    <w:rsid w:val="7525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semiHidden/>
    <w:unhideWhenUsed/>
    <w:qFormat/>
    <w:uiPriority w:val="99"/>
    <w:pPr>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footer"/>
    <w:basedOn w:val="1"/>
    <w:link w:val="1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unhideWhenUsed/>
    <w:qFormat/>
    <w:uiPriority w:val="99"/>
    <w:pPr>
      <w:ind w:firstLine="420" w:firstLineChars="100"/>
    </w:pPr>
  </w:style>
  <w:style w:type="character" w:customStyle="1" w:styleId="9">
    <w:name w:val="页脚 Char"/>
    <w:link w:val="4"/>
    <w:qFormat/>
    <w:uiPriority w:val="99"/>
    <w:rPr>
      <w:sz w:val="18"/>
      <w:szCs w:val="18"/>
    </w:rPr>
  </w:style>
  <w:style w:type="character" w:customStyle="1" w:styleId="10">
    <w:name w:val="页眉 Char"/>
    <w:basedOn w:val="8"/>
    <w:link w:val="5"/>
    <w:qFormat/>
    <w:uiPriority w:val="0"/>
    <w:rPr>
      <w:rFonts w:ascii="Times New Roman" w:hAnsi="Times New Roman" w:eastAsia="宋体" w:cs="Times New Roman"/>
      <w:sz w:val="18"/>
      <w:szCs w:val="18"/>
    </w:rPr>
  </w:style>
  <w:style w:type="character" w:customStyle="1" w:styleId="11">
    <w:name w:val="页脚 Char1"/>
    <w:basedOn w:val="8"/>
    <w:link w:val="4"/>
    <w:semiHidden/>
    <w:qFormat/>
    <w:uiPriority w:val="99"/>
    <w:rPr>
      <w:rFonts w:ascii="Times New Roman" w:hAnsi="Times New Roman" w:eastAsia="宋体" w:cs="Times New Roman"/>
      <w:sz w:val="18"/>
      <w:szCs w:val="18"/>
    </w:rPr>
  </w:style>
  <w:style w:type="character" w:customStyle="1" w:styleId="12">
    <w:name w:val="正文文本缩进 Char"/>
    <w:basedOn w:val="8"/>
    <w:link w:val="3"/>
    <w:semiHidden/>
    <w:qFormat/>
    <w:uiPriority w:val="99"/>
    <w:rPr>
      <w:rFonts w:ascii="Times New Roman" w:hAnsi="Times New Roman" w:eastAsia="宋体" w:cs="Times New Roman"/>
      <w:szCs w:val="24"/>
    </w:rPr>
  </w:style>
  <w:style w:type="character" w:customStyle="1" w:styleId="13">
    <w:name w:val="正文首行缩进 2 Char"/>
    <w:basedOn w:val="12"/>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460</Words>
  <Characters>2622</Characters>
  <Lines>21</Lines>
  <Paragraphs>6</Paragraphs>
  <TotalTime>11</TotalTime>
  <ScaleCrop>false</ScaleCrop>
  <LinksUpToDate>false</LinksUpToDate>
  <CharactersWithSpaces>3076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2022-01-01T10:22:00Z</dcterms:created>
  <dc:creator>tantanwu</dc:creator>
  <cp:lastModifiedBy>user</cp:lastModifiedBy>
  <cp:lastPrinted>2022-04-15T07:09:00Z</cp:lastPrinted>
  <dcterms:modified xsi:type="dcterms:W3CDTF">2023-11-21T10:27:02Z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9510407D193748A490832E652F84E055</vt:lpwstr>
  </property>
</Properties>
</file>