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rPr>
          <w:rFonts w:hint="eastAsia"/>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63</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tcPr>
          <w:p>
            <w:pPr>
              <w:ind w:firstLine="0" w:firstLineChars="0"/>
              <w:jc w:val="both"/>
              <w:rPr>
                <w:rFonts w:ascii="仿宋_GB2312" w:hAnsi="宋体" w:eastAsia="仿宋_GB2312"/>
                <w:sz w:val="32"/>
                <w:szCs w:val="32"/>
              </w:rPr>
            </w:pPr>
            <w:r>
              <w:rPr>
                <w:rFonts w:hint="eastAsia" w:ascii="仿宋_GB2312" w:hAnsi="宋体" w:eastAsia="仿宋_GB2312"/>
                <w:sz w:val="32"/>
                <w:szCs w:val="32"/>
                <w:lang w:val="en-US" w:eastAsia="zh-CN"/>
              </w:rPr>
              <w:t>关于建立番禺区中小学职业启蒙体验中心的建议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教育组</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杨斌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番禺区职业技术学校</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sz w:val="32"/>
                <w:szCs w:val="32"/>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c>
          <w:tcPr>
            <w:tcW w:w="992"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教育组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spacing w:line="440" w:lineRule="exact"/>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spacing w:line="440" w:lineRule="exact"/>
        <w:rPr>
          <w:rFonts w:ascii="宋体" w:hAnsi="宋体"/>
          <w:sz w:val="30"/>
          <w:szCs w:val="30"/>
        </w:rPr>
      </w:pPr>
      <w:r>
        <w:rPr>
          <w:rFonts w:hint="eastAsia" w:ascii="宋体" w:hAnsi="宋体"/>
          <w:sz w:val="30"/>
          <w:szCs w:val="30"/>
          <w:lang w:eastAsia="zh-CN"/>
        </w:rPr>
        <w:t>是（</w:t>
      </w:r>
      <w:r>
        <w:rPr>
          <w:rFonts w:hint="eastAsia" w:ascii="宋体" w:hAnsi="宋体"/>
          <w:sz w:val="30"/>
          <w:szCs w:val="30"/>
          <w:lang w:eastAsia="zh-CN"/>
        </w:rPr>
        <w:sym w:font="Wingdings 2" w:char="0052"/>
      </w:r>
      <w:r>
        <w:rPr>
          <w:rFonts w:hint="eastAsia" w:ascii="宋体" w:hAnsi="宋体"/>
          <w:sz w:val="30"/>
          <w:szCs w:val="30"/>
          <w:lang w:eastAsia="zh-CN"/>
        </w:rPr>
        <w:t>）</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Pr>
        <w:pStyle w:val="2"/>
        <w:ind w:left="0" w:leftChars="0" w:firstLine="0" w:firstLineChars="0"/>
        <w:rPr>
          <w:rFonts w:ascii="宋体" w:hAnsi="宋体"/>
          <w:sz w:val="30"/>
          <w:szCs w:val="30"/>
        </w:rPr>
      </w:pPr>
    </w:p>
    <w:p>
      <w:pPr>
        <w:ind w:firstLine="0" w:firstLineChars="0"/>
        <w:jc w:val="center"/>
        <w:rPr>
          <w:rFonts w:hint="eastAsia" w:ascii="方正小标宋简体" w:eastAsia="方正小标宋简体"/>
          <w:color w:val="000000"/>
          <w:sz w:val="44"/>
          <w:szCs w:val="44"/>
        </w:rPr>
      </w:pPr>
    </w:p>
    <w:p>
      <w:pPr>
        <w:rPr>
          <w:rFonts w:hint="eastAsia" w:ascii="黑体" w:hAnsi="黑体" w:eastAsia="黑体" w:cs="黑体"/>
          <w:b/>
          <w:bCs/>
          <w:sz w:val="32"/>
          <w:szCs w:val="32"/>
        </w:rPr>
      </w:pPr>
      <w:r>
        <w:rPr>
          <w:rFonts w:hint="eastAsia" w:ascii="黑体" w:hAnsi="黑体" w:eastAsia="黑体" w:cs="黑体"/>
          <w:b/>
          <w:bCs/>
          <w:sz w:val="32"/>
          <w:szCs w:val="32"/>
        </w:rPr>
        <w:t>理</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教育部《中小学综合实践活动课程指导纲要》（教材〔2017〕4号）指出中小学综合实践活动课程是义务教育和普通高中课程方案规定的必修课程，要求小学1-2年级平均每周不少于1课时，小学3-6年级和初中平均每周不少于2课时，高中执行课程方案相关要求，完成规定学分；确定了“职业体验”为主要的活动方式之一；指出初高中要通过职业体验活动，形成初步生涯规划意识和能力（初中），以及增强生涯规划和职业选择能力（高中）。</w:t>
      </w:r>
    </w:p>
    <w:p>
      <w:pPr>
        <w:rPr>
          <w:rFonts w:hint="eastAsia" w:ascii="仿宋" w:hAnsi="仿宋" w:eastAsia="仿宋" w:cs="仿宋"/>
          <w:sz w:val="32"/>
          <w:szCs w:val="32"/>
        </w:rPr>
      </w:pPr>
      <w:r>
        <w:rPr>
          <w:rFonts w:hint="eastAsia" w:ascii="仿宋" w:hAnsi="仿宋" w:eastAsia="仿宋" w:cs="仿宋"/>
          <w:sz w:val="32"/>
          <w:szCs w:val="32"/>
        </w:rPr>
        <w:t>中共中央、国务院《关于全面加强新时代大中小学劳动教育的意见》、教育部《大中小学劳动教育指导纲要（试行）》及省、市、区加强中小学劳动教育的指导意见，对大中小学各学段开展劳动教育均作出了具体的规定，明确了初中和高中的职业启蒙和体验活动，规定了职业院校的基地育人功能及自身的课程建设工作等。</w:t>
      </w:r>
    </w:p>
    <w:p>
      <w:pPr>
        <w:rPr>
          <w:rFonts w:hint="eastAsia" w:ascii="仿宋" w:hAnsi="仿宋" w:eastAsia="仿宋" w:cs="仿宋"/>
          <w:sz w:val="32"/>
          <w:szCs w:val="32"/>
        </w:rPr>
      </w:pPr>
      <w:r>
        <w:rPr>
          <w:rFonts w:hint="eastAsia" w:ascii="仿宋" w:hAnsi="仿宋" w:eastAsia="仿宋" w:cs="仿宋"/>
          <w:sz w:val="32"/>
          <w:szCs w:val="32"/>
        </w:rPr>
        <w:t>经过调研，发现我区中小学综合实践活动课程和劳动教育在校外基地建设方面存在优质的校外实践基地比较缺乏、示范引领不足、课程体系不完整、授课教师数量少且专业性不强等问题，因此，可充分调动专业性强的职业院校资源提升校外基地建设的质量，以更好地达到国家的建设目标。</w:t>
      </w:r>
    </w:p>
    <w:p>
      <w:pPr>
        <w:rPr>
          <w:rFonts w:hint="eastAsia" w:ascii="仿宋" w:hAnsi="仿宋" w:eastAsia="仿宋" w:cs="仿宋"/>
          <w:sz w:val="32"/>
          <w:szCs w:val="32"/>
        </w:rPr>
      </w:pPr>
    </w:p>
    <w:p>
      <w:pPr>
        <w:rPr>
          <w:rFonts w:hint="eastAsia" w:ascii="黑体" w:hAnsi="黑体" w:eastAsia="黑体" w:cs="黑体"/>
          <w:b/>
          <w:bCs/>
          <w:sz w:val="32"/>
          <w:szCs w:val="32"/>
        </w:rPr>
      </w:pPr>
      <w:r>
        <w:rPr>
          <w:rFonts w:hint="eastAsia" w:ascii="黑体" w:hAnsi="黑体" w:eastAsia="黑体" w:cs="黑体"/>
          <w:b/>
          <w:bCs/>
          <w:sz w:val="32"/>
          <w:szCs w:val="32"/>
        </w:rPr>
        <w:t>办</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法：</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（一）依托职业学校建立区级中小学职业启蒙体验中心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落实国家及省、市、区在实施综合实践活动课程及劳动教育方面有关文件精神和区深改委《番禺区校外劳动资源服务中小学劳动教育实施方案》有关要求，在职能部门的主导下，发挥中职学校特别是综合型职业学校专业门类齐全、校内外实训基地充足、师资结构多样等资源优势，联合企业、社区，建立</w:t>
      </w:r>
      <w:bookmarkStart w:id="0" w:name="_Hlk92548886"/>
      <w:r>
        <w:rPr>
          <w:rFonts w:hint="eastAsia" w:ascii="仿宋" w:hAnsi="仿宋" w:eastAsia="仿宋" w:cs="仿宋"/>
          <w:sz w:val="32"/>
          <w:szCs w:val="32"/>
        </w:rPr>
        <w:t>番禺区中小学职业启蒙体验中心</w:t>
      </w:r>
      <w:bookmarkEnd w:id="0"/>
      <w:r>
        <w:rPr>
          <w:rFonts w:hint="eastAsia" w:ascii="仿宋" w:hAnsi="仿宋" w:eastAsia="仿宋" w:cs="仿宋"/>
          <w:sz w:val="32"/>
          <w:szCs w:val="32"/>
        </w:rPr>
        <w:t>，面向我区中小学、职业学校开放，广泛开展围绕职业启蒙和体验的综合实践活动和劳动教育项目，落实国家要求、实现开放共享、打造品牌特色，将该中心打造成省市领先的示范性实践基地。</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（二）依托中小学职业启蒙体验中心开发特色实践课程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实施综合实践活动课程和劳动教育，基地是基础，课程是关键。建议依托番禺区中小学职业启蒙体验中心，组建教师团队，开发初级职业体验、中级职业实践、高级职业探索的“三阶”课程体系。初级职业体验课程面向小学和初中学生，通过职业情境观摩、角色扮演、游戏体验等活动开展学习，激发职业兴趣，体验劳动的快乐；中级职业实践课程面向小学高年段、初中和高中学生，以职业工作任务为引领，通过参与设计与制作一个或多个典型作品，让学习者深刻体验职业的魅力、培养职业理想、提高职业能力，为未来职业发展打下基础；高级职业探索课程面向有专业发展意向或科技类竞赛参加意向的学生，通过开展新技术、新方法、新工艺的创新应用，解决生产和生活中的实际问题，了解职业前沿知识和发展趋势，提升职业知识和技能迁移能力。</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（三）以</w:t>
      </w:r>
      <w:bookmarkStart w:id="1" w:name="_Hlk92810964"/>
      <w:r>
        <w:rPr>
          <w:rFonts w:hint="eastAsia" w:ascii="楷体" w:hAnsi="楷体" w:eastAsia="楷体" w:cs="楷体"/>
          <w:b/>
          <w:bCs/>
          <w:sz w:val="32"/>
          <w:szCs w:val="32"/>
        </w:rPr>
        <w:t>区职业技术学校</w:t>
      </w:r>
      <w:bookmarkEnd w:id="1"/>
      <w:r>
        <w:rPr>
          <w:rFonts w:hint="eastAsia" w:ascii="楷体" w:hAnsi="楷体" w:eastAsia="楷体" w:cs="楷体"/>
          <w:b/>
          <w:bCs/>
          <w:sz w:val="32"/>
          <w:szCs w:val="32"/>
        </w:rPr>
        <w:t>基础优势，彰显中小学职业启蒙体验中心的示范引领功能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番禺区职业技术学校是国家级重点学校、中职教育改革发展示范学校（全市共5所）、广东省高水平中职学校建设单位（全市共9所）。该校有专业教师220人，开设汽车、数控、电子、物联网等19个专业，建有3D打印、无人机、工业机器人、智能制造、电子商务、汽车等近百个实训场室；牵头成立了番禺区工贸职业教育集团，有校外实训基地90多个。</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番禺职校是广州市深入推进STEM课程试点学校，目前申报立项了《面向中小学生的“三阶多维”职业体验教育模式的研究与实践》省级教学改革项目。该校先后与星海青少年宫合作开展趣味电子、科技模型等职业体验实践活动，与番禺中学、市桥新世纪小学、东兴小学、南村南华小学、化龙中心小学等开展3D打印技术科普教育、STEM创客实践、智能机器人、电子科技产品小制作等活动，具备较好的职业启蒙体验和劳动教育基础，以区职业技术学校为平台，建立中小学职业启蒙体验中心，可以较好地彰显区级中小学职业启蒙体验中心的示范引领功能，提升品牌效应。</w:t>
      </w:r>
    </w:p>
    <w:p>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（四）健全中小学职业启蒙体验中心工作机制，确保常态化、长效化运行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要确保中小学职业启蒙体验中心常态化运行，建立健全工作机制是关键。一是为中小学职业启蒙体验中心赋能，建议正式授牌为区级中小学职业启蒙体验实训中心；二是做好专项经费投入，按照目前实际，建议年均投入不低于50万元，用于职业启蒙体验中心环境建设、耗材采购和开展职业启蒙活动等；三是组建一支稳定的高水平职业启蒙师资队伍，使番禺区中小学职业启蒙体验实训中心成为我区职业启蒙师资培养的摇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区充分发挥区职业技术学校的资源优势和基础优势，建立区中小学职业启蒙体验公共实训中心，将有助于我区中小学职业启蒙教育和劳动教育的高质量实施，为我区构建各级各类教育齐头并进、多元互补、开放综合的现代化“大教育”一体化体系，打造新时代立德树人共同体，提升教育品牌，实现供给更好、质量更高、品牌更亮、环境更雅、德行更美的“五更”教育目标贡献智慧和力量。</w:t>
      </w:r>
    </w:p>
    <w:p>
      <w:pPr>
        <w:pStyle w:val="2"/>
        <w:ind w:left="0" w:leftChars="0" w:firstLine="0" w:firstLineChars="0"/>
        <w:rPr>
          <w:rFonts w:ascii="宋体" w:hAnsi="宋体"/>
          <w:sz w:val="30"/>
          <w:szCs w:val="30"/>
        </w:rPr>
      </w:pPr>
    </w:p>
    <w:p>
      <w:pPr>
        <w:spacing w:line="440" w:lineRule="exact"/>
        <w:rPr>
          <w:rFonts w:hint="eastAsia" w:ascii="黑体" w:hAnsi="黑体" w:eastAsia="黑体"/>
          <w:b/>
          <w:sz w:val="32"/>
          <w:szCs w:val="32"/>
        </w:rPr>
      </w:pPr>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E267F"/>
    <w:rsid w:val="048B7407"/>
    <w:rsid w:val="0BC2419D"/>
    <w:rsid w:val="393C53BF"/>
    <w:rsid w:val="56D571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2102</Words>
  <Characters>2139</Characters>
  <Paragraphs>66</Paragraphs>
  <TotalTime>4</TotalTime>
  <ScaleCrop>false</ScaleCrop>
  <LinksUpToDate>false</LinksUpToDate>
  <CharactersWithSpaces>2150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403F40D75B3848E7AE252364595B3477</vt:lpwstr>
  </property>
</Properties>
</file>