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eastAsia="宋体" w:cs="Times New Roman"/>
          <w:sz w:val="32"/>
          <w:szCs w:val="32"/>
        </w:rPr>
      </w:pPr>
      <w:r>
        <w:rPr>
          <w:rFonts w:hint="eastAsia" w:ascii="宋体" w:hAnsi="宋体" w:eastAsia="宋体" w:cs="Times New Roman"/>
          <w:sz w:val="32"/>
          <w:szCs w:val="32"/>
        </w:rPr>
        <w:t>第</w:t>
      </w:r>
      <w:r>
        <w:rPr>
          <w:rFonts w:hint="eastAsia" w:ascii="宋体" w:hAnsi="宋体" w:eastAsia="宋体" w:cs="Times New Roman"/>
          <w:sz w:val="32"/>
          <w:szCs w:val="32"/>
          <w:lang w:val="en-US" w:eastAsia="zh-CN"/>
        </w:rPr>
        <w:t xml:space="preserve"> 69 </w:t>
      </w:r>
      <w:r>
        <w:rPr>
          <w:rFonts w:hint="eastAsia" w:ascii="宋体" w:hAnsi="宋体" w:eastAsia="宋体" w:cs="Times New Roman"/>
          <w:sz w:val="32"/>
          <w:szCs w:val="32"/>
        </w:rPr>
        <w:t>号</w:t>
      </w:r>
    </w:p>
    <w:p>
      <w:pPr>
        <w:jc w:val="center"/>
        <w:rPr>
          <w:rFonts w:hint="eastAsia" w:ascii="小标宋" w:hAnsi="黑体" w:eastAsia="小标宋" w:cs="Times New Roman"/>
          <w:sz w:val="44"/>
          <w:szCs w:val="44"/>
        </w:rPr>
      </w:pPr>
      <w:r>
        <w:rPr>
          <w:rFonts w:hint="eastAsia" w:ascii="小标宋" w:hAnsi="黑体" w:eastAsia="小标宋" w:cs="Times New Roman"/>
          <w:sz w:val="44"/>
          <w:szCs w:val="44"/>
        </w:rPr>
        <w:t>番禺区政协十</w:t>
      </w:r>
      <w:r>
        <w:rPr>
          <w:rFonts w:hint="eastAsia" w:ascii="小标宋" w:hAnsi="黑体" w:eastAsia="小标宋" w:cs="Times New Roman"/>
          <w:sz w:val="44"/>
          <w:szCs w:val="44"/>
          <w:lang w:val="en-US" w:eastAsia="zh-CN"/>
        </w:rPr>
        <w:t>五</w:t>
      </w:r>
      <w:r>
        <w:rPr>
          <w:rFonts w:hint="eastAsia" w:ascii="小标宋" w:hAnsi="黑体" w:eastAsia="小标宋" w:cs="Times New Roman"/>
          <w:sz w:val="44"/>
          <w:szCs w:val="44"/>
        </w:rPr>
        <w:t>届</w:t>
      </w:r>
      <w:r>
        <w:rPr>
          <w:rFonts w:hint="eastAsia" w:ascii="小标宋" w:hAnsi="黑体" w:eastAsia="小标宋" w:cs="Times New Roman"/>
          <w:sz w:val="44"/>
          <w:szCs w:val="44"/>
          <w:lang w:val="en-US" w:eastAsia="zh-CN"/>
        </w:rPr>
        <w:t>一</w:t>
      </w:r>
      <w:r>
        <w:rPr>
          <w:rFonts w:hint="eastAsia" w:ascii="小标宋" w:hAnsi="黑体" w:eastAsia="小标宋" w:cs="Times New Roman"/>
          <w:sz w:val="44"/>
          <w:szCs w:val="44"/>
        </w:rPr>
        <w:t>次会议提案</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2693"/>
        <w:gridCol w:w="284"/>
        <w:gridCol w:w="1276"/>
        <w:gridCol w:w="992"/>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题目</w:t>
            </w:r>
          </w:p>
        </w:tc>
        <w:tc>
          <w:tcPr>
            <w:tcW w:w="6571" w:type="dxa"/>
            <w:gridSpan w:val="5"/>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FangSong_GB2312" w:hAnsi="宋体" w:eastAsia="FangSong_GB2312" w:cs="Times New Roman"/>
                <w:sz w:val="32"/>
                <w:szCs w:val="32"/>
                <w:lang w:val="en-US" w:eastAsia="zh-CN"/>
              </w:rPr>
            </w:pPr>
            <w:r>
              <w:rPr>
                <w:rFonts w:hint="eastAsia" w:ascii="FangSong_GB2312" w:hAnsi="宋体" w:eastAsia="FangSong_GB2312" w:cs="Times New Roman"/>
                <w:sz w:val="32"/>
                <w:szCs w:val="32"/>
                <w:lang w:val="en-US" w:eastAsia="zh-CN"/>
              </w:rPr>
              <w:t>关于建立疫情防控常态化下的</w:t>
            </w:r>
          </w:p>
          <w:p>
            <w:pPr>
              <w:spacing w:line="240" w:lineRule="auto"/>
              <w:jc w:val="center"/>
              <w:rPr>
                <w:rFonts w:hint="eastAsia" w:ascii="FangSong_GB2312" w:hAnsi="宋体" w:eastAsia="宋体" w:cs="Times New Roman"/>
                <w:sz w:val="32"/>
                <w:szCs w:val="32"/>
                <w:lang w:eastAsia="zh-CN"/>
              </w:rPr>
            </w:pPr>
            <w:r>
              <w:rPr>
                <w:rFonts w:hint="eastAsia" w:ascii="FangSong_GB2312" w:hAnsi="宋体" w:eastAsia="FangSong_GB2312" w:cs="Times New Roman"/>
                <w:sz w:val="32"/>
                <w:szCs w:val="32"/>
                <w:lang w:val="en-US" w:eastAsia="zh-CN"/>
              </w:rPr>
              <w:t>番禺区社区慢病管理体系的建议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提案者</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r>
              <w:rPr>
                <w:rFonts w:hint="eastAsia" w:ascii="FangSong_GB2312" w:hAnsi="宋体" w:eastAsia="FangSong_GB2312" w:cs="Times New Roman"/>
                <w:sz w:val="32"/>
                <w:szCs w:val="32"/>
                <w:lang w:val="en-US" w:eastAsia="zh-CN"/>
              </w:rPr>
              <w:t>区政协科技组</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r>
              <w:rPr>
                <w:rFonts w:hint="eastAsia" w:ascii="FangSong_GB2312" w:hAnsi="宋体" w:eastAsia="FangSong_GB2312" w:cs="Times New Roman"/>
                <w:sz w:val="32"/>
                <w:szCs w:val="32"/>
              </w:rPr>
              <w:t>联系人</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eastAsia" w:ascii="FangSong_GB2312" w:hAnsi="宋体" w:eastAsia="FangSong_GB2312" w:cs="Times New Roman"/>
                <w:sz w:val="32"/>
                <w:szCs w:val="32"/>
                <w:lang w:val="en-US" w:eastAsia="zh-CN"/>
              </w:rPr>
            </w:pPr>
            <w:r>
              <w:rPr>
                <w:rFonts w:ascii="FangSong_GB2312" w:hAnsi="宋体" w:eastAsia="FangSong_GB2312" w:cs="Times New Roman"/>
                <w:sz w:val="32"/>
                <w:szCs w:val="32"/>
              </w:rPr>
              <w:t xml:space="preserve"> </w:t>
            </w:r>
            <w:r>
              <w:rPr>
                <w:rFonts w:hint="eastAsia" w:ascii="FangSong_GB2312" w:hAnsi="宋体" w:eastAsia="FangSong_GB2312" w:cs="Times New Roman"/>
                <w:sz w:val="32"/>
                <w:szCs w:val="32"/>
                <w:lang w:val="en-US" w:eastAsia="zh-CN"/>
              </w:rPr>
              <w:t>庞志强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工作单位</w:t>
            </w:r>
          </w:p>
        </w:tc>
        <w:tc>
          <w:tcPr>
            <w:tcW w:w="2977"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r>
              <w:rPr>
                <w:rFonts w:hint="eastAsia" w:ascii="FangSong_GB2312" w:hAnsi="宋体" w:eastAsia="FangSong_GB2312" w:cs="Times New Roman"/>
                <w:sz w:val="32"/>
                <w:szCs w:val="32"/>
                <w:lang w:val="en-US" w:eastAsia="zh-CN"/>
              </w:rPr>
              <w:t>广州中科新知科技有限公司</w:t>
            </w:r>
          </w:p>
        </w:tc>
        <w:tc>
          <w:tcPr>
            <w:tcW w:w="1276" w:type="dxa"/>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r>
              <w:rPr>
                <w:rFonts w:hint="eastAsia" w:ascii="FangSong_GB2312" w:hAnsi="宋体" w:eastAsia="FangSong_GB2312" w:cs="Times New Roman"/>
                <w:sz w:val="32"/>
                <w:szCs w:val="32"/>
              </w:rPr>
              <w:t>职务</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r>
              <w:rPr>
                <w:rFonts w:hint="eastAsia" w:ascii="FangSong_GB2312" w:hAnsi="宋体" w:eastAsia="FangSong_GB2312" w:cs="Times New Roman"/>
                <w:sz w:val="32"/>
                <w:szCs w:val="32"/>
                <w:lang w:val="en-US" w:eastAsia="zh-CN"/>
              </w:rPr>
              <w:t>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手机号码</w:t>
            </w:r>
          </w:p>
        </w:tc>
        <w:tc>
          <w:tcPr>
            <w:tcW w:w="2693" w:type="dxa"/>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p>
        </w:tc>
        <w:tc>
          <w:tcPr>
            <w:tcW w:w="1560" w:type="dxa"/>
            <w:gridSpan w:val="2"/>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r>
              <w:rPr>
                <w:rFonts w:hint="eastAsia" w:ascii="FangSong_GB2312" w:hAnsi="宋体" w:eastAsia="FangSong_GB2312" w:cs="Times New Roman"/>
                <w:sz w:val="32"/>
                <w:szCs w:val="32"/>
              </w:rPr>
              <w:t>办公电话</w:t>
            </w:r>
          </w:p>
        </w:tc>
        <w:tc>
          <w:tcPr>
            <w:tcW w:w="2318" w:type="dxa"/>
            <w:gridSpan w:val="2"/>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通讯地址</w:t>
            </w:r>
          </w:p>
        </w:tc>
        <w:tc>
          <w:tcPr>
            <w:tcW w:w="4253" w:type="dxa"/>
            <w:gridSpan w:val="3"/>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p>
        </w:tc>
        <w:tc>
          <w:tcPr>
            <w:tcW w:w="992" w:type="dxa"/>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r>
              <w:rPr>
                <w:rFonts w:hint="eastAsia" w:ascii="FangSong_GB2312" w:hAnsi="宋体" w:eastAsia="FangSong_GB2312" w:cs="Times New Roman"/>
                <w:sz w:val="32"/>
                <w:szCs w:val="32"/>
              </w:rPr>
              <w:t>邮编</w:t>
            </w:r>
          </w:p>
        </w:tc>
        <w:tc>
          <w:tcPr>
            <w:tcW w:w="1326" w:type="dxa"/>
            <w:tcBorders>
              <w:top w:val="single" w:color="auto" w:sz="4" w:space="0"/>
              <w:left w:val="single" w:color="auto" w:sz="4" w:space="0"/>
              <w:bottom w:val="single" w:color="auto" w:sz="4" w:space="0"/>
              <w:right w:val="single" w:color="auto" w:sz="4" w:space="0"/>
            </w:tcBorders>
          </w:tcPr>
          <w:p>
            <w:pPr>
              <w:spacing w:line="680" w:lineRule="exact"/>
              <w:rPr>
                <w:rFonts w:hint="default" w:ascii="FangSong_GB2312" w:hAnsi="宋体" w:eastAsia="FangSong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联名提案人</w:t>
            </w:r>
          </w:p>
          <w:p>
            <w:pPr>
              <w:spacing w:line="680" w:lineRule="exact"/>
              <w:jc w:val="center"/>
              <w:rPr>
                <w:rFonts w:ascii="FangSong_GB2312" w:hAnsi="宋体" w:eastAsia="FangSong_GB2312" w:cs="Times New Roman"/>
                <w:spacing w:val="-14"/>
                <w:sz w:val="32"/>
                <w:szCs w:val="32"/>
              </w:rPr>
            </w:pPr>
            <w:r>
              <w:rPr>
                <w:rFonts w:hint="eastAsia" w:ascii="FangSong_GB2312" w:hAnsi="宋体" w:eastAsia="FangSong_GB2312" w:cs="Times New Roman"/>
                <w:spacing w:val="-14"/>
                <w:sz w:val="32"/>
                <w:szCs w:val="32"/>
              </w:rPr>
              <w:t>（如</w:t>
            </w:r>
            <w:r>
              <w:rPr>
                <w:rFonts w:hint="eastAsia" w:ascii="FangSong_GB2312" w:hAnsi="宋体" w:eastAsia="FangSong_GB2312" w:cs="Times New Roman"/>
                <w:spacing w:val="-14"/>
                <w:sz w:val="28"/>
                <w:szCs w:val="28"/>
              </w:rPr>
              <w:t>人数较多，可另附于文后</w:t>
            </w:r>
            <w:r>
              <w:rPr>
                <w:rFonts w:hint="eastAsia" w:ascii="FangSong_GB2312" w:hAnsi="宋体" w:eastAsia="FangSong_GB2312" w:cs="Times New Roman"/>
                <w:spacing w:val="-14"/>
                <w:sz w:val="32"/>
                <w:szCs w:val="32"/>
              </w:rPr>
              <w:t>）</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hint="eastAsia" w:ascii="FangSong_GB2312" w:hAnsi="宋体" w:eastAsia="FangSong_GB2312" w:cs="Times New Roman"/>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left w:val="single" w:color="auto" w:sz="4" w:space="0"/>
              <w:bottom w:val="single" w:color="auto" w:sz="4" w:space="0"/>
              <w:right w:val="single" w:color="auto" w:sz="4" w:space="0"/>
            </w:tcBorders>
          </w:tcPr>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提案委员会</w:t>
            </w:r>
          </w:p>
          <w:p>
            <w:pPr>
              <w:spacing w:line="680" w:lineRule="exact"/>
              <w:jc w:val="center"/>
              <w:rPr>
                <w:rFonts w:ascii="FangSong_GB2312" w:hAnsi="宋体" w:eastAsia="FangSong_GB2312" w:cs="Times New Roman"/>
                <w:sz w:val="32"/>
                <w:szCs w:val="32"/>
              </w:rPr>
            </w:pPr>
            <w:r>
              <w:rPr>
                <w:rFonts w:hint="eastAsia" w:ascii="FangSong_GB2312" w:hAnsi="宋体" w:eastAsia="FangSong_GB2312" w:cs="Times New Roman"/>
                <w:sz w:val="32"/>
                <w:szCs w:val="32"/>
              </w:rPr>
              <w:t>审查意见</w:t>
            </w:r>
          </w:p>
        </w:tc>
        <w:tc>
          <w:tcPr>
            <w:tcW w:w="6571" w:type="dxa"/>
            <w:gridSpan w:val="5"/>
            <w:tcBorders>
              <w:top w:val="single" w:color="auto" w:sz="4" w:space="0"/>
              <w:left w:val="single" w:color="auto" w:sz="4" w:space="0"/>
              <w:bottom w:val="single" w:color="auto" w:sz="4" w:space="0"/>
              <w:right w:val="single" w:color="auto" w:sz="4" w:space="0"/>
            </w:tcBorders>
          </w:tcPr>
          <w:p>
            <w:pPr>
              <w:spacing w:line="680" w:lineRule="exact"/>
              <w:rPr>
                <w:rFonts w:ascii="FangSong_GB2312" w:hAnsi="宋体" w:eastAsia="FangSong_GB2312" w:cs="Times New Roman"/>
                <w:sz w:val="32"/>
                <w:szCs w:val="32"/>
              </w:rPr>
            </w:pPr>
          </w:p>
        </w:tc>
      </w:tr>
    </w:tbl>
    <w:p>
      <w:pPr>
        <w:spacing w:line="680" w:lineRule="exact"/>
        <w:rPr>
          <w:rFonts w:ascii="黑体" w:hAnsi="黑体" w:eastAsia="黑体" w:cs="Times New Roman"/>
          <w:sz w:val="32"/>
          <w:szCs w:val="32"/>
        </w:rPr>
      </w:pPr>
      <w:r>
        <w:rPr>
          <w:rFonts w:hint="eastAsia" w:ascii="黑体" w:hAnsi="黑体" w:eastAsia="黑体" w:cs="Times New Roman"/>
          <w:sz w:val="32"/>
          <w:szCs w:val="32"/>
        </w:rPr>
        <w:t>根据实际情况在○内打勾确认：</w:t>
      </w:r>
    </w:p>
    <w:p>
      <w:pPr>
        <w:spacing w:line="440" w:lineRule="exact"/>
        <w:rPr>
          <w:rFonts w:ascii="宋体" w:hAnsi="宋体" w:eastAsia="宋体" w:cs="Times New Roman"/>
          <w:b/>
          <w:sz w:val="30"/>
          <w:szCs w:val="30"/>
        </w:rPr>
      </w:pPr>
      <w:r>
        <w:rPr>
          <w:rFonts w:hint="eastAsia" w:ascii="宋体" w:hAnsi="宋体" w:eastAsia="宋体" w:cs="Times New Roman"/>
          <w:b/>
          <w:sz w:val="30"/>
          <w:szCs w:val="30"/>
        </w:rPr>
        <w:t>提案基本情况：</w:t>
      </w:r>
    </w:p>
    <w:p>
      <w:pPr>
        <w:spacing w:line="440" w:lineRule="exact"/>
        <w:rPr>
          <w:rFonts w:ascii="宋体" w:hAnsi="Times New Roman" w:eastAsia="宋体" w:cs="Times New Roman"/>
          <w:b/>
          <w:sz w:val="30"/>
          <w:szCs w:val="30"/>
        </w:rPr>
      </w:pPr>
      <w:r>
        <w:rPr>
          <w:rFonts w:hint="eastAsia" w:ascii="宋体" w:hAnsi="Times New Roman" w:eastAsia="宋体" w:cs="Times New Roman"/>
          <w:b/>
          <w:sz w:val="30"/>
          <w:szCs w:val="30"/>
        </w:rPr>
        <w:t>√</w:t>
      </w:r>
      <w:r>
        <w:rPr>
          <w:rFonts w:hint="eastAsia" w:ascii="宋体" w:hAnsi="宋体" w:eastAsia="宋体" w:cs="Times New Roman"/>
          <w:sz w:val="30"/>
          <w:szCs w:val="30"/>
        </w:rPr>
        <w:t>同意公开</w:t>
      </w:r>
    </w:p>
    <w:p>
      <w:pPr>
        <w:spacing w:line="680" w:lineRule="exact"/>
        <w:rPr>
          <w:rFonts w:hint="eastAsia" w:ascii="FangSong_GB2312" w:hAnsi="宋体" w:eastAsia="FangSong_GB2312" w:cs="Times New Roman"/>
          <w:b/>
          <w:bCs/>
          <w:sz w:val="32"/>
          <w:szCs w:val="32"/>
          <w:lang w:val="en-US" w:eastAsia="zh-CN"/>
        </w:rPr>
      </w:pPr>
    </w:p>
    <w:p>
      <w:pPr>
        <w:spacing w:line="680" w:lineRule="exact"/>
        <w:rPr>
          <w:rFonts w:hint="eastAsia" w:ascii="FangSong_GB2312" w:hAnsi="宋体" w:eastAsia="FangSong_GB2312" w:cs="Times New Roman"/>
          <w:b/>
          <w:bCs/>
          <w:sz w:val="32"/>
          <w:szCs w:val="32"/>
          <w:lang w:val="en-US" w:eastAsia="zh-CN"/>
        </w:rPr>
      </w:pPr>
    </w:p>
    <w:p>
      <w:pPr>
        <w:spacing w:line="680" w:lineRule="exact"/>
        <w:rPr>
          <w:rFonts w:hint="eastAsia" w:ascii="FangSong_GB2312" w:hAnsi="宋体" w:eastAsia="FangSong_GB2312" w:cs="Times New Roman"/>
          <w:b/>
          <w:bCs/>
          <w:sz w:val="32"/>
          <w:szCs w:val="32"/>
          <w:lang w:val="en-US" w:eastAsia="zh-CN"/>
        </w:rPr>
      </w:pPr>
    </w:p>
    <w:p>
      <w:pPr>
        <w:spacing w:line="680" w:lineRule="exact"/>
        <w:rPr>
          <w:rFonts w:hint="eastAsia" w:ascii="黑体" w:hAnsi="黑体" w:eastAsia="黑体" w:cs="黑体"/>
          <w:b w:val="0"/>
          <w:bCs w:val="0"/>
          <w:lang w:val="en-US" w:eastAsia="zh-CN"/>
        </w:rPr>
      </w:pPr>
      <w:r>
        <w:rPr>
          <w:rFonts w:hint="eastAsia" w:ascii="黑体" w:hAnsi="黑体" w:eastAsia="黑体" w:cs="黑体"/>
          <w:b w:val="0"/>
          <w:bCs w:val="0"/>
          <w:sz w:val="32"/>
          <w:szCs w:val="32"/>
          <w:lang w:val="en-US" w:eastAsia="zh-CN"/>
        </w:rPr>
        <w:t>理  由</w:t>
      </w:r>
      <w:r>
        <w:rPr>
          <w:rFonts w:hint="eastAsia" w:ascii="黑体" w:hAnsi="黑体" w:eastAsia="黑体" w:cs="黑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随着新冠疫情防控进入常态化，社区慢病患者受疫情的不利影响在多个方面表现出来，包括诊疗、随访、照护水平等的下降，也伴随着健康风险、经济负担和心理压力的增加。受新冠变异毒株的影响，国际疫情仍然较为严重，我国疫情防控进入常态化；传统的极大依赖于线下医疗活动的慢病患者诊疗模式已经渐渐暴露其弊端，将慢病预防和控制的关口前移，运用“互联网+”智慧医疗等新技术，将慢病管理与大数据、人工智能、远程医疗等技术优势相结合，同时提供给医护更多高效的管理工具和助手，构建“家庭-社区-医院”三级联合的慢病管理模式，将大幅提升慢病管理效率，将成为后疫情时代慢病管理的主要方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番禺区作为广州人工智能与数字经济试验区的核心区域之一，亟需在我区建立有效的人工智能示范场景；尤其是在广州IAB融合的大背景下，更需要在大数据+慢病管理方面先行先试，起到示范引领作用。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广州中科新知科技有限公司，系国家高新技术企业，广东省人工智能培育入库企业；广州市生物医药创新50强，德勤广州高科技高成长20强暨明日之星。公司建有“广东省心脑血管个体化医疗大数据工程中心”，和南方医科大学南方医院共建“全生命周期数据中心及健康管理中心”。与合作团队在心血管和呼吸类疾病建模、早筛与预警方面具备较好的实施基础。与联合医务（中国）有限公司合作，引入家医服务，由在职的社区医生经过严格的英国皇家全科医师学会认证的GOLD™trainning program培训后上岗，提供全天候线上问诊服务。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团队曾在中科院深圳先进技术研究院的指导下，参与建设“慢病管理大数据中心”，协助光明区20个社康对430余名心血管慢病患者进行智能健康管理，心脑血管事件风险大大降低。也应用远程非接触式生命体征监测设备与健康管理平台，协助北京市曙光街道社区服务中心构建了“医养结合+社区居家养老”的创新模式，提高了社区医护人员的管理效率，提高了慢病患者的依从性。与金银潭医院共同参与中科院战略先导项目——“多维大数据驱动的中国人群精准健康管理”。作为番禺区抗击新冠疫情的优秀企业，我们希望在区政府、卫健局、民政局的领导下，构建“家庭-社区-医院”三级联合的慢病管理模式，为辖区内疫情防控常态化下的</w:t>
      </w:r>
      <w:r>
        <w:rPr>
          <w:rFonts w:hint="eastAsia" w:ascii="FangSong_GB2312" w:hAnsi="宋体" w:eastAsia="FangSong_GB2312" w:cs="Times New Roman"/>
          <w:sz w:val="32"/>
          <w:szCs w:val="32"/>
          <w:lang w:val="en-US" w:eastAsia="zh-CN"/>
        </w:rPr>
        <w:t>社区慢病管理贡献一份力量。</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b/>
          <w:bCs/>
          <w:sz w:val="32"/>
          <w:szCs w:val="32"/>
          <w:lang w:val="en-US" w:eastAsia="zh-CN"/>
        </w:rPr>
      </w:pPr>
    </w:p>
    <w:p>
      <w:pPr>
        <w:spacing w:line="68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办  法：</w:t>
      </w:r>
    </w:p>
    <w:p>
      <w:pPr>
        <w:pStyle w:val="4"/>
        <w:ind w:firstLine="640" w:firstLineChars="200"/>
        <w:rPr>
          <w:rFonts w:hint="default" w:ascii="仿宋" w:hAnsi="仿宋" w:eastAsia="仿宋" w:cs="仿宋"/>
          <w:sz w:val="32"/>
          <w:szCs w:val="32"/>
          <w:lang w:val="en-US" w:eastAsia="zh-CN"/>
        </w:rPr>
      </w:pPr>
      <w:r>
        <w:rPr>
          <w:rFonts w:hint="eastAsia" w:ascii="仿宋_GB2312" w:eastAsia="仿宋_GB2312"/>
          <w:sz w:val="32"/>
          <w:szCs w:val="32"/>
          <w:lang w:val="en-US" w:eastAsia="zh-CN"/>
        </w:rPr>
        <w:t>在番禺区构建“家庭-社区-医院”三级联合的慢病管理模式，意义重大，为此我们建议：</w:t>
      </w:r>
    </w:p>
    <w:p>
      <w:pPr>
        <w:pStyle w:val="4"/>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番禺区的社区内面向中老年慢病患者开展连续生命体征监护和远程健康管理。通过建立多维健康大数据平台，为社区慢病患者建立电子病历；借助便携式、低负荷的医疗级健康检测设备，使慢病患者可在家完成连续性健康监测；借助互联网健康云平台，构建以多维健康大数据为基础的医疗服务决策模型，用于日常健康风险监测、疗效评估和疾病加重风险预警。</w:t>
      </w:r>
    </w:p>
    <w:p>
      <w:pPr>
        <w:pStyle w:val="4"/>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（二）通过平台数据连接患者、社区及医院，实现慢病群体居家健康状态的实时共享、安全监控和长期预警的创新管理模式，最终构建以社区为平台、“家庭-社区-医院”联合的社区慢病管理体系。</w:t>
      </w:r>
    </w:p>
    <w:p>
      <w:pPr>
        <w:pStyle w:val="4"/>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在“家庭-社区-医院”慢病管理模式中，社区居民（慢病高危人群）使用便携式、智能化健康监测设备在家体检，社区卫生服务中心远程监控和筛查患者疾病风险，严重者转诊至上级医院，并在患者病情稳定后转回社区继续进行康复管理，患者在家继续接受诊疗干预和健康监控，建立“家庭-社区-家庭-社区-医院”的慢病诊疗管理路径。</w:t>
      </w:r>
    </w:p>
    <w:p>
      <w:pPr>
        <w:pStyle w:val="4"/>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以社区为平台推进此慢病管理模式，综合了大型综合性医院的诊疗能力，社区卫生服务中心的数量优势，以及家庭监测和干预的便捷性优势，为社区内慢病患者提供连续性管理服务，这样既节约了医疗资源，实现不同级别、不同性质医疗机构间的密切合作，又满足了患者的医疗、护理、生活的需求，保证患者获得连续的医疗照护和健康管理服务。</w:t>
      </w:r>
    </w:p>
    <w:p>
      <w:pPr>
        <w:pStyle w:val="4"/>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的实施构想，首先在番禺区3~5个社区对不少于1000例55~75岁患有心血管、呼吸等慢病的中老年群体开展连续生命体征监护和远程健康管理服务，建立社区慢病管理新模式，在番禺区大力支持下，初期采用企业投一点、政府补一点、居民掏一点的方式；探索可行的管理服务和收费模式，将疾病预防和控制的关口前移，提前预防，避免恶性事件发生，能有效降低居民医疗支出，节约医疗资源，降低卫生总费用，最终形成良好的社会辐射和示范性推广，在全市乃至全省范围内推广应用。</w:t>
      </w:r>
    </w:p>
    <w:p>
      <w:pPr>
        <w:pStyle w:val="4"/>
        <w:rPr>
          <w:rFonts w:hint="eastAsia" w:ascii="仿宋" w:hAnsi="仿宋" w:eastAsia="仿宋" w:cs="仿宋"/>
          <w:sz w:val="28"/>
          <w:szCs w:val="28"/>
          <w:lang w:val="en-US" w:eastAsia="zh-CN"/>
        </w:rPr>
      </w:pPr>
    </w:p>
    <w:sectPr>
      <w:headerReference r:id="rId3" w:type="default"/>
      <w:footerReference r:id="rId4" w:type="default"/>
      <w:pgSz w:w="11906" w:h="16838"/>
      <w:pgMar w:top="1985" w:right="1474"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87"/>
    <w:rsid w:val="000478BE"/>
    <w:rsid w:val="001221CC"/>
    <w:rsid w:val="00193711"/>
    <w:rsid w:val="0030127C"/>
    <w:rsid w:val="00382F87"/>
    <w:rsid w:val="00415B37"/>
    <w:rsid w:val="00636446"/>
    <w:rsid w:val="006E6BEA"/>
    <w:rsid w:val="008842DB"/>
    <w:rsid w:val="008D3484"/>
    <w:rsid w:val="008E05FA"/>
    <w:rsid w:val="009642D6"/>
    <w:rsid w:val="00996D96"/>
    <w:rsid w:val="009E11BB"/>
    <w:rsid w:val="00A47787"/>
    <w:rsid w:val="00A55288"/>
    <w:rsid w:val="00A97CDE"/>
    <w:rsid w:val="00B17035"/>
    <w:rsid w:val="00B36B45"/>
    <w:rsid w:val="00B71717"/>
    <w:rsid w:val="00BB1893"/>
    <w:rsid w:val="00BE252D"/>
    <w:rsid w:val="00C765D2"/>
    <w:rsid w:val="00D55DCC"/>
    <w:rsid w:val="00D85E1C"/>
    <w:rsid w:val="00DF2B25"/>
    <w:rsid w:val="00E314FA"/>
    <w:rsid w:val="00F32B47"/>
    <w:rsid w:val="01DE03D1"/>
    <w:rsid w:val="05277107"/>
    <w:rsid w:val="05A25832"/>
    <w:rsid w:val="05FC6C89"/>
    <w:rsid w:val="06C1750E"/>
    <w:rsid w:val="0B1115ED"/>
    <w:rsid w:val="0BFF26B8"/>
    <w:rsid w:val="0C565E83"/>
    <w:rsid w:val="0CD12C4E"/>
    <w:rsid w:val="10332494"/>
    <w:rsid w:val="10711200"/>
    <w:rsid w:val="121D4E6D"/>
    <w:rsid w:val="13E62D54"/>
    <w:rsid w:val="19863A87"/>
    <w:rsid w:val="24B637EC"/>
    <w:rsid w:val="268C4748"/>
    <w:rsid w:val="28710A9A"/>
    <w:rsid w:val="2C266830"/>
    <w:rsid w:val="2F261140"/>
    <w:rsid w:val="37A915EF"/>
    <w:rsid w:val="43C24B7F"/>
    <w:rsid w:val="45E354CE"/>
    <w:rsid w:val="47367A9C"/>
    <w:rsid w:val="4A5E4517"/>
    <w:rsid w:val="4C0E249E"/>
    <w:rsid w:val="4C8428CB"/>
    <w:rsid w:val="51FC00AA"/>
    <w:rsid w:val="54954BE7"/>
    <w:rsid w:val="54AB1587"/>
    <w:rsid w:val="57C6529D"/>
    <w:rsid w:val="57FD6A7B"/>
    <w:rsid w:val="66C7596A"/>
    <w:rsid w:val="6D0270C0"/>
    <w:rsid w:val="6DE83DBD"/>
    <w:rsid w:val="6EAC5FC0"/>
    <w:rsid w:val="6FFC3555"/>
    <w:rsid w:val="7158268C"/>
    <w:rsid w:val="7E242126"/>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spacing w:before="100" w:beforeLines="0" w:beforeAutospacing="1" w:after="100" w:afterLines="0" w:afterAutospacing="1"/>
      <w:jc w:val="left"/>
      <w:outlineLvl w:val="0"/>
    </w:pPr>
    <w:rPr>
      <w:rFonts w:ascii="宋体" w:hAnsi="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宋体-正文"/>
    <w:basedOn w:val="1"/>
    <w:qFormat/>
    <w:uiPriority w:val="0"/>
  </w:style>
  <w:style w:type="paragraph" w:styleId="4">
    <w:name w:val="Body Text"/>
    <w:basedOn w:val="1"/>
    <w:qFormat/>
    <w:uiPriority w:val="0"/>
    <w:pPr>
      <w:spacing w:after="120"/>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customStyle="1" w:styleId="10">
    <w:name w:val="正文标题"/>
    <w:basedOn w:val="1"/>
    <w:next w:val="1"/>
    <w:qFormat/>
    <w:uiPriority w:val="0"/>
    <w:pPr>
      <w:jc w:val="center"/>
    </w:pPr>
    <w:rPr>
      <w:rFonts w:ascii="Times New Roman" w:hAnsi="Times New Roman" w:eastAsiaTheme="minorEastAsia"/>
      <w:b/>
      <w:sz w:val="36"/>
    </w:rPr>
  </w:style>
  <w:style w:type="character" w:customStyle="1" w:styleId="11">
    <w:name w:val="Header Char"/>
    <w:basedOn w:val="8"/>
    <w:link w:val="6"/>
    <w:qFormat/>
    <w:uiPriority w:val="99"/>
    <w:rPr>
      <w:sz w:val="18"/>
      <w:szCs w:val="18"/>
    </w:rPr>
  </w:style>
  <w:style w:type="character" w:customStyle="1" w:styleId="12">
    <w:name w:val="Footer Char"/>
    <w:basedOn w:val="8"/>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Standard Chartered Bank</Company>
  <Pages>5</Pages>
  <Words>312</Words>
  <Characters>1785</Characters>
  <Lines>14</Lines>
  <Paragraphs>4</Paragraphs>
  <TotalTime>33</TotalTime>
  <ScaleCrop>false</ScaleCrop>
  <LinksUpToDate>false</LinksUpToDate>
  <CharactersWithSpaces>2093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2018-02-08T09:19:00Z</dcterms:created>
  <dc:creator>lenove</dc:creator>
  <cp:lastModifiedBy>user</cp:lastModifiedBy>
  <dcterms:modified xsi:type="dcterms:W3CDTF">2023-11-21T10:33:56Z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KSORubyTemplateID" linkTarget="0">
    <vt:lpwstr>6</vt:lpwstr>
  </property>
  <property fmtid="{D5CDD505-2E9C-101B-9397-08002B2CF9AE}" pid="4" name="ICV">
    <vt:lpwstr>A44AA1CCBED541149C1DE8DD6E7890C7</vt:lpwstr>
  </property>
</Properties>
</file>