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6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4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番禺区政协十五届三次会议提案</w:t>
      </w:r>
    </w:p>
    <w:tbl>
      <w:tblPr>
        <w:tblStyle w:val="10"/>
        <w:tblW w:w="898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745"/>
        <w:gridCol w:w="435"/>
        <w:gridCol w:w="1305"/>
        <w:gridCol w:w="94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题目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关于</w:t>
            </w:r>
            <w:r>
              <w:rPr>
                <w:rFonts w:hint="default" w:ascii="FangSong_GB2312" w:hAnsi="宋体" w:eastAsia="FangSong_GB2312"/>
                <w:sz w:val="32"/>
                <w:szCs w:val="32"/>
              </w:rPr>
              <w:t>培育专精特新企业</w:t>
            </w:r>
            <w:r>
              <w:rPr>
                <w:rFonts w:hint="eastAsia" w:ascii="FangSong_GB2312" w:hAnsi="宋体" w:eastAsia="FangSong_GB2312"/>
                <w:sz w:val="32"/>
                <w:szCs w:val="32"/>
              </w:rPr>
              <w:t>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提案者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番禺民建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联系人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王立辉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工作单位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广东省</w:t>
            </w:r>
            <w:r>
              <w:rPr>
                <w:rFonts w:hint="default" w:ascii="FangSong_GB2312" w:hAnsi="宋体" w:eastAsia="FangSong_GB2312"/>
                <w:sz w:val="32"/>
                <w:szCs w:val="32"/>
              </w:rPr>
              <w:t>科学院半导体研究所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职  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学科带头人/教授级高工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手机号码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办公电话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通讯地址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邮编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联名提案人</w:t>
            </w:r>
          </w:p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（如人数较多，可另附于文后）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蒋伟楷</w:t>
            </w:r>
            <w:r>
              <w:rPr>
                <w:rFonts w:hint="default" w:ascii="FangSong_GB2312" w:hAnsi="宋体" w:eastAsia="FangSong_GB2312"/>
                <w:sz w:val="32"/>
                <w:szCs w:val="32"/>
              </w:rPr>
              <w:t>（番禺）</w:t>
            </w:r>
            <w:r>
              <w:rPr>
                <w:rFonts w:hint="eastAsia" w:ascii="FangSong_GB2312" w:hAnsi="宋体" w:eastAsia="FangSong_GB2312"/>
                <w:sz w:val="32"/>
                <w:szCs w:val="32"/>
              </w:rPr>
              <w:t>，</w:t>
            </w:r>
            <w:r>
              <w:rPr>
                <w:rFonts w:hint="default" w:ascii="FangSong_GB2312" w:hAnsi="宋体" w:eastAsia="FangSong_GB2312"/>
                <w:sz w:val="32"/>
                <w:szCs w:val="32"/>
              </w:rPr>
              <w:t>任玉桐（番禺），刘悦敏（番禺），朱云生（海珠）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提案委员会</w:t>
            </w:r>
          </w:p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  <w:r>
              <w:rPr>
                <w:rFonts w:hint="eastAsia" w:ascii="FangSong_GB2312" w:hAnsi="宋体" w:eastAsia="FangSong_GB2312"/>
                <w:sz w:val="32"/>
                <w:szCs w:val="32"/>
              </w:rPr>
              <w:t>审查意见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FangSong_GB2312" w:hAnsi="宋体" w:eastAsia="FangSong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根据实际情况在</w:t>
      </w:r>
      <w:r>
        <w:rPr>
          <w:rFonts w:hint="eastAsia" w:ascii="黑体" w:hAnsi="黑体" w:eastAsia="黑体"/>
          <w:sz w:val="32"/>
          <w:szCs w:val="32"/>
          <w:lang w:eastAsia="zh-CN"/>
        </w:rPr>
        <w:t>（）</w:t>
      </w:r>
      <w:r>
        <w:rPr>
          <w:rFonts w:hint="eastAsia" w:ascii="黑体" w:hAnsi="黑体" w:eastAsia="黑体"/>
          <w:sz w:val="32"/>
          <w:szCs w:val="32"/>
        </w:rPr>
        <w:t>内打勾确认：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是否同意公开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是（</w:t>
      </w:r>
      <w:r>
        <w:rPr>
          <w:rFonts w:hint="default" w:ascii="Arial" w:hAnsi="Arial" w:cs="Arial"/>
          <w:sz w:val="30"/>
          <w:szCs w:val="30"/>
          <w:lang w:eastAsia="zh-CN"/>
        </w:rPr>
        <w:t>√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否（）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pStyle w:val="5"/>
      </w:pPr>
    </w:p>
    <w:p>
      <w:pPr>
        <w:pStyle w:val="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业基础薄弱是一个由来已久的问题，也同样是一个难以解决的复杂系统性问题。同时，由于国际形式复杂多变，产业链去中国化，逆全球化暗流涌动，尤其是新冠肺炎疫情的突发，加速了全球产业链的分工调整。在这个历史机遇期，地方积极凝练工业强基战略扶持策略，激发中小企业创新活力和发展动能，培育“专精特新”企业，弘扬创新精神和工匠文化，形成新的竞争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国工业制造业经过长足的发展，已经成为制造业大国，并在2019年超过了美国，成为全球制造业第一大国。但正是这种后发优势，使得我国形成“重显轻潜”“重主机轻部件”“重规模轻质量”的传统发展思维。主机、整机的快速发展，并没有带动零部件、材料、工艺的发展，反而使得这些基础工业越来越落后。主机和成套设备、电子整机产品等陷入“空壳化”困境，产业的自主性和控制力较低，既严重威胁着我国的产业安全，又影响着我国经济和国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2010年以来，我国的这些基础薄弱问题骤然涌现，工业成为“跛脚的巨人”，基础能力薄弱使得工业已经无法支撑起新常态下的经济发展，基础强国成为向制造强国转变的重要支撑。彼时，中国制造业企业“三低一弱”（低附加值、低技术含量、低质量、弱品牌）的发展方式难以为继，政策转而支持中小企业转型升级，向“三高一强”（高附加值、高技术含量、高质量、强品牌）的方向发展。“专精特新”的概念也在当时的背景下由工信部提出。“专精特新”是指具有“专业化、精细化、特色化、新颖化”特征的工业中小企业。专：专注细分领域，主业集中度60%以上；精：精益求精打造核心竞争力；特：人无我有，人有我优，人优我特；新：加强基础研究和应用研究，持续不断创新发展。因此，培育“专精特新”企业是建设制造强国的重要任务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一、</w:t>
      </w:r>
      <w:r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相关政策支持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2022年3月3日，广东省人民政府发布《广东省进一步支持中小企业和个体工商户纾困发展的若干政策措施》。根据《政策措施》要求，广东将对“专精特新”中小企业加大财政和强化融资支持。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政策措施》指出要加快推动中小企业“专精特新”发展。积极争取中央财政支持，同时，鼓励各市对“专精特新”中小企业给予资金支持，广东将继续实施并优化调整“小升规”奖励政策，推动小微工业企业上规模发展。通过奖补奖励，财政支持，加快“专精特新”企业发展步伐。在融资支持方面，《政策措施》强调，通过完善融资机制，拓宽融资渠道，力争5年推动300家中小企业挂牌上市融资。加强与银行机构协同合作机制，积极推动银行推出相关融资信贷产品，逐步解决企业融资贵、融资难等问题。值得一提的是，《政策措施》还在培养“专精特新”人才方面提出具体措施，广东通过设置相关人才需求指标助力“专精特新”等中小企业对接急需紧缺高层次人才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在2021年，我区也推出了《番禺区加快推进企业上市工作扶持奖励办法》，其中，明确对创业板、科创板等企业有专门的奖励政策。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二、番禺区专精特新的机遇与挑战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截止目前，广州全市123家国家级专精特新“小巨人”企业中，番禺区共有19家（占市比重15.4%），位居全市第二，其中涉及汽车零部件、高精尖装备、绿色环保、卫星导航、新型材料、人工智能等领域。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下来的工作中，番禺区在前期摸查辅导的基础上，精准发动，迅速组织相关企业按照申报条件标准组织材料，积极做好专精特新“小巨人”培育服务工作是关键。此外，如何通过支持企业创新发展，建设研发平台，完善研发制度，强化企业创新主体地位。引导企业强化关键核心技术研发，设计和生产具有自主知识产权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baseline"/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baseline"/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一、中小企业应当加强知识产权申请和保护，积极促进产学研合作培养科技攻关和勇于创新精神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调查发现，目前“专精特新”中小企业专利申请和保护上存在困难。企业产品和技术更新周期、知识产权申请到授权耗时长。然而，由于科技发展日新月异、迭代速度快，这将会给的知识产权保护设置障碍。出现产品已售出许久，专利仍未授权的现象。此外，对专利的的使用和成果转化率不高，中小企业并不了解专利质押融资等服务，对专利的维权意识也比较薄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中小企业原始科技创新能力不足，企业自主的创新动力不够。由于创新研发的投入与成果转化有一定时间距离，并不能立刻得到所投入研发经费所对称的实际回报，因此企业自主投入研发的意愿不足。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建议如下：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实施知识产权质押融资入园惠企行动，推动金融机构与“专精特新”企业对接，为“专精特新”企业提供知识产权质押融资、贷款服务。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建立“专精特新”企业知识产权快速审查、快速确权、快速维权工作机制，为“专精特新”企业提供有针对性的知识产权公共服务。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组织中小企业和有创新能力的高校、科研院所合作研发，形成科研学会、产业联盟、行业协会等，加强技术交流会和问题分享会等模式。通过企业所面临的行业“痛点”科学问题，通过高校和科研院所进行联合攻关、科研成果共享模式，鼓励科学家到企业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二、</w:t>
      </w:r>
      <w:r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加强专精特新的政策宣传，主动挖掘和培养专精特新“好苗子”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对大部分中小企业对“专精特新”政策不了解的情况，各市区可通过自测方法，充分摸查本市区内中小企业的申报意向和符合性。辅助各市区建立起本区“专精特新”后备企业库，为下一步做好来年度的国省市级“专精特新”企业认定工作打好基础。同时，各企业可以通过平台自测摸查，了解自身的申报符合性、条件达标情况，及时查漏补缺，提前推进自身建设。“专精特新”资格在申报需要企业方有特定的要求，如研发投入比例、科研人员、知识产权等，均需要提前做好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建议如下：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通过政府或服务机构，挖掘有培养潜质的中小企业，鼓励企业参与申报，对有需求的企业提供“上门”解读，协助材料整理和申报，协助“好苗子”成长。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立中小企业“档案库”，年度定期对有申报潜力的中小企业召开宣讲、讨论、自审会。及时发现不能满足申报条件的“资质漏洞”，对申报打好提前量“查缺补漏”。在中小企业中形成模范带头企业，进而带动其他企业成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鼓励企业进行基础技术攻关，加大科技项目中产学研合作项目比例。加强支持急需帮扶的中小企业比例，通过对优质项目、优质”好苗子“企业进行准确背景调研，实现“雪中送炭‘的支持方式。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中小企业应鼓励对科研员工的职称评审，一方面提升企业科研能力，另一方面，满足“专精特新”的资质申报。对获得更高职称的员工应给予奖励。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三、中小企业明确正确的战略定位，正确认识与大企业的关系，建立地域性产业集群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自身正确的战略定位。应在区域性和产品特色上，紧密跟踪新需求和特殊需求，掌握独具特色的技术，在技术、质量、服务特色上下功夫。现代社会的分工越来總细，对实力较弱的中小企业来说，不应把有限的精力分散，而应该集中精力，实施重点突破，做到“人无我有，人有我优，人优我特”，中小企业要善于把自己的特色资源变成特色产品，尤其是市场需求的特色商品。</w:t>
      </w:r>
      <w:bookmarkStart w:id="0" w:name="_Toc4033143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中小企业正确认识与大企业的关系</w:t>
      </w:r>
      <w:bookmarkEnd w:id="0"/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虽然中小企业有“船小好掉头”的优势，但如果缺乏大集团的带动，中小企业的整体水平上不去，便会难以适应日趋激烈的市场竞争的需要，难以开拓国内外市场。特别是在创业初期，中小企业在技术、管理和资本方面都没有足够的积累，缺乏规模优势。建议中小企业借势借力，与大企业合作，走联合发展之路，尽快提高自身实力。中小企业可通过产业链把自身纳入专业化分工体系，依附于大企业的生产系统，成为它们生产体系的组成部分，并在大企业的监督和指导下，为其生产各种零部件和提供某种服务，成为大企业的配套生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1、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建议政府引导，成立产业联盟和产业链联盟，明晰行业未来发展路径。通过顶层设计和中小企业商讨出，适合企业自身的行业定位和发展规划。力争磨练出有特色、有优势的专精特新产品。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2、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通过政府政策和产业联盟中大企业的引导，鼓励中小企业融入到大企业的产业链中，成为大企业的配套生产企业。同时设立监管机制，避免形成恶性竞争和价格博弈。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3、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产业集群方面，除上述文件的“双十”产业集群之外，建议在地域空间上形成集群。集中在一起的厂商比孤立的厂商更有效率，集群中的企业比起零散的企业在许多方面具有优势。通过政府空间地域性进行资源整合，其一、考虑将生产相同大门类产品的中小企业集资于一地，可以形成某地区的区域特色产业，达到规模经济的效果。其二、可采用将生产各种不同产品的企业集聚一地，基于产业集群形成的市场、工业园区，或基于产品及原料的一体化供应，或围统一家核心大企业从事“产业链”模式规模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四、部分地区“专精特新”培育资金支持、政策支撑不足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省经济总量在全国名列前茅，但粤东、西、北与珠三角地区差距过大是近些年比较明显的问题。在“专精特新”调研的过程中，也发现部分地区配套的培育基金支持和政策有待加强。同时，由于地理位置距离珠三角等仍有一定上的距离，因此在产业信息和政策信息方面，具有一定的滞后性和政策落地难问题，为企业的成长带来了不便。借此，番禺区可发挥其自身优势，帮扶一些区域内对口的企业进行政策扶持或吸引落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1、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在信息共享渠道上。以区县为单位定期安排对“专精特新”政策的宣讲，可采取现场或线上等融合方式，对企业辅导进一步强化。在申报书撰写方面，提供协助。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2、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相关设备采购进行一定程度上的财政配套、科研研发和合作研发方面等优惠政策进行加强。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baseline"/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3、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在条件允许的情况下，通过采用产业集群或产业链联盟等方式，扶持经济不发达，但发展势头好的、在不发达地区的“好苗子”中小企业，通过政策引进落户番禺。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DC42F"/>
    <w:multiLevelType w:val="singleLevel"/>
    <w:tmpl w:val="BE4DC4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1704A1"/>
    <w:multiLevelType w:val="singleLevel"/>
    <w:tmpl w:val="DD1704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NzU4ZjBkMmNiODcyYjUwNzgxMTUwZmYwZjBmZTkifQ=="/>
  </w:docVars>
  <w:rsids>
    <w:rsidRoot w:val="00172A27"/>
    <w:rsid w:val="00071C94"/>
    <w:rsid w:val="00164DEC"/>
    <w:rsid w:val="00172A27"/>
    <w:rsid w:val="001B79ED"/>
    <w:rsid w:val="001E4BB4"/>
    <w:rsid w:val="0028522A"/>
    <w:rsid w:val="002A5772"/>
    <w:rsid w:val="0030002A"/>
    <w:rsid w:val="003F6B23"/>
    <w:rsid w:val="0042596A"/>
    <w:rsid w:val="0044348B"/>
    <w:rsid w:val="0060138B"/>
    <w:rsid w:val="00655C19"/>
    <w:rsid w:val="006A253C"/>
    <w:rsid w:val="00703C52"/>
    <w:rsid w:val="0071369A"/>
    <w:rsid w:val="007F312A"/>
    <w:rsid w:val="00815D72"/>
    <w:rsid w:val="008A3DCD"/>
    <w:rsid w:val="00995BBC"/>
    <w:rsid w:val="009A7867"/>
    <w:rsid w:val="00A46F9D"/>
    <w:rsid w:val="00B43089"/>
    <w:rsid w:val="00B76745"/>
    <w:rsid w:val="00C05604"/>
    <w:rsid w:val="00C26089"/>
    <w:rsid w:val="00EF7BFB"/>
    <w:rsid w:val="00F63108"/>
    <w:rsid w:val="00F73720"/>
    <w:rsid w:val="00F801AF"/>
    <w:rsid w:val="00FA37D9"/>
    <w:rsid w:val="01E4322D"/>
    <w:rsid w:val="0C4D72F7"/>
    <w:rsid w:val="107835C4"/>
    <w:rsid w:val="12130DF0"/>
    <w:rsid w:val="14F52D96"/>
    <w:rsid w:val="1A913429"/>
    <w:rsid w:val="201A097E"/>
    <w:rsid w:val="23F83291"/>
    <w:rsid w:val="23FF3642"/>
    <w:rsid w:val="287725E0"/>
    <w:rsid w:val="2BF67C24"/>
    <w:rsid w:val="2FCB1C5D"/>
    <w:rsid w:val="315776CD"/>
    <w:rsid w:val="369312FD"/>
    <w:rsid w:val="383A703A"/>
    <w:rsid w:val="39011B8D"/>
    <w:rsid w:val="3CE602BD"/>
    <w:rsid w:val="3F7F11E6"/>
    <w:rsid w:val="430E180E"/>
    <w:rsid w:val="44EB4B3C"/>
    <w:rsid w:val="47B916EB"/>
    <w:rsid w:val="48335C8C"/>
    <w:rsid w:val="485553D9"/>
    <w:rsid w:val="48FA215D"/>
    <w:rsid w:val="4956080A"/>
    <w:rsid w:val="4B7C465C"/>
    <w:rsid w:val="4B7F2801"/>
    <w:rsid w:val="4C373B2C"/>
    <w:rsid w:val="4E453A7C"/>
    <w:rsid w:val="52770807"/>
    <w:rsid w:val="52F33621"/>
    <w:rsid w:val="5380656C"/>
    <w:rsid w:val="53A66E0C"/>
    <w:rsid w:val="53C155DC"/>
    <w:rsid w:val="589F402A"/>
    <w:rsid w:val="5E0B2B11"/>
    <w:rsid w:val="5FEC2704"/>
    <w:rsid w:val="63E4530A"/>
    <w:rsid w:val="6888787F"/>
    <w:rsid w:val="68EC37BA"/>
    <w:rsid w:val="6B583D29"/>
    <w:rsid w:val="6B9F6BFC"/>
    <w:rsid w:val="6C252BD7"/>
    <w:rsid w:val="6EBE5374"/>
    <w:rsid w:val="6FE369C4"/>
    <w:rsid w:val="72ED0BB9"/>
    <w:rsid w:val="76CF54AC"/>
    <w:rsid w:val="76F9147F"/>
    <w:rsid w:val="7AEB0436"/>
    <w:rsid w:val="7C946212"/>
    <w:rsid w:val="7DB315B4"/>
    <w:rsid w:val="7E373098"/>
    <w:rsid w:val="E0BD7183"/>
    <w:rsid w:val="EFD4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60" w:lineRule="auto"/>
      <w:ind w:firstLine="1040" w:firstLineChars="200"/>
    </w:pPr>
    <w:rPr>
      <w:sz w:val="24"/>
    </w:rPr>
  </w:style>
  <w:style w:type="paragraph" w:styleId="3">
    <w:name w:val="Body Text Indent"/>
    <w:basedOn w:val="1"/>
    <w:qFormat/>
    <w:uiPriority w:val="99"/>
    <w:pPr>
      <w:ind w:firstLine="645"/>
    </w:pPr>
    <w:rPr>
      <w:rFonts w:ascii="FangSong_GB2312" w:eastAsia="FangSong_GB2312"/>
      <w:sz w:val="32"/>
    </w:rPr>
  </w:style>
  <w:style w:type="paragraph" w:styleId="5">
    <w:name w:val="Body Text"/>
    <w:basedOn w:val="1"/>
    <w:link w:val="19"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hAnsi="Courier New"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unhideWhenUsed/>
    <w:qFormat/>
    <w:uiPriority w:val="99"/>
    <w:rPr>
      <w:color w:val="223399"/>
      <w:u w:val="none"/>
    </w:rPr>
  </w:style>
  <w:style w:type="paragraph" w:customStyle="1" w:styleId="13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FangSong_GB2312"/>
      <w:sz w:val="32"/>
      <w:szCs w:val="20"/>
    </w:rPr>
  </w:style>
  <w:style w:type="character" w:customStyle="1" w:styleId="14">
    <w:name w:val="Header Char"/>
    <w:basedOn w:val="11"/>
    <w:link w:val="9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5">
    <w:name w:val="Footer Char"/>
    <w:basedOn w:val="11"/>
    <w:link w:val="8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Balloon Text Char"/>
    <w:basedOn w:val="11"/>
    <w:link w:val="7"/>
    <w:semiHidden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楷体" w:hAnsi="楷体" w:eastAsia="楷体" w:cs="Times New Roman"/>
      <w:color w:val="000000"/>
      <w:sz w:val="24"/>
      <w:lang w:val="en-US" w:eastAsia="zh-CN" w:bidi="ar-SA"/>
    </w:rPr>
  </w:style>
  <w:style w:type="character" w:customStyle="1" w:styleId="19">
    <w:name w:val="Body Text Char"/>
    <w:basedOn w:val="11"/>
    <w:link w:val="5"/>
    <w:qFormat/>
    <w:uiPriority w:val="0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2356</Words>
  <Characters>191</Characters>
  <Lines>1</Lines>
  <Paragraphs>5</Paragraphs>
  <TotalTime>21</TotalTime>
  <ScaleCrop>false</ScaleCrop>
  <LinksUpToDate>false</LinksUpToDate>
  <CharactersWithSpaces>2542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2022-12-11T00:01:00Z</dcterms:created>
  <dc:creator>陈鹏</dc:creator>
  <cp:lastModifiedBy>user</cp:lastModifiedBy>
  <dcterms:modified xsi:type="dcterms:W3CDTF">2023-12-04T02:33:39Z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RubyTemplateID" linkTarget="0">
    <vt:lpwstr>6</vt:lpwstr>
  </property>
  <property fmtid="{D5CDD505-2E9C-101B-9397-08002B2CF9AE}" pid="4" name="ICV">
    <vt:lpwstr>08D4D7AA7CB04D1798D4B258B4C8477E</vt:lpwstr>
  </property>
</Properties>
</file>