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ind w:right="960"/>
        <w:textAlignment w:val="auto"/>
        <w:rPr>
          <w:rFonts w:hint="eastAsia" w:ascii="黑体" w:hAnsi="黑体" w:eastAsia="黑体" w:cs="黑体"/>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adjustRightInd/>
        <w:snapToGrid/>
        <w:spacing w:line="560" w:lineRule="exact"/>
        <w:jc w:val="right"/>
        <w:textAlignment w:val="auto"/>
        <w:rPr>
          <w:rFonts w:hint="eastAsia" w:ascii="宋体" w:hAnsi="宋体"/>
          <w:sz w:val="32"/>
          <w:szCs w:val="32"/>
        </w:rPr>
      </w:pPr>
      <w:r>
        <w:rPr>
          <w:rFonts w:hint="eastAsia" w:ascii="宋体" w:hAnsi="宋体"/>
          <w:sz w:val="32"/>
          <w:szCs w:val="32"/>
        </w:rPr>
        <w:t>第</w:t>
      </w:r>
      <w:r>
        <w:rPr>
          <w:rFonts w:hint="default" w:ascii="宋体" w:hAnsi="宋体"/>
          <w:sz w:val="32"/>
          <w:szCs w:val="32"/>
          <w:u w:val="single"/>
        </w:rPr>
        <w:t xml:space="preserve">   </w:t>
      </w:r>
      <w:r>
        <w:rPr>
          <w:rFonts w:hint="eastAsia" w:ascii="宋体" w:hAnsi="宋体"/>
          <w:sz w:val="32"/>
          <w:szCs w:val="32"/>
          <w:u w:val="single"/>
          <w:lang w:val="en-US" w:eastAsia="zh-CN"/>
        </w:rPr>
        <w:t>7</w:t>
      </w:r>
      <w:r>
        <w:rPr>
          <w:rFonts w:hint="default" w:ascii="宋体" w:hAnsi="宋体"/>
          <w:sz w:val="32"/>
          <w:szCs w:val="32"/>
          <w:u w:val="single"/>
        </w:rPr>
        <w:t xml:space="preserve">   </w:t>
      </w:r>
      <w:r>
        <w:rPr>
          <w:rFonts w:hint="eastAsia" w:ascii="宋体" w:hAnsi="宋体"/>
          <w:sz w:val="32"/>
          <w:szCs w:val="32"/>
        </w:rPr>
        <w:t>号</w:t>
      </w:r>
    </w:p>
    <w:p>
      <w:pPr>
        <w:rPr>
          <w:rFonts w:hint="eastAsia"/>
        </w:rPr>
      </w:pPr>
    </w:p>
    <w:p>
      <w:pPr>
        <w:jc w:val="center"/>
      </w:pPr>
      <w:r>
        <w:rPr>
          <w:rFonts w:hint="eastAsia" w:ascii="小标宋" w:hAnsi="黑体" w:eastAsia="小标宋"/>
          <w:sz w:val="44"/>
          <w:szCs w:val="44"/>
        </w:rPr>
        <w:t>番禺区政协十五届三次会议提案</w:t>
      </w:r>
    </w:p>
    <w:tbl>
      <w:tblPr>
        <w:tblStyle w:val="10"/>
        <w:tblW w:w="898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745"/>
        <w:gridCol w:w="435"/>
        <w:gridCol w:w="1305"/>
        <w:gridCol w:w="94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题目</w:t>
            </w:r>
          </w:p>
        </w:tc>
        <w:tc>
          <w:tcPr>
            <w:tcW w:w="6825" w:type="dxa"/>
            <w:gridSpan w:val="5"/>
            <w:tcBorders>
              <w:top w:val="single" w:color="auto" w:sz="4" w:space="0"/>
              <w:left w:val="single" w:color="auto" w:sz="4" w:space="0"/>
              <w:bottom w:val="single" w:color="auto" w:sz="4" w:space="0"/>
              <w:right w:val="single" w:color="auto" w:sz="4" w:space="0"/>
            </w:tcBorders>
          </w:tcPr>
          <w:p>
            <w:pPr>
              <w:jc w:val="left"/>
              <w:textAlignment w:val="baseline"/>
              <w:rPr>
                <w:rFonts w:hint="eastAsia" w:ascii="FangSong_GB2312" w:hAnsi="宋体" w:eastAsia="FangSong_GB2312"/>
                <w:sz w:val="32"/>
                <w:szCs w:val="32"/>
                <w:lang w:eastAsia="zh-CN"/>
              </w:rPr>
            </w:pPr>
            <w:r>
              <w:rPr>
                <w:rFonts w:hint="eastAsia" w:ascii="FangSong_GB2312" w:hAnsi="宋体" w:eastAsia="FangSong_GB2312"/>
                <w:sz w:val="32"/>
                <w:szCs w:val="32"/>
                <w:lang w:val="en-US" w:eastAsia="zh-CN"/>
              </w:rPr>
              <w:t>关于</w:t>
            </w:r>
            <w:r>
              <w:rPr>
                <w:rFonts w:hint="eastAsia" w:ascii="FangSong_GB2312" w:hAnsi="宋体" w:eastAsia="FangSong_GB2312"/>
                <w:sz w:val="32"/>
                <w:szCs w:val="32"/>
              </w:rPr>
              <w:t>聚焦特色产业补链强链，推动先进制造业高质量发展</w:t>
            </w:r>
            <w:r>
              <w:rPr>
                <w:rFonts w:hint="eastAsia" w:ascii="FangSong_GB2312" w:hAnsi="宋体" w:eastAsia="FangSong_GB2312"/>
                <w:sz w:val="32"/>
                <w:szCs w:val="32"/>
                <w:lang w:eastAsia="zh-CN"/>
              </w:rPr>
              <w:t>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提案者</w:t>
            </w:r>
          </w:p>
        </w:tc>
        <w:tc>
          <w:tcPr>
            <w:tcW w:w="3180" w:type="dxa"/>
            <w:gridSpan w:val="2"/>
            <w:tcBorders>
              <w:top w:val="single" w:color="auto" w:sz="4" w:space="0"/>
              <w:left w:val="single" w:color="auto" w:sz="4" w:space="0"/>
              <w:bottom w:val="single" w:color="auto" w:sz="4" w:space="0"/>
              <w:right w:val="single" w:color="auto" w:sz="4" w:space="0"/>
            </w:tcBorders>
          </w:tcPr>
          <w:p>
            <w:pPr>
              <w:spacing w:line="680" w:lineRule="exact"/>
              <w:rPr>
                <w:rFonts w:hint="eastAsia" w:ascii="FangSong_GB2312" w:hAnsi="宋体" w:eastAsia="FangSong_GB2312"/>
                <w:sz w:val="32"/>
                <w:szCs w:val="32"/>
                <w:lang w:val="en-US" w:eastAsia="zh-CN"/>
              </w:rPr>
            </w:pPr>
            <w:r>
              <w:rPr>
                <w:rFonts w:hint="eastAsia" w:ascii="FangSong_GB2312" w:hAnsi="宋体" w:eastAsia="FangSong_GB2312"/>
                <w:sz w:val="32"/>
                <w:szCs w:val="32"/>
              </w:rPr>
              <w:t>番禺民建</w:t>
            </w:r>
            <w:r>
              <w:rPr>
                <w:rFonts w:hint="eastAsia" w:ascii="FangSong_GB2312" w:hAnsi="宋体" w:eastAsia="FangSong_GB2312"/>
                <w:sz w:val="32"/>
                <w:szCs w:val="32"/>
                <w:lang w:eastAsia="zh-CN"/>
              </w:rPr>
              <w:t>、科技组、洛浦</w:t>
            </w:r>
          </w:p>
        </w:tc>
        <w:tc>
          <w:tcPr>
            <w:tcW w:w="1305" w:type="dxa"/>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r>
              <w:rPr>
                <w:rFonts w:hint="eastAsia" w:ascii="FangSong_GB2312" w:hAnsi="宋体" w:eastAsia="FangSong_GB2312"/>
                <w:sz w:val="32"/>
                <w:szCs w:val="32"/>
              </w:rPr>
              <w:t>联系人</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任玉桐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工作单位</w:t>
            </w:r>
          </w:p>
        </w:tc>
        <w:tc>
          <w:tcPr>
            <w:tcW w:w="318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r>
              <w:rPr>
                <w:rFonts w:hint="eastAsia" w:ascii="FangSong_GB2312" w:hAnsi="宋体" w:eastAsia="FangSong_GB2312"/>
                <w:sz w:val="32"/>
                <w:szCs w:val="32"/>
              </w:rPr>
              <w:t>广东省机器人协会</w:t>
            </w:r>
          </w:p>
        </w:tc>
        <w:tc>
          <w:tcPr>
            <w:tcW w:w="1305" w:type="dxa"/>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职</w:t>
            </w:r>
            <w:r>
              <w:rPr>
                <w:rFonts w:ascii="FangSong_GB2312" w:hAnsi="宋体" w:eastAsia="FangSong_GB2312"/>
                <w:sz w:val="32"/>
                <w:szCs w:val="32"/>
              </w:rPr>
              <w:t xml:space="preserve">  </w:t>
            </w:r>
            <w:r>
              <w:rPr>
                <w:rFonts w:hint="eastAsia" w:ascii="FangSong_GB2312" w:hAnsi="宋体" w:eastAsia="FangSong_GB2312"/>
                <w:sz w:val="32"/>
                <w:szCs w:val="32"/>
              </w:rPr>
              <w:t>务</w:t>
            </w: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执行会长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手机号码</w:t>
            </w:r>
          </w:p>
        </w:tc>
        <w:tc>
          <w:tcPr>
            <w:tcW w:w="2745" w:type="dxa"/>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p>
        </w:tc>
        <w:tc>
          <w:tcPr>
            <w:tcW w:w="174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r>
              <w:rPr>
                <w:rFonts w:hint="eastAsia" w:ascii="FangSong_GB2312" w:hAnsi="宋体" w:eastAsia="FangSong_GB2312"/>
                <w:sz w:val="32"/>
                <w:szCs w:val="32"/>
              </w:rPr>
              <w:t>办公电话</w:t>
            </w:r>
          </w:p>
        </w:tc>
        <w:tc>
          <w:tcPr>
            <w:tcW w:w="2340" w:type="dxa"/>
            <w:gridSpan w:val="2"/>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通讯地址</w:t>
            </w:r>
          </w:p>
        </w:tc>
        <w:tc>
          <w:tcPr>
            <w:tcW w:w="4485" w:type="dxa"/>
            <w:gridSpan w:val="3"/>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0"/>
                <w:szCs w:val="30"/>
              </w:rPr>
            </w:pPr>
          </w:p>
        </w:tc>
        <w:tc>
          <w:tcPr>
            <w:tcW w:w="945" w:type="dxa"/>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r>
              <w:rPr>
                <w:rFonts w:hint="eastAsia" w:ascii="FangSong_GB2312" w:hAnsi="宋体" w:eastAsia="FangSong_GB2312"/>
                <w:sz w:val="32"/>
                <w:szCs w:val="32"/>
              </w:rPr>
              <w:t>邮编</w:t>
            </w:r>
          </w:p>
        </w:tc>
        <w:tc>
          <w:tcPr>
            <w:tcW w:w="1395" w:type="dxa"/>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联名提案人</w:t>
            </w:r>
          </w:p>
          <w:p>
            <w:pPr>
              <w:spacing w:line="680" w:lineRule="exact"/>
              <w:jc w:val="center"/>
              <w:rPr>
                <w:rFonts w:ascii="FangSong_GB2312" w:hAnsi="宋体" w:eastAsia="FangSong_GB2312"/>
                <w:spacing w:val="-14"/>
                <w:sz w:val="32"/>
                <w:szCs w:val="32"/>
              </w:rPr>
            </w:pPr>
            <w:r>
              <w:rPr>
                <w:rFonts w:hint="eastAsia" w:ascii="FangSong_GB2312" w:hAnsi="宋体" w:eastAsia="FangSong_GB2312"/>
                <w:spacing w:val="-14"/>
                <w:sz w:val="32"/>
                <w:szCs w:val="32"/>
              </w:rPr>
              <w:t>（如</w:t>
            </w:r>
            <w:r>
              <w:rPr>
                <w:rFonts w:hint="eastAsia" w:ascii="FangSong_GB2312" w:hAnsi="宋体" w:eastAsia="FangSong_GB2312"/>
                <w:spacing w:val="-14"/>
                <w:sz w:val="28"/>
                <w:szCs w:val="28"/>
              </w:rPr>
              <w:t>人数较多，可另附于文后</w:t>
            </w:r>
            <w:r>
              <w:rPr>
                <w:rFonts w:hint="eastAsia" w:ascii="FangSong_GB2312" w:hAnsi="宋体" w:eastAsia="FangSong_GB2312"/>
                <w:spacing w:val="-14"/>
                <w:sz w:val="32"/>
                <w:szCs w:val="32"/>
              </w:rPr>
              <w:t>）</w:t>
            </w:r>
          </w:p>
        </w:tc>
        <w:tc>
          <w:tcPr>
            <w:tcW w:w="6825" w:type="dxa"/>
            <w:gridSpan w:val="5"/>
            <w:tcBorders>
              <w:top w:val="single" w:color="auto" w:sz="4" w:space="0"/>
              <w:left w:val="single" w:color="auto" w:sz="4" w:space="0"/>
              <w:bottom w:val="single" w:color="auto" w:sz="4" w:space="0"/>
              <w:right w:val="single" w:color="auto" w:sz="4" w:space="0"/>
            </w:tcBorders>
          </w:tcPr>
          <w:p>
            <w:pPr>
              <w:spacing w:line="680" w:lineRule="exact"/>
              <w:jc w:val="left"/>
              <w:rPr>
                <w:rFonts w:ascii="KaiTi_GB2312" w:hAnsi="宋体" w:eastAsia="KaiTi_GB2312"/>
                <w:sz w:val="32"/>
                <w:szCs w:val="32"/>
              </w:rPr>
            </w:pPr>
            <w:r>
              <w:rPr>
                <w:rFonts w:hint="eastAsia" w:ascii="FangSong_GB2312" w:hAnsi="宋体" w:eastAsia="FangSong_GB2312"/>
                <w:sz w:val="32"/>
                <w:szCs w:val="32"/>
              </w:rPr>
              <w:t>蒋伟楷，王立辉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tcBorders>
              <w:top w:val="single" w:color="auto" w:sz="4" w:space="0"/>
              <w:left w:val="single" w:color="auto" w:sz="4" w:space="0"/>
              <w:bottom w:val="single" w:color="auto" w:sz="4" w:space="0"/>
              <w:right w:val="single" w:color="auto" w:sz="4" w:space="0"/>
            </w:tcBorders>
          </w:tcPr>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提案委员会</w:t>
            </w:r>
          </w:p>
          <w:p>
            <w:pPr>
              <w:spacing w:line="680" w:lineRule="exact"/>
              <w:jc w:val="center"/>
              <w:rPr>
                <w:rFonts w:ascii="FangSong_GB2312" w:hAnsi="宋体" w:eastAsia="FangSong_GB2312"/>
                <w:sz w:val="32"/>
                <w:szCs w:val="32"/>
              </w:rPr>
            </w:pPr>
            <w:r>
              <w:rPr>
                <w:rFonts w:hint="eastAsia" w:ascii="FangSong_GB2312" w:hAnsi="宋体" w:eastAsia="FangSong_GB2312"/>
                <w:sz w:val="32"/>
                <w:szCs w:val="32"/>
              </w:rPr>
              <w:t>审查意见</w:t>
            </w:r>
          </w:p>
        </w:tc>
        <w:tc>
          <w:tcPr>
            <w:tcW w:w="6825" w:type="dxa"/>
            <w:gridSpan w:val="5"/>
            <w:tcBorders>
              <w:top w:val="single" w:color="auto" w:sz="4" w:space="0"/>
              <w:left w:val="single" w:color="auto" w:sz="4" w:space="0"/>
              <w:bottom w:val="single" w:color="auto" w:sz="4" w:space="0"/>
              <w:right w:val="single" w:color="auto" w:sz="4" w:space="0"/>
            </w:tcBorders>
          </w:tcPr>
          <w:p>
            <w:pPr>
              <w:spacing w:line="680" w:lineRule="exact"/>
              <w:rPr>
                <w:rFonts w:ascii="FangSong_GB2312" w:hAnsi="宋体" w:eastAsia="FangSong_GB2312"/>
                <w:sz w:val="32"/>
                <w:szCs w:val="32"/>
              </w:rPr>
            </w:pPr>
          </w:p>
        </w:tc>
      </w:tr>
    </w:tbl>
    <w:p>
      <w:pPr>
        <w:keepNext w:val="0"/>
        <w:keepLines w:val="0"/>
        <w:pageBreakBefore w:val="0"/>
        <w:widowControl w:val="0"/>
        <w:kinsoku/>
        <w:wordWrap/>
        <w:overflowPunct/>
        <w:topLinePunct w:val="0"/>
        <w:autoSpaceDE/>
        <w:autoSpaceDN/>
        <w:adjustRightInd/>
        <w:snapToGrid/>
        <w:spacing w:line="560" w:lineRule="exact"/>
        <w:textAlignment w:val="auto"/>
        <w:rPr>
          <w:rFonts w:hint="eastAsia" w:ascii="仿宋" w:hAnsi="仿宋" w:eastAsia="仿宋"/>
          <w:sz w:val="32"/>
          <w:szCs w:val="32"/>
          <w:lang w:val="en-US" w:eastAsia="zh-CN"/>
        </w:rPr>
      </w:pPr>
      <w:r>
        <w:rPr>
          <w:rFonts w:hint="eastAsia" w:ascii="黑体" w:hAnsi="黑体" w:eastAsia="黑体"/>
          <w:sz w:val="32"/>
          <w:szCs w:val="32"/>
        </w:rPr>
        <w:t>根据实际情况在</w:t>
      </w:r>
      <w:r>
        <w:rPr>
          <w:rFonts w:hint="eastAsia" w:ascii="黑体" w:hAnsi="黑体" w:eastAsia="黑体"/>
          <w:sz w:val="32"/>
          <w:szCs w:val="32"/>
          <w:lang w:eastAsia="zh-CN"/>
        </w:rPr>
        <w:t>（）</w:t>
      </w:r>
      <w:r>
        <w:rPr>
          <w:rFonts w:hint="eastAsia" w:ascii="黑体" w:hAnsi="黑体" w:eastAsia="黑体"/>
          <w:sz w:val="32"/>
          <w:szCs w:val="32"/>
        </w:rPr>
        <w:t>内打勾确认：</w:t>
      </w:r>
    </w:p>
    <w:p>
      <w:pPr>
        <w:keepNext w:val="0"/>
        <w:keepLines w:val="0"/>
        <w:pageBreakBefore w:val="0"/>
        <w:widowControl w:val="0"/>
        <w:kinsoku/>
        <w:wordWrap/>
        <w:overflowPunct/>
        <w:topLinePunct w:val="0"/>
        <w:autoSpaceDE/>
        <w:autoSpaceDN/>
        <w:adjustRightInd/>
        <w:snapToGrid/>
        <w:spacing w:line="560" w:lineRule="exact"/>
        <w:textAlignment w:val="auto"/>
        <w:rPr>
          <w:rFonts w:hint="default" w:ascii="宋体" w:hAnsi="宋体"/>
          <w:b/>
          <w:sz w:val="30"/>
          <w:szCs w:val="30"/>
        </w:rPr>
      </w:pPr>
      <w:r>
        <w:rPr>
          <w:rFonts w:hint="eastAsia" w:ascii="宋体" w:hAnsi="宋体"/>
          <w:b/>
          <w:sz w:val="30"/>
          <w:szCs w:val="30"/>
          <w:lang w:eastAsia="zh-CN"/>
        </w:rPr>
        <w:t>是否同意公开</w:t>
      </w:r>
      <w:r>
        <w:rPr>
          <w:rFonts w:hint="eastAsia" w:ascii="宋体" w:hAnsi="宋体"/>
          <w:b/>
          <w:sz w:val="30"/>
          <w:szCs w:val="30"/>
        </w:rPr>
        <w:t>：</w:t>
      </w:r>
    </w:p>
    <w:p>
      <w:pPr>
        <w:spacing w:line="440" w:lineRule="exact"/>
        <w:rPr>
          <w:rFonts w:hint="eastAsia" w:ascii="黑体" w:hAnsi="黑体" w:eastAsia="黑体" w:cs="黑体"/>
          <w:b w:val="0"/>
          <w:bCs/>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0"/>
          <w:szCs w:val="30"/>
          <w:lang w:eastAsia="zh-CN"/>
        </w:rPr>
        <w:t>是（</w:t>
      </w:r>
      <w:r>
        <w:rPr>
          <w:rFonts w:hint="default" w:ascii="Arial" w:hAnsi="Arial" w:cs="Arial"/>
          <w:sz w:val="30"/>
          <w:szCs w:val="30"/>
          <w:lang w:eastAsia="zh-CN"/>
        </w:rPr>
        <w:t>√</w:t>
      </w:r>
      <w:r>
        <w:rPr>
          <w:rFonts w:hint="eastAsia" w:ascii="宋体" w:hAnsi="宋体"/>
          <w:sz w:val="30"/>
          <w:szCs w:val="30"/>
          <w:lang w:eastAsia="zh-CN"/>
        </w:rPr>
        <w:t>）</w:t>
      </w:r>
      <w:r>
        <w:rPr>
          <w:rFonts w:hint="default" w:ascii="宋体" w:hAnsi="宋体"/>
          <w:sz w:val="30"/>
          <w:szCs w:val="30"/>
        </w:rPr>
        <w:t xml:space="preserve">  </w:t>
      </w:r>
      <w:r>
        <w:rPr>
          <w:rFonts w:hint="eastAsia" w:ascii="宋体" w:hAnsi="宋体"/>
          <w:sz w:val="30"/>
          <w:szCs w:val="30"/>
          <w:lang w:eastAsia="zh-CN"/>
        </w:rPr>
        <w:t>否（）</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理由：</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强调:“产业链、供应链在关键时刻不能掉链子，这是大国经济必须具备的重要特征，为保障我国产业安全和国家安全，要着力打造自主可控、安全可靠的产业链、供应链。抓好增强产业链供应链自主可控能力这一重点任务，应从多方面深刻认识其重要性和紧迫性，打好‘组合拳’，并加快建立健全相关机制”。</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业链、供应链安全稳定是构建以国内大循环为主体、国内国际双循环相互促进的新发展格局的基础。《中华人民共和国国民经济和社会发展第十四个五年规划和2035年远景目标纲要》提出，“坚持经济性和安全性相结合，补齐短板、锻造长板，分行业做好供应链战略设计和精准施策，形成具有更强创新力、更高附加值、更安全可靠的产业链供应链”。我国的产业类别是最完整的，配套齐全，并深度融入了世界产业分工体系，这不仅保证了我国经济平稳健康发展，也为世界经济的增长和发展作出了很大的贡献。我们要把提升产业链、供应链的稳定性和竞争力放在突出重要的位置，实施制造业强链、补链行动和产业基础再造工程，加快补短板、锻长板，布局新兴产业链，着力增强产业链、供应链自主可控能力，有效维护我国经济安全，塑造未来发展新优势，在激烈的国际市场竞争中牢牢把握住主动权。</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国民经济和社会发展第十四个五年规划和2035年远景目标纲要》及广东省“双十”产业集群建设方案中明确提出：积极推动产业高端化发展，深度融入全球产业链，提升产业基础高级化、产业链现代化水平，加快先进制造业和现代服务业深度融合发展，推动广东制造向广东智造转型，打造具有国际竞争力的现代产业体系。着力抓好产业链稳链、补链、强链、控链工作，打好产业基础高级化、产业链现代化攻坚战，强化产业转型升级和质量品牌建设，推动重点产业加快迈向全球价值链中高端。</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番禺是广州制造业强区、全国制造业重镇，目前共有31个制造业行业，其制造行业具有门类齐全、基础扎实的优势。</w:t>
      </w:r>
      <w:r>
        <w:rPr>
          <w:rFonts w:hint="eastAsia" w:ascii="仿宋_GB2312" w:hAnsi="仿宋_GB2312" w:eastAsia="仿宋_GB2312" w:cs="仿宋_GB2312"/>
          <w:sz w:val="32"/>
          <w:szCs w:val="32"/>
          <w:lang w:val="en-US" w:eastAsia="zh-CN"/>
        </w:rPr>
        <w:t>按照市委市政府赋予番禺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智造创新城</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的战略定位，充分发挥大学集聚的智核效应，全力打造大湾区高质量增长极。</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器人被誉为“制造业皇冠顶端的明珠”，其研发、制造、应用是衡量一个国家科技创新和高端制造业水平的重要标准。然而，番禺区制造业在产业结构、创新能力、产品质量、标准和品牌以及信息化水平等方面和国际先进制造业的发展水平相比还有非常大的差距,制造业增加值增长速度逐年下降,新冠疫情对传统制造业的影响仍未消除，番禺区先进制造业的补链强链工作已经迫在眉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番禺区先进制造业产业链供应链面临新的主要挑战有：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缺乏自主知识产权的技术和龙头企业。以机器人为例，缺少工业机器人龙头骨干企业，市场份额主要被外资品牌占领，以中小企业为主的自主品牌工业机器人企业盈利能力、抗风险能力弱，没有集群效应。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失核心技术导致产业链供应链被“卡脖子”。先进制造业科技研发能力薄弱，各个领域都存在关键技术不掌握的情况，缺乏关键核心技术的产业基础能力已经不能适应产业链供应链安全稳定的发展要求。如高端机器人核心技术、基础软件和关键零部件被国外先进企业合围，处处受制于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尚未形成完善的先进制造业创新生态。制造业的多数企业集中分布在产业链的生产制造环节，上下游共生发展生态不完善，很多产业还没有形成从设计开发到生产制造再到产品销售的全闭合生态链。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先进制造业产业人才和高技能人才总量不足。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国际发展环境日益复杂多变、不确定性增加，逆全球化成为常态，影响产业链、供应链稳定，影响技术引进、国际交流、技术合作、人才流动等，都给番禺的先进制造业产业链供应链带来新挑战。</w:t>
      </w:r>
    </w:p>
    <w:p>
      <w:pPr>
        <w:pStyle w:val="9"/>
        <w:ind w:firstLine="480"/>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办法：</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点支持具有自主创新能力的企业做大做强，培育一批具有国际影响力、竞争力的先进制造业龙头企业。鼓励番禺内先进制造业龙头企业敢于对标国内外一流企业，加强技术研发、人才引进和重大研发平台建设。加大财政资金的支持力度，争取各级财政资金支持，鼓励金融机构针对自主创新企业特点，加强信贷产品创新及金融服务创新，拓宽企业融资渠道。</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推动先进制造业核心技术攻关。一是加强对“卡脖子”核心技术和产品的研发。充分发挥番禺大学城高校科研力量雄厚的优势，加强自主创新，统筹各方技术优势，开展前沿技术、颠覆性技术的联合攻关，突破先进制造领域的核心技术或关键技术，有效解决“卡脖子”技术问题。二是加强技术的融合创新。先进制造业技术是集机器人、互联网、物联网、云计算、大数据、通讯、5G技术、区块链、集成电路、人工智能等方面的深度融合。三是以产业链为根底，深入产学研合作，加快构建研发设计效劳、知识产权效劳、科技成果检验、中介咨询等科技效劳支撑体系，实现从研发到产业化的有效衔接。</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逐步建立完善产业生态。一是积极推动先进制造业巨头进入或扩大在番禺的投资，完善番禺区先进制造业关键零部件配套供给体系。二是由关键零部件延伸至终端产品，而关键零部件供应能力的建立可以依靠中高端领域的外需支撑，无论是苹果产业链、特斯拉产业链还是汇川技术高端制造相关产业链的发展历程，都是成功的可借鉴的经验，从而拉长产业链条，完善延伸上下游产业链条。</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发挥行业协会的枢纽作用。依托行业协会对市场需求的敏感性、对行业政策熟悉、了解行业趋势的独特优势，加强政企沟通联络、问需解难谋发展等方面的作用，发挥协会组织在推动惠企政策落实、为番禺区经济高质量发展贡献力量。</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积极吸引高精尖科技企业来番禺落地。应依托大学城的独特优势，对孵化中高新科技项目建立政策引导，鼓励在番禺区内落地。设立科技孵化器、成果转化器等机构。对已经成熟的项目，鼓励迁入番禺区内，并进行一定的政策扶持。</w:t>
      </w:r>
    </w:p>
    <w:p>
      <w:pPr>
        <w:pStyle w:val="9"/>
        <w:numPr>
          <w:ilvl w:val="0"/>
          <w:numId w:val="2"/>
        </w:numPr>
        <w:ind w:firstLine="6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多层次、应用型人才教育培训体制，壮大先进制造业发展人才库。一是围绕推进番禺先进制造业的发展需求，重点抓好专业技能人才队伍建设，面向全球精准引进一批先进制造业领域内专业技能高精尖人才及高端创新创业团队；二是加大先进制造业领域人才培养力度，积极搭建校企交流平台，探索实施“校企合作、工学结合”的人才培养模式，实现人才培养与企业需求的良好对接，针对社会和市场需求共同制定人才培养计划，切实为番禺区的先进制造业企业培养输送一批高素质、高技能的应用型人才；三是要完善人才激励制度，优先引进研发、设计、管理等环节的紧缺人才，做好高端人才的子女教育、配偶就业、社保医疗等服务保障工作，为人才长期扎根番禺提供良好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KaiTi_GB2312">
    <w:altName w:val="微软雅黑"/>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1769F"/>
    <w:multiLevelType w:val="singleLevel"/>
    <w:tmpl w:val="CF81769F"/>
    <w:lvl w:ilvl="0" w:tentative="0">
      <w:start w:val="1"/>
      <w:numFmt w:val="chineseCounting"/>
      <w:suff w:val="nothing"/>
      <w:lvlText w:val="（%1）"/>
      <w:lvlJc w:val="left"/>
      <w:rPr>
        <w:rFonts w:hint="eastAsia"/>
      </w:rPr>
    </w:lvl>
  </w:abstractNum>
  <w:abstractNum w:abstractNumId="1">
    <w:nsid w:val="2A6042E5"/>
    <w:multiLevelType w:val="singleLevel"/>
    <w:tmpl w:val="2A6042E5"/>
    <w:lvl w:ilvl="0" w:tentative="0">
      <w:start w:val="1"/>
      <w:numFmt w:val="chineseCounting"/>
      <w:suff w:val="nothing"/>
      <w:lvlText w:val="（%1）"/>
      <w:lvlJc w:val="left"/>
      <w:pPr>
        <w:ind w:left="-1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zU4ZjBkMmNiODcyYjUwNzgxMTUwZmYwZjBmZTkifQ=="/>
  </w:docVars>
  <w:rsids>
    <w:rsidRoot w:val="00172A27"/>
    <w:rsid w:val="00071C94"/>
    <w:rsid w:val="00164DEC"/>
    <w:rsid w:val="00172A27"/>
    <w:rsid w:val="001B79ED"/>
    <w:rsid w:val="001E4BB4"/>
    <w:rsid w:val="002300E0"/>
    <w:rsid w:val="0028522A"/>
    <w:rsid w:val="002A5772"/>
    <w:rsid w:val="002E3EAD"/>
    <w:rsid w:val="0030002A"/>
    <w:rsid w:val="003F6B23"/>
    <w:rsid w:val="00425043"/>
    <w:rsid w:val="0042596A"/>
    <w:rsid w:val="0044348B"/>
    <w:rsid w:val="005145E3"/>
    <w:rsid w:val="0060138B"/>
    <w:rsid w:val="00655C19"/>
    <w:rsid w:val="006A253C"/>
    <w:rsid w:val="00703C52"/>
    <w:rsid w:val="0071369A"/>
    <w:rsid w:val="007F312A"/>
    <w:rsid w:val="00815D72"/>
    <w:rsid w:val="009264AE"/>
    <w:rsid w:val="009A7867"/>
    <w:rsid w:val="00B43089"/>
    <w:rsid w:val="00B76745"/>
    <w:rsid w:val="00C26089"/>
    <w:rsid w:val="00D8176F"/>
    <w:rsid w:val="00EF7BFB"/>
    <w:rsid w:val="00F73720"/>
    <w:rsid w:val="00F801AF"/>
    <w:rsid w:val="00FA37D9"/>
    <w:rsid w:val="0C4D72F7"/>
    <w:rsid w:val="107835C4"/>
    <w:rsid w:val="12130DF0"/>
    <w:rsid w:val="14F52D96"/>
    <w:rsid w:val="201A097E"/>
    <w:rsid w:val="222D19BE"/>
    <w:rsid w:val="23F83291"/>
    <w:rsid w:val="27D56CBA"/>
    <w:rsid w:val="287725E0"/>
    <w:rsid w:val="2BF67C24"/>
    <w:rsid w:val="33A04745"/>
    <w:rsid w:val="35964CA3"/>
    <w:rsid w:val="39011B8D"/>
    <w:rsid w:val="3CE602BD"/>
    <w:rsid w:val="3DC21110"/>
    <w:rsid w:val="430E180E"/>
    <w:rsid w:val="462D27BE"/>
    <w:rsid w:val="48335C8C"/>
    <w:rsid w:val="485553D9"/>
    <w:rsid w:val="4956080A"/>
    <w:rsid w:val="4B7C465C"/>
    <w:rsid w:val="4C373B2C"/>
    <w:rsid w:val="4E453A7C"/>
    <w:rsid w:val="4F932768"/>
    <w:rsid w:val="53A66E0C"/>
    <w:rsid w:val="53C155DC"/>
    <w:rsid w:val="589F402A"/>
    <w:rsid w:val="5E0B2B11"/>
    <w:rsid w:val="60B51224"/>
    <w:rsid w:val="63E4530A"/>
    <w:rsid w:val="6888787F"/>
    <w:rsid w:val="68EC37BA"/>
    <w:rsid w:val="6B583D29"/>
    <w:rsid w:val="6B9F6BFC"/>
    <w:rsid w:val="6C252BD7"/>
    <w:rsid w:val="6EBE5374"/>
    <w:rsid w:val="6FE369C4"/>
    <w:rsid w:val="72ED0BB9"/>
    <w:rsid w:val="76F9147F"/>
    <w:rsid w:val="777539E7"/>
    <w:rsid w:val="7AEB0436"/>
    <w:rsid w:val="7C94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spacing w:after="0" w:line="360" w:lineRule="auto"/>
      <w:ind w:left="0" w:leftChars="0" w:firstLine="1040" w:firstLineChars="200"/>
    </w:pPr>
    <w:rPr>
      <w:sz w:val="24"/>
    </w:rPr>
  </w:style>
  <w:style w:type="paragraph" w:styleId="3">
    <w:name w:val="Body Text Indent"/>
    <w:basedOn w:val="1"/>
    <w:qFormat/>
    <w:uiPriority w:val="99"/>
    <w:pPr>
      <w:ind w:firstLine="645"/>
    </w:pPr>
    <w:rPr>
      <w:rFonts w:ascii="FangSong_GB2312" w:eastAsia="FangSong_GB2312"/>
      <w:sz w:val="32"/>
    </w:rPr>
  </w:style>
  <w:style w:type="paragraph" w:styleId="4">
    <w:name w:val="Body Text"/>
    <w:basedOn w:val="1"/>
    <w:link w:val="17"/>
    <w:qFormat/>
    <w:uiPriority w:val="0"/>
    <w:pPr>
      <w:spacing w:after="120"/>
    </w:pPr>
  </w:style>
  <w:style w:type="paragraph" w:styleId="5">
    <w:name w:val="Plain Text"/>
    <w:basedOn w:val="1"/>
    <w:qFormat/>
    <w:uiPriority w:val="0"/>
    <w:rPr>
      <w:rFonts w:hAnsi="Courier New"/>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3"/>
    <w:qFormat/>
    <w:uiPriority w:val="99"/>
    <w:pPr>
      <w:spacing w:line="360" w:lineRule="auto"/>
      <w:ind w:firstLine="1040" w:firstLineChars="200"/>
    </w:pPr>
    <w:rPr>
      <w:sz w:val="24"/>
    </w:rPr>
  </w:style>
  <w:style w:type="character" w:customStyle="1" w:styleId="12">
    <w:name w:val="Header Char"/>
    <w:basedOn w:val="11"/>
    <w:link w:val="8"/>
    <w:qFormat/>
    <w:uiPriority w:val="99"/>
    <w:rPr>
      <w:rFonts w:ascii="Calibri" w:hAnsi="Calibri" w:cs="宋体"/>
      <w:kern w:val="2"/>
      <w:sz w:val="18"/>
      <w:szCs w:val="18"/>
    </w:rPr>
  </w:style>
  <w:style w:type="character" w:customStyle="1" w:styleId="13">
    <w:name w:val="Footer Char"/>
    <w:basedOn w:val="11"/>
    <w:link w:val="7"/>
    <w:qFormat/>
    <w:uiPriority w:val="99"/>
    <w:rPr>
      <w:rFonts w:ascii="Calibri" w:hAnsi="Calibri" w:cs="宋体"/>
      <w:kern w:val="2"/>
      <w:sz w:val="18"/>
      <w:szCs w:val="18"/>
    </w:rPr>
  </w:style>
  <w:style w:type="paragraph" w:styleId="14">
    <w:name w:val="List Paragraph"/>
    <w:basedOn w:val="1"/>
    <w:qFormat/>
    <w:uiPriority w:val="34"/>
    <w:pPr>
      <w:ind w:firstLine="420" w:firstLineChars="200"/>
    </w:pPr>
  </w:style>
  <w:style w:type="character" w:customStyle="1" w:styleId="15">
    <w:name w:val="Balloon Text Char"/>
    <w:basedOn w:val="11"/>
    <w:link w:val="6"/>
    <w:semiHidden/>
    <w:qFormat/>
    <w:uiPriority w:val="99"/>
    <w:rPr>
      <w:rFonts w:ascii="Calibri" w:hAnsi="Calibri" w:cs="宋体"/>
      <w:kern w:val="2"/>
      <w:sz w:val="18"/>
      <w:szCs w:val="18"/>
    </w:rPr>
  </w:style>
  <w:style w:type="paragraph" w:customStyle="1" w:styleId="16">
    <w:name w:val="Default"/>
    <w:unhideWhenUsed/>
    <w:qFormat/>
    <w:uiPriority w:val="99"/>
    <w:pPr>
      <w:widowControl w:val="0"/>
      <w:autoSpaceDE w:val="0"/>
      <w:autoSpaceDN w:val="0"/>
      <w:adjustRightInd w:val="0"/>
    </w:pPr>
    <w:rPr>
      <w:rFonts w:ascii="楷体" w:hAnsi="楷体" w:eastAsia="楷体" w:cs="Times New Roman"/>
      <w:color w:val="000000"/>
      <w:sz w:val="24"/>
      <w:lang w:val="en-US" w:eastAsia="zh-CN" w:bidi="ar-SA"/>
    </w:rPr>
  </w:style>
  <w:style w:type="character" w:customStyle="1" w:styleId="17">
    <w:name w:val="Body Text Char"/>
    <w:basedOn w:val="11"/>
    <w:link w:val="4"/>
    <w:qFormat/>
    <w:uiPriority w:val="0"/>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7F146-EB78-CC41-92B7-9854D865E50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2781</Words>
  <Characters>81</Characters>
  <Lines>1</Lines>
  <Paragraphs>5</Paragraphs>
  <TotalTime>1</TotalTime>
  <ScaleCrop>false</ScaleCrop>
  <LinksUpToDate>false</LinksUpToDate>
  <CharactersWithSpaces>2857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2022-12-10T08:01:00Z</dcterms:created>
  <dc:creator>陈鹏</dc:creator>
  <cp:lastModifiedBy>user</cp:lastModifiedBy>
  <dcterms:modified xsi:type="dcterms:W3CDTF">2023-12-04T02:34:06Z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KSORubyTemplateID" linkTarget="0">
    <vt:lpwstr>6</vt:lpwstr>
  </property>
  <property fmtid="{D5CDD505-2E9C-101B-9397-08002B2CF9AE}" pid="4" name="ICV">
    <vt:lpwstr>689712E9DCF8488A8B987A8A55C379BA</vt:lpwstr>
  </property>
</Properties>
</file>