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三</w:t>
      </w:r>
      <w:r>
        <w:rPr>
          <w:rFonts w:hint="eastAsia" w:ascii="方正小标宋_GBK" w:hAnsi="方正小标宋_GBK" w:eastAsia="方正小标宋_GBK" w:cs="方正小标宋_GBK"/>
          <w:sz w:val="44"/>
          <w:szCs w:val="44"/>
        </w:rPr>
        <w:t>次会议提案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470"/>
        <w:gridCol w:w="1224"/>
        <w:gridCol w:w="85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目</w:t>
            </w:r>
          </w:p>
        </w:tc>
        <w:tc>
          <w:tcPr>
            <w:tcW w:w="714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关于推动番禺区沙头街珠宝首饰产业高质量发展的建议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案</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者</w:t>
            </w:r>
          </w:p>
        </w:tc>
        <w:tc>
          <w:tcPr>
            <w:tcW w:w="3163"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政协沙头街道工作室</w:t>
            </w:r>
          </w:p>
        </w:tc>
        <w:tc>
          <w:tcPr>
            <w:tcW w:w="1224"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联系人</w:t>
            </w:r>
          </w:p>
        </w:tc>
        <w:tc>
          <w:tcPr>
            <w:tcW w:w="2760"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刘健璋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3163"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沙头街道办事处</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党建专职副书记、</w:t>
            </w:r>
          </w:p>
          <w:p>
            <w:pPr>
              <w:spacing w:line="6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政协工作室主任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hint="default" w:ascii="仿宋_GB2312" w:hAnsi="宋体" w:eastAsia="仿宋_GB2312"/>
                <w:sz w:val="32"/>
                <w:szCs w:val="32"/>
                <w:lang w:val="en-US" w:eastAsia="zh-CN"/>
              </w:rPr>
            </w:pPr>
          </w:p>
        </w:tc>
        <w:tc>
          <w:tcPr>
            <w:tcW w:w="1694"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760" w:type="dxa"/>
            <w:gridSpan w:val="2"/>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387" w:type="dxa"/>
            <w:gridSpan w:val="3"/>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r>
              <w:rPr>
                <w:rFonts w:hint="eastAsia" w:ascii="仿宋_GB2312" w:hAnsi="宋体" w:eastAsia="仿宋_GB2312"/>
                <w:sz w:val="32"/>
                <w:szCs w:val="32"/>
              </w:rPr>
              <w:t>邮编</w:t>
            </w:r>
          </w:p>
        </w:tc>
        <w:tc>
          <w:tcPr>
            <w:tcW w:w="1902" w:type="dxa"/>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hint="default" w:ascii="仿宋_GB2312" w:hAnsi="宋体" w:eastAsia="仿宋_GB2312"/>
                <w:sz w:val="32"/>
                <w:szCs w:val="3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68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7147"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7147" w:type="dxa"/>
            <w:gridSpan w:val="5"/>
            <w:tcBorders>
              <w:top w:val="single" w:color="auto" w:sz="4" w:space="0"/>
              <w:left w:val="single" w:color="auto" w:sz="4" w:space="0"/>
              <w:bottom w:val="single" w:color="auto" w:sz="4" w:space="0"/>
              <w:right w:val="single" w:color="auto" w:sz="4" w:space="0"/>
            </w:tcBorders>
            <w:noWrap w:val="0"/>
            <w:vAlign w:val="top"/>
          </w:tcPr>
          <w:p>
            <w:pPr>
              <w:spacing w:line="680" w:lineRule="exact"/>
              <w:rPr>
                <w:rFonts w:ascii="仿宋_GB2312" w:hAnsi="宋体" w:eastAsia="仿宋_GB2312"/>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黑体" w:hAnsi="黑体" w:eastAsia="黑体"/>
          <w:b/>
          <w:sz w:val="32"/>
          <w:szCs w:val="32"/>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p>
    <w:p>
      <w:pPr>
        <w:pStyle w:val="9"/>
        <w:numPr>
          <w:ilvl w:val="0"/>
          <w:numId w:val="0"/>
        </w:numPr>
        <w:ind w:leftChars="0"/>
        <w:rPr>
          <w:rFonts w:hint="eastAsia" w:ascii="黑体" w:hAnsi="黑体" w:eastAsia="黑体"/>
          <w:b/>
          <w:sz w:val="32"/>
          <w:szCs w:val="32"/>
        </w:rPr>
        <w:sectPr>
          <w:headerReference r:id="rId3" w:type="default"/>
          <w:footerReference r:id="rId4" w:type="default"/>
          <w:pgSz w:w="11906" w:h="16838"/>
          <w:pgMar w:top="2098" w:right="1474" w:bottom="1984" w:left="147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b w:val="0"/>
          <w:bCs/>
          <w:sz w:val="32"/>
          <w:szCs w:val="32"/>
        </w:rPr>
      </w:pPr>
      <w:r>
        <w:rPr>
          <w:rFonts w:hint="eastAsia" w:ascii="黑体" w:hAnsi="黑体" w:eastAsia="黑体"/>
          <w:b w:val="0"/>
          <w:bCs/>
          <w:sz w:val="32"/>
          <w:szCs w:val="32"/>
        </w:rPr>
        <w:t>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珠宝首饰</w:t>
      </w:r>
      <w:r>
        <w:rPr>
          <w:rFonts w:hint="eastAsia" w:ascii="仿宋_GB2312" w:hAnsi="仿宋_GB2312" w:eastAsia="仿宋_GB2312" w:cs="仿宋_GB2312"/>
          <w:b w:val="0"/>
          <w:bCs/>
          <w:sz w:val="32"/>
          <w:szCs w:val="32"/>
        </w:rPr>
        <w:t>行业是</w:t>
      </w:r>
      <w:r>
        <w:rPr>
          <w:rFonts w:hint="eastAsia" w:ascii="仿宋_GB2312" w:hAnsi="仿宋_GB2312" w:eastAsia="仿宋_GB2312" w:cs="仿宋_GB2312"/>
          <w:b w:val="0"/>
          <w:bCs/>
          <w:sz w:val="32"/>
          <w:szCs w:val="32"/>
          <w:lang w:val="en-US" w:eastAsia="zh-CN"/>
        </w:rPr>
        <w:t>沙头</w:t>
      </w:r>
      <w:r>
        <w:rPr>
          <w:rFonts w:hint="eastAsia" w:ascii="仿宋_GB2312" w:hAnsi="仿宋_GB2312" w:eastAsia="仿宋_GB2312" w:cs="仿宋_GB2312"/>
          <w:b w:val="0"/>
          <w:bCs/>
          <w:sz w:val="32"/>
          <w:szCs w:val="32"/>
        </w:rPr>
        <w:t>传统优势产业，是</w:t>
      </w:r>
      <w:r>
        <w:rPr>
          <w:rFonts w:hint="eastAsia" w:ascii="仿宋_GB2312" w:hAnsi="仿宋_GB2312" w:eastAsia="仿宋_GB2312" w:cs="仿宋_GB2312"/>
          <w:b w:val="0"/>
          <w:bCs/>
          <w:sz w:val="32"/>
          <w:szCs w:val="32"/>
          <w:lang w:val="en-US" w:eastAsia="zh-CN"/>
        </w:rPr>
        <w:t>番禺</w:t>
      </w:r>
      <w:r>
        <w:rPr>
          <w:rFonts w:hint="eastAsia" w:ascii="仿宋_GB2312" w:hAnsi="仿宋_GB2312" w:eastAsia="仿宋_GB2312" w:cs="仿宋_GB2312"/>
          <w:b w:val="0"/>
          <w:bCs/>
          <w:sz w:val="32"/>
          <w:szCs w:val="32"/>
        </w:rPr>
        <w:t>区的特色名片产业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我区一直是国内的珠宝首饰方面的先行者与践行者，“番禺珠宝”享誉世界同行，我们理应珍惜、努力同时向国内发扬光大，引导地方企业加强品牌意识与区域影响力。</w:t>
      </w:r>
      <w:r>
        <w:rPr>
          <w:rFonts w:hint="eastAsia" w:ascii="仿宋_GB2312" w:hAnsi="仿宋_GB2312" w:eastAsia="仿宋_GB2312" w:cs="仿宋_GB2312"/>
          <w:b w:val="0"/>
          <w:bCs/>
          <w:sz w:val="32"/>
          <w:szCs w:val="32"/>
          <w:lang w:val="en-US" w:eastAsia="zh-CN"/>
        </w:rPr>
        <w:t>位于沙头街的</w:t>
      </w:r>
      <w:r>
        <w:rPr>
          <w:rFonts w:hint="eastAsia" w:ascii="仿宋_GB2312" w:hAnsi="仿宋_GB2312" w:eastAsia="仿宋_GB2312" w:cs="仿宋_GB2312"/>
          <w:b w:val="0"/>
          <w:bCs/>
          <w:sz w:val="32"/>
          <w:szCs w:val="32"/>
          <w:lang w:eastAsia="zh-CN"/>
        </w:rPr>
        <w:t>大罗塘珠宝</w:t>
      </w:r>
      <w:r>
        <w:rPr>
          <w:rFonts w:hint="eastAsia" w:ascii="仿宋_GB2312" w:hAnsi="仿宋_GB2312" w:eastAsia="仿宋_GB2312" w:cs="仿宋_GB2312"/>
          <w:b w:val="0"/>
          <w:bCs/>
          <w:sz w:val="32"/>
          <w:szCs w:val="32"/>
          <w:lang w:val="en-US" w:eastAsia="zh-CN"/>
        </w:rPr>
        <w:t>名</w:t>
      </w:r>
      <w:r>
        <w:rPr>
          <w:rFonts w:hint="eastAsia" w:ascii="仿宋_GB2312" w:hAnsi="仿宋_GB2312" w:eastAsia="仿宋_GB2312" w:cs="仿宋_GB2312"/>
          <w:b w:val="0"/>
          <w:bCs/>
          <w:sz w:val="32"/>
          <w:szCs w:val="32"/>
          <w:lang w:eastAsia="zh-CN"/>
        </w:rPr>
        <w:t>镇从20世纪80年代末开始，以改革开放和香港产业转移为背景，大罗塘这座仅有1.75平方公里的土地上依靠毗邻港澳台优越的地理位置和适宜的产业环境，吸引了大量香港珠宝商到沙头投资办厂，从最初的“来料加工”为主的“前店后厂”模式，逐步发展成为以外向型经济为主导的优势产业。</w:t>
      </w:r>
      <w:r>
        <w:rPr>
          <w:rFonts w:hint="eastAsia" w:ascii="仿宋_GB2312" w:hAnsi="仿宋_GB2312" w:eastAsia="仿宋_GB2312" w:cs="仿宋_GB2312"/>
          <w:b w:val="0"/>
          <w:bCs/>
          <w:sz w:val="32"/>
          <w:szCs w:val="32"/>
        </w:rPr>
        <w:t>据统计，</w:t>
      </w:r>
      <w:r>
        <w:rPr>
          <w:rFonts w:hint="eastAsia" w:ascii="仿宋_GB2312" w:hAnsi="仿宋_GB2312" w:eastAsia="仿宋_GB2312" w:cs="仿宋_GB2312"/>
          <w:b w:val="0"/>
          <w:bCs/>
          <w:sz w:val="32"/>
          <w:szCs w:val="32"/>
          <w:lang w:val="en-US" w:eastAsia="zh-CN"/>
        </w:rPr>
        <w:t>沙头街</w:t>
      </w:r>
      <w:r>
        <w:rPr>
          <w:rFonts w:hint="eastAsia" w:ascii="仿宋_GB2312" w:hAnsi="仿宋_GB2312" w:eastAsia="仿宋_GB2312" w:cs="仿宋_GB2312"/>
          <w:b w:val="0"/>
          <w:bCs/>
          <w:sz w:val="32"/>
          <w:szCs w:val="32"/>
        </w:rPr>
        <w:t>共有2600</w:t>
      </w:r>
      <w:r>
        <w:rPr>
          <w:rFonts w:hint="eastAsia" w:ascii="仿宋_GB2312" w:hAnsi="仿宋_GB2312" w:eastAsia="仿宋_GB2312" w:cs="仿宋_GB2312"/>
          <w:b w:val="0"/>
          <w:bCs/>
          <w:sz w:val="32"/>
          <w:szCs w:val="32"/>
          <w:lang w:val="en-US" w:eastAsia="zh-CN"/>
        </w:rPr>
        <w:t>多</w:t>
      </w:r>
      <w:r>
        <w:rPr>
          <w:rFonts w:hint="eastAsia" w:ascii="仿宋_GB2312" w:hAnsi="仿宋_GB2312" w:eastAsia="仿宋_GB2312" w:cs="仿宋_GB2312"/>
          <w:b w:val="0"/>
          <w:bCs/>
          <w:sz w:val="32"/>
          <w:szCs w:val="32"/>
        </w:rPr>
        <w:t>家珠宝首饰注册主体，散发式的分布在街道各个村落或工业园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产业未能形成产业集群效应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加之</w:t>
      </w:r>
      <w:r>
        <w:rPr>
          <w:rFonts w:hint="eastAsia" w:ascii="仿宋_GB2312" w:hAnsi="仿宋_GB2312" w:eastAsia="仿宋_GB2312" w:cs="仿宋_GB2312"/>
          <w:b w:val="0"/>
          <w:bCs/>
          <w:sz w:val="32"/>
          <w:szCs w:val="32"/>
        </w:rPr>
        <w:t>受新冠疫情</w:t>
      </w:r>
      <w:r>
        <w:rPr>
          <w:rFonts w:hint="eastAsia" w:ascii="仿宋_GB2312" w:hAnsi="仿宋_GB2312" w:eastAsia="仿宋_GB2312" w:cs="仿宋_GB2312"/>
          <w:b w:val="0"/>
          <w:bCs/>
          <w:sz w:val="32"/>
          <w:szCs w:val="32"/>
          <w:lang w:val="en-US" w:eastAsia="zh-CN"/>
        </w:rPr>
        <w:t>影响</w:t>
      </w:r>
      <w:r>
        <w:rPr>
          <w:rFonts w:hint="eastAsia" w:ascii="仿宋_GB2312" w:hAnsi="仿宋_GB2312" w:eastAsia="仿宋_GB2312" w:cs="仿宋_GB2312"/>
          <w:b w:val="0"/>
          <w:bCs/>
          <w:sz w:val="32"/>
          <w:szCs w:val="32"/>
        </w:rPr>
        <w:t>，整个产业百废待兴，亟需营养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通过基层调研，我们发现了如下的问题与挑战。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sz w:val="32"/>
          <w:szCs w:val="32"/>
        </w:rPr>
        <w:t>过去的产业规划包括村级工业园打造、生活配套服务、公共基础建设、商业市场功能等已经落伍，在战略端未能响应当前党中央倡导的高质量发展、内外双循环、供给侧结构性调整、创行驱动等重要战略，同时未能匹配新市场经济关于柔性供应链的需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未能吸引优质企业或人才</w:t>
      </w:r>
      <w:r>
        <w:rPr>
          <w:rFonts w:hint="eastAsia" w:ascii="仿宋_GB2312" w:hAnsi="仿宋_GB2312" w:eastAsia="仿宋_GB2312" w:cs="仿宋_GB2312"/>
          <w:b w:val="0"/>
          <w:bCs/>
          <w:sz w:val="32"/>
          <w:szCs w:val="32"/>
          <w:lang w:val="en-US" w:eastAsia="zh-CN"/>
        </w:rPr>
        <w:t>入驻沙头街。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rPr>
        <w:t>当前沙头街珠宝加工</w:t>
      </w:r>
      <w:r>
        <w:rPr>
          <w:rFonts w:hint="eastAsia" w:ascii="仿宋_GB2312" w:hAnsi="仿宋_GB2312" w:eastAsia="仿宋_GB2312" w:cs="仿宋_GB2312"/>
          <w:b w:val="0"/>
          <w:bCs/>
          <w:sz w:val="32"/>
          <w:szCs w:val="32"/>
          <w:lang w:val="en-US" w:eastAsia="zh-CN"/>
        </w:rPr>
        <w:t>厂分布松散，</w:t>
      </w:r>
      <w:r>
        <w:rPr>
          <w:rFonts w:hint="eastAsia" w:ascii="仿宋_GB2312" w:hAnsi="仿宋_GB2312" w:eastAsia="仿宋_GB2312" w:cs="仿宋_GB2312"/>
          <w:b w:val="0"/>
          <w:bCs/>
          <w:sz w:val="32"/>
          <w:szCs w:val="32"/>
        </w:rPr>
        <w:t>自主创新能力弱，大而不强，散而不精，</w:t>
      </w:r>
      <w:r>
        <w:rPr>
          <w:rFonts w:hint="eastAsia" w:ascii="仿宋_GB2312" w:hAnsi="仿宋_GB2312" w:eastAsia="仿宋_GB2312" w:cs="仿宋_GB2312"/>
          <w:b w:val="0"/>
          <w:bCs/>
          <w:sz w:val="32"/>
          <w:szCs w:val="32"/>
          <w:lang w:val="en-US" w:eastAsia="zh-CN"/>
        </w:rPr>
        <w:t>未能系统性统筹规划，实现互补共赢</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且对</w:t>
      </w:r>
      <w:r>
        <w:rPr>
          <w:rFonts w:hint="eastAsia" w:ascii="仿宋_GB2312" w:hAnsi="仿宋_GB2312" w:eastAsia="仿宋_GB2312" w:cs="仿宋_GB2312"/>
          <w:b w:val="0"/>
          <w:bCs/>
          <w:sz w:val="32"/>
          <w:szCs w:val="32"/>
        </w:rPr>
        <w:t>地方经济贡献微弱</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产业升级</w:t>
      </w:r>
      <w:r>
        <w:rPr>
          <w:rFonts w:hint="eastAsia" w:ascii="仿宋_GB2312" w:hAnsi="仿宋_GB2312" w:eastAsia="仿宋_GB2312" w:cs="仿宋_GB2312"/>
          <w:b w:val="0"/>
          <w:bCs/>
          <w:sz w:val="32"/>
          <w:szCs w:val="32"/>
          <w:lang w:val="en-US" w:eastAsia="zh-CN"/>
        </w:rPr>
        <w:t>任重道远</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rPr>
        <w:t>周边城市近期政策对番禺珠宝集群极具挑战，如《佛山市南海区桂城街道促进玉器珠宝产业转型升级扶持办法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试行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》（附件1）的正式发布，深圳“罗湖十条”的重磅推出，</w:t>
      </w:r>
      <w:r>
        <w:rPr>
          <w:rFonts w:hint="eastAsia" w:ascii="仿宋_GB2312" w:hAnsi="仿宋_GB2312" w:eastAsia="仿宋_GB2312" w:cs="仿宋_GB2312"/>
          <w:b w:val="0"/>
          <w:bCs/>
          <w:sz w:val="32"/>
          <w:szCs w:val="32"/>
          <w:lang w:eastAsia="zh-CN"/>
        </w:rPr>
        <w:t>《顺德区促进黄金珠宝首饰产业发展扶持办法的通知》</w:t>
      </w:r>
      <w:r>
        <w:rPr>
          <w:rFonts w:hint="eastAsia" w:ascii="仿宋_GB2312" w:hAnsi="仿宋_GB2312" w:eastAsia="仿宋_GB2312" w:cs="仿宋_GB2312"/>
          <w:b w:val="0"/>
          <w:bCs/>
          <w:sz w:val="32"/>
          <w:szCs w:val="32"/>
        </w:rPr>
        <w:t>（附件2）等，</w:t>
      </w:r>
      <w:r>
        <w:rPr>
          <w:rFonts w:hint="eastAsia" w:ascii="仿宋_GB2312" w:hAnsi="仿宋_GB2312" w:eastAsia="仿宋_GB2312" w:cs="仿宋_GB2312"/>
          <w:b w:val="0"/>
          <w:bCs/>
          <w:sz w:val="32"/>
          <w:szCs w:val="32"/>
          <w:lang w:val="en-US" w:eastAsia="zh-CN"/>
        </w:rPr>
        <w:t>目标都志在做大做强珠宝玉石产业，“番禺珠宝”面临被周边超越的危机。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 w:val="0"/>
          <w:bCs/>
          <w:sz w:val="32"/>
          <w:szCs w:val="32"/>
        </w:rPr>
        <w:t>缺乏信息交流聚集地或标志性建筑，</w:t>
      </w:r>
      <w:r>
        <w:rPr>
          <w:rFonts w:hint="eastAsia" w:ascii="仿宋_GB2312" w:hAnsi="仿宋_GB2312" w:eastAsia="仿宋_GB2312" w:cs="仿宋_GB2312"/>
          <w:b w:val="0"/>
          <w:bCs/>
          <w:sz w:val="32"/>
          <w:szCs w:val="32"/>
          <w:lang w:val="en-US" w:eastAsia="zh-CN"/>
        </w:rPr>
        <w:t>知名度和</w:t>
      </w:r>
      <w:r>
        <w:rPr>
          <w:rFonts w:hint="eastAsia" w:ascii="仿宋_GB2312" w:hAnsi="仿宋_GB2312" w:eastAsia="仿宋_GB2312" w:cs="仿宋_GB2312"/>
          <w:b w:val="0"/>
          <w:bCs/>
          <w:sz w:val="32"/>
          <w:szCs w:val="32"/>
        </w:rPr>
        <w:t>产业形象</w:t>
      </w:r>
      <w:r>
        <w:rPr>
          <w:rFonts w:hint="eastAsia" w:ascii="仿宋_GB2312" w:hAnsi="仿宋_GB2312" w:eastAsia="仿宋_GB2312" w:cs="仿宋_GB2312"/>
          <w:b w:val="0"/>
          <w:bCs/>
          <w:sz w:val="32"/>
          <w:szCs w:val="32"/>
          <w:lang w:val="en-US" w:eastAsia="zh-CN"/>
        </w:rPr>
        <w:t>亟待提升</w:t>
      </w:r>
      <w:r>
        <w:rPr>
          <w:rFonts w:hint="eastAsia" w:ascii="仿宋_GB2312" w:hAnsi="仿宋_GB2312" w:eastAsia="仿宋_GB2312" w:cs="仿宋_GB2312"/>
          <w:b w:val="0"/>
          <w:bCs/>
          <w:sz w:val="32"/>
          <w:szCs w:val="32"/>
        </w:rPr>
        <w:t>，采购商</w:t>
      </w:r>
      <w:r>
        <w:rPr>
          <w:rFonts w:hint="eastAsia" w:ascii="仿宋_GB2312" w:hAnsi="仿宋_GB2312" w:eastAsia="仿宋_GB2312" w:cs="仿宋_GB2312"/>
          <w:b w:val="0"/>
          <w:bCs/>
          <w:sz w:val="32"/>
          <w:szCs w:val="32"/>
          <w:lang w:val="en-US" w:eastAsia="zh-CN"/>
        </w:rPr>
        <w:t>未能</w:t>
      </w:r>
      <w:r>
        <w:rPr>
          <w:rFonts w:hint="eastAsia" w:ascii="仿宋_GB2312" w:hAnsi="仿宋_GB2312" w:eastAsia="仿宋_GB2312" w:cs="仿宋_GB2312"/>
          <w:b w:val="0"/>
          <w:bCs/>
          <w:sz w:val="32"/>
          <w:szCs w:val="32"/>
        </w:rPr>
        <w:t>高效、透明对接需求</w:t>
      </w:r>
      <w:r>
        <w:rPr>
          <w:rFonts w:hint="eastAsia" w:ascii="仿宋_GB2312" w:hAnsi="仿宋_GB2312" w:eastAsia="仿宋_GB2312" w:cs="仿宋_GB2312"/>
          <w:b w:val="0"/>
          <w:bCs/>
          <w:sz w:val="32"/>
          <w:szCs w:val="32"/>
          <w:lang w:val="en-US" w:eastAsia="zh-CN"/>
        </w:rPr>
        <w:t>和</w:t>
      </w:r>
      <w:r>
        <w:rPr>
          <w:rFonts w:hint="eastAsia" w:ascii="仿宋_GB2312" w:hAnsi="仿宋_GB2312" w:eastAsia="仿宋_GB2312" w:cs="仿宋_GB2312"/>
          <w:b w:val="0"/>
          <w:bCs/>
          <w:sz w:val="32"/>
          <w:szCs w:val="32"/>
        </w:rPr>
        <w:t>采购产品。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b w:val="0"/>
          <w:bCs/>
          <w:sz w:val="32"/>
          <w:szCs w:val="32"/>
        </w:rPr>
      </w:pPr>
      <w:r>
        <w:rPr>
          <w:rFonts w:hint="eastAsia" w:ascii="黑体" w:hAnsi="黑体" w:eastAsia="黑体"/>
          <w:b w:val="0"/>
          <w:bCs/>
          <w:sz w:val="32"/>
          <w:szCs w:val="32"/>
        </w:rPr>
        <w:t>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仿宋_GB2312" w:cs="楷体"/>
          <w:b w:val="0"/>
          <w:bCs/>
          <w:sz w:val="32"/>
          <w:szCs w:val="32"/>
          <w:lang w:val="en-US" w:eastAsia="zh-CN"/>
        </w:rPr>
      </w:pPr>
      <w:r>
        <w:rPr>
          <w:rFonts w:hint="eastAsia" w:ascii="楷体" w:hAnsi="楷体" w:eastAsia="楷体" w:cs="楷体"/>
          <w:b w:val="0"/>
          <w:bCs/>
          <w:sz w:val="32"/>
          <w:szCs w:val="32"/>
          <w:lang w:val="en-US" w:eastAsia="zh-CN"/>
        </w:rPr>
        <w:t>建议一：研究制定相关扶持政策。</w:t>
      </w:r>
      <w:r>
        <w:rPr>
          <w:rFonts w:hint="eastAsia" w:ascii="仿宋_GB2312" w:hAnsi="仿宋_GB2312" w:eastAsia="仿宋_GB2312" w:cs="仿宋_GB2312"/>
          <w:b w:val="0"/>
          <w:bCs/>
          <w:sz w:val="32"/>
          <w:szCs w:val="32"/>
          <w:lang w:val="en-US" w:eastAsia="zh-CN"/>
        </w:rPr>
        <w:t>建议区委区政府参照</w:t>
      </w:r>
      <w:r>
        <w:rPr>
          <w:rFonts w:hint="eastAsia" w:ascii="仿宋_GB2312" w:hAnsi="仿宋_GB2312" w:eastAsia="仿宋_GB2312" w:cs="仿宋_GB2312"/>
          <w:b w:val="0"/>
          <w:bCs/>
          <w:sz w:val="32"/>
          <w:szCs w:val="32"/>
        </w:rPr>
        <w:t>佛山市南海区桂城街道促进玉器珠宝产业转型升级扶持办法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试行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》（附件1）的正式发布，深圳“罗湖十条”的重磅推出，</w:t>
      </w:r>
      <w:r>
        <w:rPr>
          <w:rFonts w:hint="eastAsia" w:ascii="仿宋_GB2312" w:hAnsi="仿宋_GB2312" w:eastAsia="仿宋_GB2312" w:cs="仿宋_GB2312"/>
          <w:b w:val="0"/>
          <w:bCs/>
          <w:sz w:val="32"/>
          <w:szCs w:val="32"/>
          <w:lang w:eastAsia="zh-CN"/>
        </w:rPr>
        <w:t>《顺德区促进黄金珠宝首饰产业发展扶持办法的通知》</w:t>
      </w:r>
      <w:r>
        <w:rPr>
          <w:rFonts w:hint="eastAsia" w:ascii="仿宋_GB2312" w:hAnsi="仿宋_GB2312" w:eastAsia="仿宋_GB2312" w:cs="仿宋_GB2312"/>
          <w:b w:val="0"/>
          <w:bCs/>
          <w:sz w:val="32"/>
          <w:szCs w:val="32"/>
        </w:rPr>
        <w:t>（附件2）等</w:t>
      </w:r>
      <w:r>
        <w:rPr>
          <w:rFonts w:hint="eastAsia" w:ascii="仿宋_GB2312" w:hAnsi="仿宋_GB2312" w:eastAsia="仿宋_GB2312" w:cs="仿宋_GB2312"/>
          <w:b w:val="0"/>
          <w:bCs/>
          <w:sz w:val="32"/>
          <w:szCs w:val="32"/>
          <w:lang w:val="en-US" w:eastAsia="zh-CN"/>
        </w:rPr>
        <w:t>政策，研究制定鼓励企业经济贡献奖励、做大做强技术装备升级、电子商务新业态、加强市场拓展与产业推广、鼓励创新研发与知识产权保护等扶持政策。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楷体_GB2312" w:hAnsi="楷体_GB2312" w:eastAsia="楷体_GB2312" w:cs="楷体_GB2312"/>
          <w:b w:val="0"/>
          <w:bCs/>
          <w:sz w:val="32"/>
          <w:szCs w:val="32"/>
          <w:lang w:val="en-US" w:eastAsia="zh-CN"/>
        </w:rPr>
        <w:t>建议二：打造番禺区沙头街国际珠宝首饰产业集群。</w:t>
      </w:r>
      <w:r>
        <w:rPr>
          <w:rFonts w:hint="eastAsia" w:ascii="仿宋_GB2312" w:hAnsi="仿宋_GB2312" w:eastAsia="仿宋_GB2312" w:cs="仿宋_GB2312"/>
          <w:b w:val="0"/>
          <w:bCs/>
          <w:sz w:val="32"/>
          <w:szCs w:val="32"/>
          <w:lang w:val="en-US" w:eastAsia="zh-CN"/>
        </w:rPr>
        <w:t>利用村级工业园改造契机，统筹利用好现有工业园区，成立工艺创新中心，逐步建成基础工厂、原创设计、工艺创新、销售平台、包装策划、物流仓储、产业金融等，完善基础生态，利用先进工艺驱动生产效率，实现产业高质量发展。</w:t>
      </w:r>
    </w:p>
    <w:sectPr>
      <w:footerReference r:id="rId5" w:type="default"/>
      <w:pgSz w:w="11906" w:h="16838"/>
      <w:pgMar w:top="2098" w:right="1474" w:bottom="1984"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C27E3"/>
    <w:rsid w:val="0B2922F2"/>
    <w:rsid w:val="0FD7304A"/>
    <w:rsid w:val="1C7D7B03"/>
    <w:rsid w:val="20A304D1"/>
    <w:rsid w:val="253E69D8"/>
    <w:rsid w:val="266B2A86"/>
    <w:rsid w:val="283716A5"/>
    <w:rsid w:val="32C4633F"/>
    <w:rsid w:val="3B0F6D58"/>
    <w:rsid w:val="3F6C27E3"/>
    <w:rsid w:val="46E554E4"/>
    <w:rsid w:val="48271768"/>
    <w:rsid w:val="482E0170"/>
    <w:rsid w:val="52282E8D"/>
    <w:rsid w:val="57953347"/>
    <w:rsid w:val="6A547FD5"/>
    <w:rsid w:val="6C3534B3"/>
    <w:rsid w:val="6DE6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sz w:val="32"/>
      <w:szCs w:val="20"/>
    </w:rPr>
  </w:style>
  <w:style w:type="paragraph" w:styleId="3">
    <w:name w:val="toc 5"/>
    <w:basedOn w:val="1"/>
    <w:next w:val="1"/>
    <w:qFormat/>
    <w:uiPriority w:val="0"/>
    <w:pPr>
      <w:ind w:left="168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沙头街</Company>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2023-01-05T01:21:00Z</dcterms:created>
  <dc:creator>媚媚</dc:creator>
  <cp:lastModifiedBy>user</cp:lastModifiedBy>
  <cp:lastPrinted>2023-01-05T02:57:00Z</cp:lastPrinted>
  <dcterms:modified xsi:type="dcterms:W3CDTF">2023-12-04T02:35:56Z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FDEEA2249D29449C93958DA8663CB013</vt:lpwstr>
  </property>
</Properties>
</file>