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560" w:lineRule="exact"/>
        <w:ind w:right="960"/>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eastAsia" w:ascii="宋体" w:hAnsi="宋体"/>
          <w:sz w:val="32"/>
          <w:szCs w:val="32"/>
        </w:rPr>
      </w:pPr>
      <w:r>
        <w:rPr>
          <w:rFonts w:hint="eastAsia" w:ascii="宋体" w:hAnsi="宋体"/>
          <w:sz w:val="32"/>
          <w:szCs w:val="32"/>
        </w:rPr>
        <w:t>第</w:t>
      </w:r>
      <w:r>
        <w:rPr>
          <w:rFonts w:hint="default" w:ascii="宋体" w:hAnsi="宋体"/>
          <w:sz w:val="32"/>
          <w:szCs w:val="32"/>
          <w:u w:val="single"/>
        </w:rPr>
        <w:t xml:space="preserve">   </w:t>
      </w:r>
      <w:r>
        <w:rPr>
          <w:rFonts w:hint="eastAsia" w:ascii="宋体" w:hAnsi="宋体"/>
          <w:sz w:val="32"/>
          <w:szCs w:val="32"/>
          <w:u w:val="single"/>
          <w:lang w:val="en-US" w:eastAsia="zh-CN"/>
        </w:rPr>
        <w:t>44</w:t>
      </w:r>
      <w:r>
        <w:rPr>
          <w:rFonts w:hint="default" w:ascii="宋体" w:hAnsi="宋体"/>
          <w:sz w:val="32"/>
          <w:szCs w:val="32"/>
          <w:u w:val="single"/>
        </w:rPr>
        <w:t xml:space="preserve">   </w:t>
      </w:r>
      <w:r>
        <w:rPr>
          <w:rFonts w:hint="eastAsia" w:ascii="宋体" w:hAnsi="宋体"/>
          <w:sz w:val="32"/>
          <w:szCs w:val="32"/>
        </w:rPr>
        <w:t>号</w:t>
      </w: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宋体" w:hAnsi="宋体"/>
          <w:b/>
          <w:sz w:val="32"/>
          <w:szCs w:val="32"/>
        </w:rPr>
      </w:pPr>
      <w:r>
        <w:rPr>
          <w:rFonts w:hint="eastAsia" w:ascii="方正小标宋_GBK" w:hAnsi="方正小标宋_GBK" w:eastAsia="方正小标宋_GBK" w:cs="方正小标宋_GBK"/>
          <w:sz w:val="44"/>
          <w:szCs w:val="44"/>
        </w:rPr>
        <w:t>番禺区政协十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次会议提案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552"/>
        <w:gridCol w:w="1559"/>
        <w:gridCol w:w="99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题目</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关于进一步助力番禺文旅体产业复苏</w:t>
            </w: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促进我区全域旅游高质量发展的建议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提案者</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林育梅</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联系人</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林育梅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工作单位</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广州市番禺区番发集团有限公司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职    务</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党委副书记、董事、副总经理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手机号码</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bookmarkStart w:id="0" w:name="_GoBack"/>
            <w:bookmarkEnd w:id="0"/>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办公电话</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通讯地址</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邮编</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联名提案人</w:t>
            </w: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如 人数 较多，可另附于文后 ）</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提案委员会</w:t>
            </w: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审查意见</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仿宋_GB2312" w:hAnsi="宋体" w:eastAsia="仿宋_GB2312" w:cs="Times New Roman"/>
                <w:sz w:val="32"/>
                <w:szCs w:val="32"/>
                <w:lang w:val="en-US" w:eastAsia="zh-CN"/>
              </w:rPr>
            </w:pPr>
          </w:p>
        </w:tc>
      </w:tr>
    </w:tbl>
    <w:p>
      <w:pPr>
        <w:keepNext w:val="0"/>
        <w:keepLines w:val="0"/>
        <w:pageBreakBefore w:val="0"/>
        <w:widowControl w:val="0"/>
        <w:kinsoku/>
        <w:wordWrap/>
        <w:overflowPunct/>
        <w:topLinePunct w:val="0"/>
        <w:autoSpaceDE/>
        <w:autoSpaceDN/>
        <w:adjustRightInd/>
        <w:snapToGrid/>
        <w:spacing w:line="560" w:lineRule="exact"/>
        <w:textAlignment w:val="auto"/>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宋体" w:hAnsi="宋体"/>
          <w:sz w:val="30"/>
          <w:szCs w:val="30"/>
          <w:lang w:eastAsia="zh-CN"/>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hint="default" w:ascii="宋体" w:hAnsi="宋体"/>
          <w:sz w:val="30"/>
          <w:szCs w:val="30"/>
        </w:rPr>
        <w:t xml:space="preserve">  </w:t>
      </w:r>
      <w:r>
        <w:rPr>
          <w:rFonts w:hint="eastAsia" w:ascii="宋体" w:hAnsi="宋体"/>
          <w:sz w:val="30"/>
          <w:szCs w:val="30"/>
          <w:lang w:eastAsia="zh-CN"/>
        </w:rPr>
        <w:t>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keepNext w:val="0"/>
        <w:keepLines w:val="0"/>
        <w:widowControl/>
        <w:suppressLineNumbers w:val="0"/>
        <w:jc w:val="left"/>
      </w:pPr>
    </w:p>
    <w:p>
      <w:pPr>
        <w:pStyle w:val="2"/>
      </w:pPr>
    </w:p>
    <w:p>
      <w:pPr>
        <w:pStyle w:val="2"/>
      </w:pPr>
    </w:p>
    <w:p>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b w:val="0"/>
          <w:bCs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理由：</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番禺区是广州市唯一的首批国家全域旅游示范</w:t>
      </w:r>
      <w:r>
        <w:rPr>
          <w:rFonts w:hint="eastAsia" w:ascii="仿宋_GB2312" w:hAnsi="仿宋_GB2312" w:eastAsia="仿宋_GB2312" w:cs="仿宋_GB2312"/>
          <w:color w:val="auto"/>
          <w:kern w:val="2"/>
          <w:sz w:val="32"/>
          <w:szCs w:val="32"/>
          <w:highlight w:val="none"/>
          <w:lang w:val="en-US" w:eastAsia="zh-CN"/>
        </w:rPr>
        <w:t>区，经过多年发展，番禺旅游呈现出景区景点量多质优、旅游片区集聚发展、产业体系不断完善的良好态势，</w:t>
      </w:r>
      <w:r>
        <w:rPr>
          <w:rFonts w:hint="eastAsia" w:ascii="仿宋_GB2312" w:hAnsi="仿宋_GB2312" w:eastAsia="仿宋_GB2312" w:cs="仿宋_GB2312"/>
          <w:sz w:val="32"/>
          <w:szCs w:val="32"/>
          <w:lang w:val="en-US" w:eastAsia="zh-CN"/>
        </w:rPr>
        <w:t xml:space="preserve">但是新冠疫情爆发以来，文旅体产业受到了巨大的冲击，旅游收入整体大幅度下降。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rPr>
        <w:t>2020年番禺</w:t>
      </w:r>
      <w:r>
        <w:rPr>
          <w:rFonts w:hint="eastAsia" w:ascii="仿宋_GB2312" w:hAnsi="仿宋_GB2312" w:eastAsia="仿宋_GB2312" w:cs="仿宋_GB2312"/>
          <w:sz w:val="32"/>
          <w:szCs w:val="32"/>
          <w:highlight w:val="none"/>
        </w:rPr>
        <w:t>区接待游客</w:t>
      </w:r>
      <w:r>
        <w:rPr>
          <w:rFonts w:hint="eastAsia" w:ascii="仿宋_GB2312" w:hAnsi="仿宋_GB2312" w:eastAsia="仿宋_GB2312" w:cs="仿宋_GB2312"/>
          <w:color w:val="auto"/>
          <w:kern w:val="2"/>
          <w:sz w:val="32"/>
          <w:szCs w:val="32"/>
          <w:highlight w:val="none"/>
          <w:lang w:val="en-US" w:eastAsia="zh-CN"/>
        </w:rPr>
        <w:t>3043.21万人次，旅游总收入318.27亿元，分别为2019年同期的60.4%和55.1%；2021年番禺区接待游客3542.49万人次，旅游总收入340.63亿元</w:t>
      </w:r>
      <w:r>
        <w:rPr>
          <w:rFonts w:hint="eastAsia" w:ascii="仿宋_GB2312" w:hAnsi="仿宋_GB2312" w:eastAsia="仿宋_GB2312" w:cs="仿宋_GB2312"/>
          <w:color w:val="auto"/>
          <w:kern w:val="2"/>
          <w:sz w:val="32"/>
          <w:szCs w:val="32"/>
          <w:lang w:val="en-US" w:eastAsia="zh-CN" w:bidi="ar-SA"/>
        </w:rPr>
        <w:t>，分别为2019年同期的70.3%和58.9%；2022年上半年，番禺区接待游客1120.84万人次，旅游总收入77.55亿元，分别为2019年同期的51.71%和33.72%。</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如何因地制宜，精准施策，化危机为机遇，尽早带动我区文旅体业全面复苏，充分发挥文旅体消费作为“头部消费”的巨大价值，带动服务业及第一、二产业尽快步入发展正轨，促进我区全域旅游高质量发展，还存在一些问题，具体问题包括：</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一、助力文旅体行业复苏的政策扶持引导力度不够。</w:t>
      </w:r>
      <w:r>
        <w:rPr>
          <w:rFonts w:hint="eastAsia" w:ascii="仿宋_GB2312" w:hAnsi="仿宋_GB2312" w:eastAsia="仿宋_GB2312" w:cs="仿宋_GB2312"/>
          <w:color w:val="auto"/>
          <w:kern w:val="2"/>
          <w:sz w:val="32"/>
          <w:szCs w:val="32"/>
          <w:lang w:val="en-US" w:eastAsia="zh-CN" w:bidi="ar-SA"/>
        </w:rPr>
        <w:t>受疫情影响，由于游客流动性减弱，景区客源大幅减少，导致文旅场所收入大幅下降。但是目前番禺区尚未出台专门针对促进番禺文旅体行业恢复发展的具体措施与办法，大部分文旅体企业还处于自寻办法突围的状态，也缺乏对文旅体产业经营者的鼓励政策。</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二、文旅体融合发展力度不够。</w:t>
      </w:r>
      <w:r>
        <w:rPr>
          <w:rFonts w:hint="eastAsia" w:ascii="仿宋_GB2312" w:hAnsi="仿宋_GB2312" w:eastAsia="仿宋_GB2312" w:cs="仿宋_GB2312"/>
          <w:color w:val="auto"/>
          <w:kern w:val="2"/>
          <w:sz w:val="32"/>
          <w:szCs w:val="32"/>
          <w:lang w:val="en-US" w:eastAsia="zh-CN" w:bidi="ar-SA"/>
        </w:rPr>
        <w:t>近几年，番禺区成功引进的具有国际性影响力的大型国际品牌赛事和特色节会较少，也没有形成成熟的精品旅游线路、配套的文旅体消费活动以及形成具有影响力和竞争力的文旅体产业链。</w:t>
      </w:r>
    </w:p>
    <w:p>
      <w:pPr>
        <w:keepNext w:val="0"/>
        <w:keepLines w:val="0"/>
        <w:pageBreakBefore w:val="0"/>
        <w:numPr>
          <w:ilvl w:val="0"/>
          <w:numId w:val="0"/>
        </w:numPr>
        <w:kinsoku/>
        <w:wordWrap/>
        <w:overflowPunct/>
        <w:topLinePunct w:val="0"/>
        <w:autoSpaceDE/>
        <w:autoSpaceDN/>
        <w:bidi w:val="0"/>
        <w:spacing w:line="560" w:lineRule="exact"/>
        <w:ind w:firstLine="64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三、文旅体跨地区联动合作力度不够。</w:t>
      </w:r>
      <w:r>
        <w:rPr>
          <w:rFonts w:hint="eastAsia" w:ascii="仿宋_GB2312" w:hAnsi="仿宋_GB2312" w:eastAsia="仿宋_GB2312" w:cs="仿宋_GB2312"/>
          <w:color w:val="auto"/>
          <w:kern w:val="2"/>
          <w:sz w:val="32"/>
          <w:szCs w:val="32"/>
          <w:lang w:val="en-US" w:eastAsia="zh-CN" w:bidi="ar-SA"/>
        </w:rPr>
        <w:t>目前番禺区与其他地区文旅体跨区联动合作仍处于分散化状态，缺少跨地区的联动宣传以及推广。去年在广州市文化广电旅游局、广州市港务局、番禺区人民政府共同指导下，在多方协同努力下，跨区的旅游项目百里珠江·水上画廊--珠江日游“莲花山之旅”项目，也仅仅开通了一个多月就因为疫情、成本等多重影响，从2021年6月停航至今，项目停滞。</w:t>
      </w:r>
    </w:p>
    <w:p>
      <w:pPr>
        <w:keepNext w:val="0"/>
        <w:keepLines w:val="0"/>
        <w:pageBreakBefore w:val="0"/>
        <w:numPr>
          <w:ilvl w:val="0"/>
          <w:numId w:val="0"/>
        </w:numPr>
        <w:kinsoku/>
        <w:wordWrap/>
        <w:overflowPunct/>
        <w:topLinePunct w:val="0"/>
        <w:autoSpaceDE/>
        <w:autoSpaceDN/>
        <w:bidi w:val="0"/>
        <w:spacing w:line="560" w:lineRule="exact"/>
        <w:jc w:val="both"/>
        <w:textAlignment w:val="auto"/>
        <w:rPr>
          <w:rFonts w:hint="eastAsia" w:ascii="仿宋_GB2312" w:hAnsi="仿宋_GB2312" w:eastAsia="仿宋_GB2312" w:cs="仿宋_GB2312"/>
          <w:b/>
          <w:bCs/>
          <w:color w:val="auto"/>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spacing w:line="560" w:lineRule="exact"/>
        <w:jc w:val="both"/>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办法：</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一、出台并宣贯相关扶持政策。</w:t>
      </w:r>
      <w:r>
        <w:rPr>
          <w:rFonts w:hint="eastAsia" w:ascii="仿宋_GB2312" w:hAnsi="仿宋_GB2312" w:eastAsia="仿宋_GB2312" w:cs="仿宋_GB2312"/>
          <w:color w:val="auto"/>
          <w:kern w:val="2"/>
          <w:sz w:val="32"/>
          <w:szCs w:val="32"/>
          <w:lang w:val="en-US" w:eastAsia="zh-CN" w:bidi="ar-SA"/>
        </w:rPr>
        <w:t>建议相关单位到文旅体行业进行专题调研走访，充分掌握和了解辖内文旅体行业现状、困难和诉求后,结合实际存在的难点和堵点，面向文旅体行业、村镇等制定可行性高、落地性强的促进番禺文旅体行业恢复发展的具体措施办法、相关指引以及鼓励政策。其次，加大力度研究税务、金融、保险等方面普惠性的政策，协调有关部门建立健全推动相关政策有效落实的保障机制，面向文旅体市场主体做好宣传解读工作，并为其对接有关部门、申请政策帮扶提供必要帮助。</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auto"/>
          <w:kern w:val="2"/>
          <w:sz w:val="32"/>
          <w:szCs w:val="32"/>
          <w:lang w:val="en-US" w:eastAsia="zh-CN" w:bidi="ar-SA"/>
        </w:rPr>
        <w:t>二、深度融合发展文旅体产业，形成三位一体新消费链。</w:t>
      </w:r>
      <w:r>
        <w:rPr>
          <w:rFonts w:hint="eastAsia" w:ascii="仿宋_GB2312" w:hAnsi="仿宋_GB2312" w:eastAsia="仿宋_GB2312" w:cs="仿宋_GB2312"/>
          <w:b w:val="0"/>
          <w:bCs w:val="0"/>
          <w:color w:val="auto"/>
          <w:kern w:val="2"/>
          <w:sz w:val="32"/>
          <w:szCs w:val="32"/>
          <w:lang w:val="en-US" w:eastAsia="zh-CN" w:bidi="ar-SA"/>
        </w:rPr>
        <w:t>我</w:t>
      </w:r>
      <w:r>
        <w:rPr>
          <w:rFonts w:hint="eastAsia" w:ascii="仿宋_GB2312" w:hAnsi="仿宋_GB2312" w:eastAsia="仿宋_GB2312" w:cs="仿宋_GB2312"/>
          <w:color w:val="auto"/>
          <w:kern w:val="2"/>
          <w:sz w:val="32"/>
          <w:szCs w:val="32"/>
          <w:lang w:val="en-US" w:eastAsia="zh-CN" w:bidi="ar-SA"/>
        </w:rPr>
        <w:t>区共有体育场地约5600个，体育场地面积约630万平方米，拥有亚运城综合体育馆、目前广州市最大的连片足球场，</w:t>
      </w:r>
      <w:r>
        <w:rPr>
          <w:rFonts w:hint="eastAsia" w:ascii="仿宋_GB2312" w:hAnsi="仿宋_GB2312" w:eastAsia="仿宋_GB2312" w:cs="仿宋_GB2312"/>
          <w:b w:val="0"/>
          <w:bCs w:val="0"/>
          <w:sz w:val="32"/>
          <w:szCs w:val="32"/>
        </w:rPr>
        <w:t>有</w:t>
      </w:r>
      <w:r>
        <w:rPr>
          <w:rFonts w:hint="eastAsia" w:ascii="仿宋_GB2312" w:hAnsi="仿宋_GB2312" w:eastAsia="仿宋_GB2312" w:cs="仿宋_GB2312"/>
          <w:b w:val="0"/>
          <w:bCs w:val="0"/>
          <w:sz w:val="32"/>
          <w:szCs w:val="32"/>
          <w:lang w:val="en-US" w:eastAsia="zh-CN"/>
        </w:rPr>
        <w:t>10个</w:t>
      </w:r>
      <w:r>
        <w:rPr>
          <w:rFonts w:hint="eastAsia" w:ascii="仿宋_GB2312" w:hAnsi="仿宋_GB2312" w:eastAsia="仿宋_GB2312" w:cs="仿宋_GB2312"/>
          <w:b w:val="0"/>
          <w:bCs w:val="0"/>
          <w:sz w:val="32"/>
          <w:szCs w:val="32"/>
        </w:rPr>
        <w:t>国家A级景区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4处</w:t>
      </w:r>
      <w:r>
        <w:rPr>
          <w:rFonts w:hint="eastAsia" w:ascii="仿宋_GB2312" w:hAnsi="仿宋_GB2312" w:eastAsia="仿宋_GB2312" w:cs="仿宋_GB2312"/>
          <w:b w:val="0"/>
          <w:bCs w:val="0"/>
          <w:sz w:val="32"/>
          <w:szCs w:val="32"/>
        </w:rPr>
        <w:t>国家级文物保护单位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color w:val="000000"/>
          <w:sz w:val="32"/>
          <w:szCs w:val="32"/>
        </w:rPr>
        <w:t>513处历史文化古迹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有</w:t>
      </w:r>
      <w:r>
        <w:rPr>
          <w:rFonts w:hint="eastAsia" w:ascii="仿宋_GB2312" w:hAnsi="仿宋_GB2312" w:eastAsia="仿宋_GB2312" w:cs="仿宋_GB2312"/>
          <w:b w:val="0"/>
          <w:bCs w:val="0"/>
          <w:color w:val="auto"/>
          <w:kern w:val="2"/>
          <w:sz w:val="32"/>
          <w:szCs w:val="32"/>
          <w:lang w:val="en-US" w:eastAsia="zh-CN" w:bidi="ar-SA"/>
        </w:rPr>
        <w:t>中国历史文化名镇、名村和全国乡村旅游重点村以及14家</w:t>
      </w:r>
      <w:r>
        <w:rPr>
          <w:rFonts w:hint="eastAsia" w:ascii="仿宋_GB2312" w:hAnsi="仿宋_GB2312" w:eastAsia="仿宋_GB2312" w:cs="仿宋_GB2312"/>
          <w:b w:val="0"/>
          <w:bCs w:val="0"/>
          <w:sz w:val="32"/>
          <w:szCs w:val="32"/>
        </w:rPr>
        <w:t>星级酒店。</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val="0"/>
          <w:bCs w:val="0"/>
          <w:sz w:val="32"/>
          <w:szCs w:val="32"/>
          <w:lang w:val="en-US" w:eastAsia="zh-CN"/>
        </w:rPr>
        <w:t>建议整合丰富的文旅体资源：</w:t>
      </w:r>
      <w:r>
        <w:rPr>
          <w:rFonts w:hint="eastAsia" w:ascii="仿宋_GB2312" w:hAnsi="仿宋_GB2312" w:eastAsia="仿宋_GB2312" w:cs="仿宋_GB2312"/>
          <w:color w:val="auto"/>
          <w:kern w:val="2"/>
          <w:sz w:val="32"/>
          <w:szCs w:val="32"/>
          <w:lang w:val="en-US" w:eastAsia="zh-CN" w:bidi="ar-SA"/>
        </w:rPr>
        <w:t>一是相关职能部门围绕端午、中秋、国庆、重阳节等重要节点，引进打造特色文娱节会、大型品牌赛事；二是相关职能部门牵头整合研学资源，规范研学游市场，形成集特色文化、体育活动、旅游体验于一体的特色研学游项目，并联动教育部门推进，抢抓教育部门发布《关于推进中小学生研学旅行的意见》后形成的具有巨大市场需求的研学游市场；三是相关职能部门牵头打造全区囊括文旅体行业消费内容的成熟精品旅游线路，推动构建多样化、多层次、多元化的产品和服务体系，引导游客赏美景、品美食、看赛事、购特产、游番禺，促进文旅体深度融合发展，让全域旅游成为区域高质量发展的动力源。</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三、搭建文旅体跨区合作交流平台。</w:t>
      </w:r>
      <w:r>
        <w:rPr>
          <w:rFonts w:hint="eastAsia" w:ascii="仿宋_GB2312" w:hAnsi="仿宋_GB2312" w:eastAsia="仿宋_GB2312" w:cs="仿宋_GB2312"/>
          <w:color w:val="auto"/>
          <w:kern w:val="2"/>
          <w:sz w:val="32"/>
          <w:szCs w:val="32"/>
          <w:lang w:val="en-US" w:eastAsia="zh-CN" w:bidi="ar-SA"/>
        </w:rPr>
        <w:t>区域联动是文旅体行业发展的需要，是整体形象并提高竞争力实现效益最大化和可持续发展的重要手段。</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（一）建议由政府牵头搭建文旅体跨区合作交流平台，组织文旅体跨区推广会等强化政企互融互通。</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（二）是建议推动在已备案的直升机场设立A级景区。</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广州开发区管委会办公室2022年印发的《广州开发区穗港智造合作区智能制造合作园区（西区产业园）“十四五”发展规划（2021-2025年）》表明将建设通用机场、高端水运、跨区城轨及快速道路等多种形式互补的大交通体系，计划打造穗港澳低空交通走廊和水上巴士枢纽站、开通番禺和南沙及天河方向的水路航班、连接东莞和番禺的快速路网等，加快融入粤港澳大湾区1小时交通圈。</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基于上述的政策，建议研究推进大湾区商务直升机枢纽基地建设，形成集旅游观光、培训学习和直升机展览交易等功能于一体的“空中巴士”枢纽。目前，我区拥有海鸥岛直升机观光项目及已备案的通用机场——番禺化龙直升机机场和沙湾直升机场、较好的港口码头和基础交通。建议职能部门充分发挥区位优势下好先手棋，紧抓《南沙方案》发展契机，积极联动其他区进行协作开发整合文旅体资源，以在直升机机场设立A级景区为启动，开辟“海陆空”三位一体旅游消费新业态。</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NjU3NGRhN2QzZGFhMzM3Y2VhYmY2ZDg3ZGY4MWQifQ=="/>
  </w:docVars>
  <w:rsids>
    <w:rsidRoot w:val="27E96D7D"/>
    <w:rsid w:val="00041800"/>
    <w:rsid w:val="002F3331"/>
    <w:rsid w:val="007D79D2"/>
    <w:rsid w:val="014C13A1"/>
    <w:rsid w:val="01BB3976"/>
    <w:rsid w:val="02AD0828"/>
    <w:rsid w:val="03706DD1"/>
    <w:rsid w:val="039E3B63"/>
    <w:rsid w:val="03D63126"/>
    <w:rsid w:val="04970B8B"/>
    <w:rsid w:val="04A02855"/>
    <w:rsid w:val="06303CE6"/>
    <w:rsid w:val="06421C39"/>
    <w:rsid w:val="068A77AB"/>
    <w:rsid w:val="069C4AC4"/>
    <w:rsid w:val="08003489"/>
    <w:rsid w:val="083F6F5D"/>
    <w:rsid w:val="08980002"/>
    <w:rsid w:val="09775594"/>
    <w:rsid w:val="0A837691"/>
    <w:rsid w:val="0AD8370E"/>
    <w:rsid w:val="0B88679B"/>
    <w:rsid w:val="0BE36E48"/>
    <w:rsid w:val="0BEA51E0"/>
    <w:rsid w:val="0C5C2578"/>
    <w:rsid w:val="0C8D2031"/>
    <w:rsid w:val="0D053C40"/>
    <w:rsid w:val="0D0565BB"/>
    <w:rsid w:val="0DFC79CD"/>
    <w:rsid w:val="0F0A4D3B"/>
    <w:rsid w:val="0F0F2778"/>
    <w:rsid w:val="0F3C3DFD"/>
    <w:rsid w:val="0FC715AC"/>
    <w:rsid w:val="11006CF7"/>
    <w:rsid w:val="1242267E"/>
    <w:rsid w:val="13511699"/>
    <w:rsid w:val="13764383"/>
    <w:rsid w:val="140012A2"/>
    <w:rsid w:val="144017D0"/>
    <w:rsid w:val="145C354A"/>
    <w:rsid w:val="15475E4D"/>
    <w:rsid w:val="15CB4DDA"/>
    <w:rsid w:val="15DE683D"/>
    <w:rsid w:val="161C4BDD"/>
    <w:rsid w:val="18B705EC"/>
    <w:rsid w:val="19773682"/>
    <w:rsid w:val="1A9800BC"/>
    <w:rsid w:val="1B337BB5"/>
    <w:rsid w:val="1B9D1EC3"/>
    <w:rsid w:val="1CAD5336"/>
    <w:rsid w:val="1DF96C12"/>
    <w:rsid w:val="1E481E55"/>
    <w:rsid w:val="1E5F265E"/>
    <w:rsid w:val="1E891E76"/>
    <w:rsid w:val="1FB42C48"/>
    <w:rsid w:val="1FD2727F"/>
    <w:rsid w:val="20140864"/>
    <w:rsid w:val="20753408"/>
    <w:rsid w:val="20A76DE3"/>
    <w:rsid w:val="21310B44"/>
    <w:rsid w:val="2132798E"/>
    <w:rsid w:val="21B456FD"/>
    <w:rsid w:val="224811E6"/>
    <w:rsid w:val="22640797"/>
    <w:rsid w:val="231C3477"/>
    <w:rsid w:val="23302678"/>
    <w:rsid w:val="23626B59"/>
    <w:rsid w:val="239F66ED"/>
    <w:rsid w:val="24CA38C2"/>
    <w:rsid w:val="24D95D51"/>
    <w:rsid w:val="25882D02"/>
    <w:rsid w:val="266A2EA2"/>
    <w:rsid w:val="26D972E3"/>
    <w:rsid w:val="275E116C"/>
    <w:rsid w:val="276A079C"/>
    <w:rsid w:val="278E246F"/>
    <w:rsid w:val="27E96D7D"/>
    <w:rsid w:val="2817049F"/>
    <w:rsid w:val="29C87DFD"/>
    <w:rsid w:val="2A532D3A"/>
    <w:rsid w:val="2A8C3C2E"/>
    <w:rsid w:val="2AEE4F8F"/>
    <w:rsid w:val="2C117374"/>
    <w:rsid w:val="2D4B6D24"/>
    <w:rsid w:val="2E0F7530"/>
    <w:rsid w:val="2E745652"/>
    <w:rsid w:val="2EC53F8D"/>
    <w:rsid w:val="303F47E2"/>
    <w:rsid w:val="317308FF"/>
    <w:rsid w:val="31864164"/>
    <w:rsid w:val="32621C07"/>
    <w:rsid w:val="32BF4270"/>
    <w:rsid w:val="333D5946"/>
    <w:rsid w:val="3382517E"/>
    <w:rsid w:val="33B96409"/>
    <w:rsid w:val="35203AF3"/>
    <w:rsid w:val="377C5C93"/>
    <w:rsid w:val="389E4F9C"/>
    <w:rsid w:val="38E42B51"/>
    <w:rsid w:val="38ED524E"/>
    <w:rsid w:val="39212CEB"/>
    <w:rsid w:val="3A6F1663"/>
    <w:rsid w:val="3AA51443"/>
    <w:rsid w:val="3B954635"/>
    <w:rsid w:val="3BAD5780"/>
    <w:rsid w:val="3BD31396"/>
    <w:rsid w:val="3BE31877"/>
    <w:rsid w:val="3D4E33A6"/>
    <w:rsid w:val="3D807A7D"/>
    <w:rsid w:val="3DCD2ABE"/>
    <w:rsid w:val="3E046A08"/>
    <w:rsid w:val="4117100A"/>
    <w:rsid w:val="413C5D32"/>
    <w:rsid w:val="414D42BC"/>
    <w:rsid w:val="41D804E4"/>
    <w:rsid w:val="41DF74F4"/>
    <w:rsid w:val="42560D64"/>
    <w:rsid w:val="42CB0EF3"/>
    <w:rsid w:val="446D2082"/>
    <w:rsid w:val="47642FE5"/>
    <w:rsid w:val="47C1327B"/>
    <w:rsid w:val="48E94744"/>
    <w:rsid w:val="48F652AC"/>
    <w:rsid w:val="49345100"/>
    <w:rsid w:val="493C3E2A"/>
    <w:rsid w:val="49812834"/>
    <w:rsid w:val="49B25477"/>
    <w:rsid w:val="49D25E0E"/>
    <w:rsid w:val="49ED1E15"/>
    <w:rsid w:val="4B8A634B"/>
    <w:rsid w:val="4D0E2BAD"/>
    <w:rsid w:val="4DDD184A"/>
    <w:rsid w:val="4E635F44"/>
    <w:rsid w:val="4E820B29"/>
    <w:rsid w:val="4E9A53BD"/>
    <w:rsid w:val="4F2E11D1"/>
    <w:rsid w:val="4F595ACD"/>
    <w:rsid w:val="50450B2E"/>
    <w:rsid w:val="50484158"/>
    <w:rsid w:val="50CA19BB"/>
    <w:rsid w:val="5100266F"/>
    <w:rsid w:val="516370B5"/>
    <w:rsid w:val="5176685F"/>
    <w:rsid w:val="5247438D"/>
    <w:rsid w:val="53A26C03"/>
    <w:rsid w:val="54924893"/>
    <w:rsid w:val="54B01670"/>
    <w:rsid w:val="5515689D"/>
    <w:rsid w:val="55390CF9"/>
    <w:rsid w:val="554B3D6F"/>
    <w:rsid w:val="56D72AE8"/>
    <w:rsid w:val="57231ECE"/>
    <w:rsid w:val="57776942"/>
    <w:rsid w:val="5889764C"/>
    <w:rsid w:val="5AC635CB"/>
    <w:rsid w:val="5B2F309D"/>
    <w:rsid w:val="5C2F5741"/>
    <w:rsid w:val="5C3339C0"/>
    <w:rsid w:val="5D9E349C"/>
    <w:rsid w:val="5E5220C2"/>
    <w:rsid w:val="5E83671E"/>
    <w:rsid w:val="5F0B6A90"/>
    <w:rsid w:val="5F875C46"/>
    <w:rsid w:val="5FB60423"/>
    <w:rsid w:val="5FD85829"/>
    <w:rsid w:val="607E34D1"/>
    <w:rsid w:val="61335085"/>
    <w:rsid w:val="619F60CF"/>
    <w:rsid w:val="63541662"/>
    <w:rsid w:val="6431526F"/>
    <w:rsid w:val="643A384E"/>
    <w:rsid w:val="6479260D"/>
    <w:rsid w:val="64B23923"/>
    <w:rsid w:val="64C64186"/>
    <w:rsid w:val="66046293"/>
    <w:rsid w:val="68673C2A"/>
    <w:rsid w:val="688359BD"/>
    <w:rsid w:val="68CE3723"/>
    <w:rsid w:val="69A96900"/>
    <w:rsid w:val="6AED33EF"/>
    <w:rsid w:val="6C414E2A"/>
    <w:rsid w:val="6CEC50B4"/>
    <w:rsid w:val="6D330026"/>
    <w:rsid w:val="6EC73A5F"/>
    <w:rsid w:val="6ED936B4"/>
    <w:rsid w:val="703305B8"/>
    <w:rsid w:val="70A0201A"/>
    <w:rsid w:val="713C1FB1"/>
    <w:rsid w:val="718C1A39"/>
    <w:rsid w:val="72116FA9"/>
    <w:rsid w:val="746B6947"/>
    <w:rsid w:val="751223C2"/>
    <w:rsid w:val="751F7849"/>
    <w:rsid w:val="75551C28"/>
    <w:rsid w:val="75742592"/>
    <w:rsid w:val="75D9075E"/>
    <w:rsid w:val="76B36288"/>
    <w:rsid w:val="77196D91"/>
    <w:rsid w:val="77A07E47"/>
    <w:rsid w:val="77D2395E"/>
    <w:rsid w:val="77EC10DF"/>
    <w:rsid w:val="78EF7A15"/>
    <w:rsid w:val="78FD41AD"/>
    <w:rsid w:val="791D0F87"/>
    <w:rsid w:val="792A09CB"/>
    <w:rsid w:val="794C74D5"/>
    <w:rsid w:val="79A326D9"/>
    <w:rsid w:val="7ADE1348"/>
    <w:rsid w:val="7C196F69"/>
    <w:rsid w:val="7CEF7A73"/>
    <w:rsid w:val="7D711A99"/>
    <w:rsid w:val="7E65252C"/>
    <w:rsid w:val="7EE93A9A"/>
    <w:rsid w:val="7F0D2D4D"/>
    <w:rsid w:val="7F3A3A6C"/>
    <w:rsid w:val="7F6B08A0"/>
    <w:rsid w:val="7FF5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after="0" w:line="360" w:lineRule="auto"/>
      <w:ind w:left="0" w:leftChars="0" w:firstLine="1040" w:firstLineChars="200"/>
    </w:pPr>
    <w:rPr>
      <w:sz w:val="24"/>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5</Pages>
  <Words>1964</Words>
  <Characters>2064</Characters>
  <Lines>0</Lines>
  <Paragraphs>0</Paragraphs>
  <TotalTime>0</TotalTime>
  <ScaleCrop>false</ScaleCrop>
  <LinksUpToDate>false</LinksUpToDate>
  <CharactersWithSpaces>2069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2022-09-04T11:10:00Z</dcterms:created>
  <dc:creator>1~2~3木头人雅静</dc:creator>
  <cp:lastModifiedBy>user</cp:lastModifiedBy>
  <cp:lastPrinted>2022-09-14T02:20:00Z</cp:lastPrinted>
  <dcterms:modified xsi:type="dcterms:W3CDTF">2023-12-04T02:50:21Z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00EF4DEA276C401BB9106D027F4B14CF</vt:lpwstr>
  </property>
</Properties>
</file>