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hint="default" w:ascii="宋体" w:hAnsi="宋体"/>
          <w:sz w:val="32"/>
          <w:szCs w:val="32"/>
          <w:u w:val="single"/>
        </w:rPr>
        <w:t xml:space="preserve">   </w:t>
      </w:r>
      <w:r>
        <w:rPr>
          <w:rFonts w:hint="eastAsia" w:ascii="宋体" w:hAnsi="宋体"/>
          <w:sz w:val="32"/>
          <w:szCs w:val="32"/>
          <w:u w:val="single"/>
          <w:lang w:val="en-US" w:eastAsia="zh-CN"/>
        </w:rPr>
        <w:t>48</w:t>
      </w:r>
      <w:r>
        <w:rPr>
          <w:rFonts w:hint="default" w:ascii="宋体" w:hAnsi="宋体"/>
          <w:sz w:val="32"/>
          <w:szCs w:val="32"/>
          <w:u w:val="single"/>
        </w:rPr>
        <w:t xml:space="preserve">   </w:t>
      </w:r>
      <w:r>
        <w:rPr>
          <w:rFonts w:hint="eastAsia" w:ascii="宋体" w:hAnsi="宋体"/>
          <w:sz w:val="32"/>
          <w:szCs w:val="32"/>
        </w:rPr>
        <w:t>号</w:t>
      </w: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adjustRightInd/>
        <w:snapToGrid/>
        <w:spacing w:line="560" w:lineRule="exact"/>
        <w:jc w:val="center"/>
        <w:textAlignment w:val="auto"/>
        <w:rPr>
          <w:rFonts w:hint="eastAsia" w:ascii="宋体" w:hAnsi="宋体"/>
          <w:b/>
          <w:sz w:val="32"/>
          <w:szCs w:val="32"/>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rPr>
        <w:t>次会议提案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552"/>
        <w:gridCol w:w="1559"/>
        <w:gridCol w:w="99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题目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关于全力构建番禺特色职业教育体系 为高质量发展提供人才支撑的建议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提案者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民盟</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联系人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lang w:eastAsia="zh-CN"/>
              </w:rPr>
              <w:t>刘炜</w:t>
            </w: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工作单位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lang w:val="en-US" w:eastAsia="zh-CN"/>
              </w:rPr>
              <w:t>广州番禺职业技术学院</w:t>
            </w:r>
            <w:r>
              <w:rPr>
                <w:rFonts w:hint="eastAsia" w:ascii="仿宋_GB2312" w:hAnsi="宋体" w:eastAsia="仿宋_GB2312" w:cs="Times New Roman"/>
                <w:sz w:val="32"/>
                <w:szCs w:val="32"/>
                <w:lang w:val="en-US" w:eastAsia="zh-CN"/>
              </w:rPr>
              <w:t xml:space="preserve"> </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职    务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lang w:val="en-US" w:eastAsia="zh-CN"/>
              </w:rPr>
              <w:t>信息中心副主任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手机号码 </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办公电话 </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通讯地址 </w:t>
            </w:r>
          </w:p>
        </w:tc>
        <w:tc>
          <w:tcPr>
            <w:tcW w:w="411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邮编 </w:t>
            </w:r>
          </w:p>
        </w:tc>
        <w:tc>
          <w:tcPr>
            <w:tcW w:w="146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联名提案人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如 人数 较多，可另附于文后 ）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lang w:eastAsia="zh-CN"/>
              </w:rPr>
              <w:t>何文婕、张瑜、</w:t>
            </w:r>
            <w:bookmarkStart w:id="0" w:name="_GoBack"/>
            <w:bookmarkEnd w:id="0"/>
            <w:r>
              <w:rPr>
                <w:rFonts w:hint="eastAsia" w:ascii="仿宋_GB2312" w:hAnsi="宋体" w:eastAsia="仿宋_GB2312"/>
                <w:sz w:val="32"/>
                <w:szCs w:val="32"/>
                <w:lang w:eastAsia="zh-CN"/>
              </w:rPr>
              <w:t>王贤铮、刘炜</w:t>
            </w:r>
            <w:r>
              <w:rPr>
                <w:rFonts w:hint="eastAsia" w:ascii="仿宋_GB2312" w:hAnsi="宋体" w:eastAsia="仿宋_GB2312" w:cs="Times New Roman"/>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提案委员会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审查意见 </w:t>
            </w:r>
          </w:p>
        </w:tc>
        <w:tc>
          <w:tcPr>
            <w:tcW w:w="6571"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Times New Roman"/>
                <w:sz w:val="32"/>
                <w:szCs w:val="32"/>
                <w:lang w:val="en-US" w:eastAsia="zh-CN"/>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宋体" w:hAnsi="宋体"/>
          <w:sz w:val="30"/>
          <w:szCs w:val="30"/>
          <w:lang w:eastAsia="zh-CN"/>
        </w:r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hint="default" w:ascii="宋体" w:hAnsi="宋体"/>
          <w:sz w:val="30"/>
          <w:szCs w:val="30"/>
        </w:rPr>
        <w:t xml:space="preserve">  </w:t>
      </w:r>
      <w:r>
        <w:rPr>
          <w:rFonts w:hint="eastAsia" w:ascii="宋体" w:hAnsi="宋体"/>
          <w:sz w:val="30"/>
          <w:szCs w:val="30"/>
          <w:lang w:eastAsia="zh-CN"/>
        </w:rPr>
        <w:t>否（）</w:t>
      </w:r>
    </w:p>
    <w:p>
      <w:pPr>
        <w:pStyle w:val="2"/>
        <w:rPr>
          <w:rFonts w:hint="eastAsia" w:ascii="宋体" w:hAnsi="宋体"/>
          <w:sz w:val="30"/>
          <w:szCs w:val="30"/>
          <w:lang w:eastAsia="zh-CN"/>
        </w:rPr>
      </w:pPr>
    </w:p>
    <w:p>
      <w:pPr>
        <w:rPr>
          <w:rFonts w:hint="eastAsia" w:ascii="宋体" w:hAnsi="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一、背景意义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hAnsiTheme="minorHAnsi"/>
          <w:color w:val="auto"/>
          <w:kern w:val="2"/>
          <w:sz w:val="32"/>
          <w:szCs w:val="32"/>
          <w:lang w:val="en-US" w:eastAsia="zh-CN" w:bidi="ar-SA"/>
        </w:rPr>
      </w:pPr>
      <w:r>
        <w:rPr>
          <w:rFonts w:hint="eastAsia" w:ascii="仿宋_GB2312" w:eastAsia="仿宋_GB2312" w:cs="Times New Roman" w:hAnsiTheme="minorHAnsi"/>
          <w:color w:val="auto"/>
          <w:kern w:val="2"/>
          <w:sz w:val="32"/>
          <w:szCs w:val="32"/>
          <w:lang w:val="en-US" w:eastAsia="zh-CN" w:bidi="ar-SA"/>
        </w:rPr>
        <w:t>近几年国家对职业教育重视程度之高前所未有，2022年5月开始执行新修订的《中华人民共和国职业教育法》明确了职教与普教具有同等重要地位。习近平总书记在</w:t>
      </w:r>
      <w:r>
        <w:rPr>
          <w:rFonts w:hint="default" w:ascii="仿宋_GB2312" w:eastAsia="仿宋_GB2312" w:cs="Times New Roman" w:hAnsiTheme="minorHAnsi"/>
          <w:color w:val="auto"/>
          <w:kern w:val="2"/>
          <w:sz w:val="32"/>
          <w:szCs w:val="32"/>
          <w:lang w:val="en-US" w:eastAsia="zh-Hans" w:bidi="ar-SA"/>
        </w:rPr>
        <w:t>党的二十大报告</w:t>
      </w:r>
      <w:r>
        <w:rPr>
          <w:rFonts w:hint="eastAsia" w:ascii="仿宋_GB2312" w:eastAsia="仿宋_GB2312" w:cs="Times New Roman" w:hAnsiTheme="minorHAnsi"/>
          <w:color w:val="auto"/>
          <w:kern w:val="2"/>
          <w:sz w:val="32"/>
          <w:szCs w:val="32"/>
          <w:lang w:val="en-US" w:eastAsia="zh-CN" w:bidi="ar-SA"/>
        </w:rPr>
        <w:t>中提出</w:t>
      </w:r>
      <w:r>
        <w:rPr>
          <w:rFonts w:hint="eastAsia" w:ascii="仿宋_GB2312" w:eastAsia="仿宋_GB2312" w:cs="Times New Roman"/>
          <w:color w:val="auto"/>
          <w:kern w:val="2"/>
          <w:sz w:val="32"/>
          <w:szCs w:val="32"/>
          <w:lang w:val="en-US" w:eastAsia="zh-CN" w:bidi="ar-SA"/>
        </w:rPr>
        <w:t>：“</w:t>
      </w:r>
      <w:r>
        <w:rPr>
          <w:rFonts w:hint="default" w:ascii="仿宋_GB2312" w:eastAsia="仿宋_GB2312" w:cs="Times New Roman" w:hAnsiTheme="minorHAnsi"/>
          <w:color w:val="auto"/>
          <w:kern w:val="2"/>
          <w:sz w:val="32"/>
          <w:szCs w:val="32"/>
          <w:lang w:val="en-US" w:eastAsia="zh-Hans" w:bidi="ar-SA"/>
        </w:rPr>
        <w:t>统筹职业教育、高等教育、继续教育协同创新，推进职普融通、产教融合、科教融汇，优化职业教育类型定位。</w:t>
      </w:r>
      <w:r>
        <w:rPr>
          <w:rFonts w:hint="eastAsia" w:ascii="仿宋_GB2312" w:eastAsia="仿宋_GB2312" w:cs="Times New Roman"/>
          <w:color w:val="auto"/>
          <w:kern w:val="2"/>
          <w:sz w:val="32"/>
          <w:szCs w:val="32"/>
          <w:lang w:val="en-US" w:eastAsia="zh-CN" w:bidi="ar-SA"/>
        </w:rPr>
        <w:t>”</w:t>
      </w:r>
      <w:r>
        <w:rPr>
          <w:rFonts w:hint="eastAsia" w:ascii="仿宋_GB2312" w:eastAsia="仿宋_GB2312" w:cs="Times New Roman" w:hAnsiTheme="minorHAnsi"/>
          <w:color w:val="auto"/>
          <w:kern w:val="2"/>
          <w:sz w:val="32"/>
          <w:szCs w:val="32"/>
          <w:lang w:val="en-US" w:eastAsia="zh-CN" w:bidi="ar-SA"/>
        </w:rPr>
        <w:t>此前，国家层面还出台了一系列促进职业教育发展的政策。从</w:t>
      </w:r>
      <w:r>
        <w:rPr>
          <w:rFonts w:hint="default" w:ascii="仿宋_GB2312" w:eastAsia="仿宋_GB2312" w:cs="Times New Roman" w:hAnsiTheme="minorHAnsi"/>
          <w:color w:val="auto"/>
          <w:kern w:val="2"/>
          <w:sz w:val="32"/>
          <w:szCs w:val="32"/>
          <w:lang w:val="en-US" w:eastAsia="zh-Hans" w:bidi="ar-SA"/>
        </w:rPr>
        <w:t>2014年《国务院关于加快发展现代职业教育的决定》</w:t>
      </w:r>
      <w:r>
        <w:rPr>
          <w:rFonts w:hint="eastAsia" w:ascii="仿宋_GB2312" w:eastAsia="仿宋_GB2312" w:cs="Times New Roman" w:hAnsiTheme="minorHAnsi"/>
          <w:color w:val="auto"/>
          <w:kern w:val="2"/>
          <w:sz w:val="32"/>
          <w:szCs w:val="32"/>
          <w:lang w:val="en-US" w:eastAsia="zh-CN" w:bidi="ar-SA"/>
        </w:rPr>
        <w:t>、教育部等六部委联合发布《现代职业教育体系建设规划》，以及近日中共中央办公厅、国务院办公厅印发的《关于深化现代职业教育体系建设改革的意见》，一连串顶层设计，为新时代职教事业高质量发展注入强劲动力、绘出美好蓝图。1月28日，广东的“新春第一会”（全省高质量发展大会）向全社会吹响“制造业当家”的高质量奋进号角，全省各地迅速掀起加快推动高质量发展的热潮。“番禺制造”具有在广州、珠三角乃至全国发展较早、基础扎实、门类齐全的先发优势，当仁不让要在这股制造业蓬勃发展的东风下，奋楫争先、再立潮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Hans"/>
        </w:rPr>
        <w:t>一直以来</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CN"/>
        </w:rPr>
        <w:t>番禺</w:t>
      </w:r>
      <w:r>
        <w:rPr>
          <w:rFonts w:hint="eastAsia" w:ascii="仿宋_GB2312" w:eastAsia="仿宋_GB2312" w:cs="Times New Roman"/>
          <w:color w:val="auto"/>
          <w:sz w:val="32"/>
          <w:szCs w:val="32"/>
          <w:lang w:val="en-US" w:eastAsia="zh-Hans"/>
        </w:rPr>
        <w:t>区</w:t>
      </w:r>
      <w:r>
        <w:rPr>
          <w:rFonts w:hint="eastAsia" w:ascii="仿宋_GB2312" w:eastAsia="仿宋_GB2312" w:cs="Times New Roman"/>
          <w:color w:val="auto"/>
          <w:sz w:val="32"/>
          <w:szCs w:val="32"/>
          <w:lang w:val="en-US" w:eastAsia="zh-CN"/>
        </w:rPr>
        <w:t>党委、</w:t>
      </w:r>
      <w:r>
        <w:rPr>
          <w:rFonts w:hint="eastAsia" w:ascii="仿宋_GB2312" w:eastAsia="仿宋_GB2312" w:cs="Times New Roman"/>
          <w:color w:val="auto"/>
          <w:sz w:val="32"/>
          <w:szCs w:val="32"/>
          <w:lang w:val="en-US" w:eastAsia="zh-Hans"/>
        </w:rPr>
        <w:t>区</w:t>
      </w:r>
      <w:r>
        <w:rPr>
          <w:rFonts w:hint="eastAsia" w:ascii="仿宋_GB2312" w:eastAsia="仿宋_GB2312" w:cs="Times New Roman"/>
          <w:color w:val="auto"/>
          <w:sz w:val="32"/>
          <w:szCs w:val="32"/>
          <w:lang w:val="en-US" w:eastAsia="zh-CN"/>
        </w:rPr>
        <w:t>政府</w:t>
      </w:r>
      <w:r>
        <w:rPr>
          <w:rFonts w:hint="eastAsia" w:ascii="仿宋_GB2312" w:eastAsia="仿宋_GB2312" w:cs="Times New Roman"/>
          <w:color w:val="auto"/>
          <w:sz w:val="32"/>
          <w:szCs w:val="32"/>
          <w:lang w:val="en-US" w:eastAsia="zh-Hans"/>
        </w:rPr>
        <w:t>始终把职业教育摆在教育事业发展的重要位置</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认真贯彻执行</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职业教育法</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及中央和省</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市关于加快发展现代职业教育的决策部署</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CN"/>
        </w:rPr>
        <w:t>科学规划</w:t>
      </w:r>
      <w:r>
        <w:rPr>
          <w:rFonts w:hint="default"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精心布署</w:t>
      </w:r>
      <w:r>
        <w:rPr>
          <w:rFonts w:hint="default"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大胆创新</w:t>
      </w:r>
      <w:r>
        <w:rPr>
          <w:rFonts w:hint="default"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Hans"/>
        </w:rPr>
        <w:t>采取了切实有效措施</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狠抓各项工作落实</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促进了全区职业教育的快速健康发展</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CN"/>
        </w:rPr>
        <w:t>助推产业发展、助力乡村振兴，为全</w:t>
      </w:r>
      <w:r>
        <w:rPr>
          <w:rFonts w:hint="eastAsia" w:ascii="仿宋_GB2312" w:eastAsia="仿宋_GB2312" w:cs="Times New Roman"/>
          <w:color w:val="auto"/>
          <w:sz w:val="32"/>
          <w:szCs w:val="32"/>
          <w:lang w:val="en-US" w:eastAsia="zh-Hans"/>
        </w:rPr>
        <w:t>区</w:t>
      </w:r>
      <w:r>
        <w:rPr>
          <w:rFonts w:hint="eastAsia" w:ascii="仿宋_GB2312" w:eastAsia="仿宋_GB2312" w:cs="Times New Roman"/>
          <w:color w:val="auto"/>
          <w:sz w:val="32"/>
          <w:szCs w:val="32"/>
          <w:lang w:val="en-US" w:eastAsia="zh-CN"/>
        </w:rPr>
        <w:t>经济社会发展做好人才支撑</w:t>
      </w:r>
      <w:r>
        <w:rPr>
          <w:rFonts w:hint="default"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据不完全统计，番禺现有中职学校三所，都是公立，在校生大概1万人左右，在广州市排名第一，还有200所左右的校外培训机构，每年的中短期培训包括企业职工岗位技术培训、农业技术培训、农村劳动力培训等达1万多人次。但在当前科教兴国、人才强国、创新驱动等国家重大战略叠加，以及省市区“坚定高质量发展、坚持制造业当家”核心任务的时代背景下，对于经济、产业和职教事业均具有较高发展程度且对职业技术人才需求量大的番禺来说，加强统筹、加大投入、加快推进职业教育高质量发展同样时不我待、迫在眉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cs="Times New Roman"/>
          <w:color w:val="auto"/>
          <w:sz w:val="32"/>
          <w:szCs w:val="32"/>
          <w:lang w:val="en-US" w:eastAsia="zh-CN"/>
        </w:rPr>
      </w:pPr>
      <w:r>
        <w:rPr>
          <w:rFonts w:hint="eastAsia" w:ascii="黑体" w:hAnsi="黑体" w:eastAsia="黑体" w:cs="Times New Roman"/>
          <w:color w:val="auto"/>
          <w:sz w:val="32"/>
          <w:szCs w:val="32"/>
          <w:lang w:val="en-US" w:eastAsia="zh-CN"/>
        </w:rPr>
        <w:t>二、现存问题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受传统文化的影响,社会上重普通教育，轻职业教育的现象依然客观存在，在整个教育体系中，职业教育还是最薄弱的环节，存在很多深层次的困难和问题。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一是对职业教育的统筹不足。职业教育的政策不完善，政府主导、行业指导、企业参与的一系列办学机制还不健全。政策不配套，工作协调难度大，职业教育缺乏统筹的问题比较突出。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二是行业企业参与</w:t>
      </w:r>
      <w:r>
        <w:rPr>
          <w:rFonts w:hint="eastAsia" w:ascii="仿宋_GB2312" w:eastAsia="仿宋_GB2312" w:cs="Times New Roman"/>
          <w:color w:val="auto"/>
          <w:sz w:val="32"/>
          <w:szCs w:val="32"/>
          <w:lang w:val="en-US" w:eastAsia="zh-Hans"/>
        </w:rPr>
        <w:t>办学</w:t>
      </w:r>
      <w:r>
        <w:rPr>
          <w:rFonts w:hint="eastAsia" w:ascii="仿宋_GB2312" w:eastAsia="仿宋_GB2312" w:cs="Times New Roman"/>
          <w:color w:val="auto"/>
          <w:sz w:val="32"/>
          <w:szCs w:val="32"/>
          <w:lang w:val="en-US" w:eastAsia="zh-CN"/>
        </w:rPr>
        <w:t>不足，</w:t>
      </w:r>
      <w:r>
        <w:rPr>
          <w:rFonts w:hint="default" w:ascii="仿宋_GB2312" w:eastAsia="仿宋_GB2312" w:cs="Times New Roman"/>
          <w:color w:val="auto"/>
          <w:sz w:val="32"/>
          <w:szCs w:val="32"/>
          <w:lang w:val="en-US" w:eastAsia="zh-Hans"/>
        </w:rPr>
        <w:t>产教</w:t>
      </w:r>
      <w:r>
        <w:rPr>
          <w:rFonts w:hint="eastAsia" w:ascii="仿宋_GB2312" w:eastAsia="仿宋_GB2312" w:cs="Times New Roman"/>
          <w:color w:val="auto"/>
          <w:sz w:val="32"/>
          <w:szCs w:val="32"/>
          <w:lang w:val="en-US" w:eastAsia="zh-CN"/>
        </w:rPr>
        <w:t>深度</w:t>
      </w:r>
      <w:r>
        <w:rPr>
          <w:rFonts w:hint="default" w:ascii="仿宋_GB2312" w:eastAsia="仿宋_GB2312" w:cs="Times New Roman"/>
          <w:color w:val="auto"/>
          <w:sz w:val="32"/>
          <w:szCs w:val="32"/>
          <w:lang w:val="en-US" w:eastAsia="zh-Hans"/>
        </w:rPr>
        <w:t>融合</w:t>
      </w:r>
      <w:r>
        <w:rPr>
          <w:rFonts w:hint="eastAsia" w:ascii="仿宋_GB2312" w:eastAsia="仿宋_GB2312" w:cs="Times New Roman"/>
          <w:color w:val="auto"/>
          <w:sz w:val="32"/>
          <w:szCs w:val="32"/>
          <w:lang w:val="en-US" w:eastAsia="zh-CN"/>
        </w:rPr>
        <w:t>发展不足。番禺现有</w:t>
      </w:r>
      <w:r>
        <w:rPr>
          <w:rFonts w:hint="eastAsia" w:ascii="仿宋_GB2312" w:eastAsia="仿宋_GB2312" w:cs="Times New Roman"/>
          <w:color w:val="auto"/>
          <w:sz w:val="32"/>
          <w:szCs w:val="32"/>
          <w:lang w:val="en-US" w:eastAsia="zh-Hans"/>
        </w:rPr>
        <w:t>职业院校</w:t>
      </w:r>
      <w:r>
        <w:rPr>
          <w:rFonts w:hint="eastAsia" w:ascii="仿宋_GB2312" w:eastAsia="仿宋_GB2312" w:cs="Times New Roman"/>
          <w:color w:val="auto"/>
          <w:sz w:val="32"/>
          <w:szCs w:val="32"/>
          <w:lang w:val="en-US" w:eastAsia="zh-CN"/>
        </w:rPr>
        <w:t>都是</w:t>
      </w:r>
      <w:r>
        <w:rPr>
          <w:rFonts w:hint="eastAsia" w:ascii="仿宋_GB2312" w:eastAsia="仿宋_GB2312" w:cs="Times New Roman"/>
          <w:color w:val="auto"/>
          <w:sz w:val="32"/>
          <w:szCs w:val="32"/>
          <w:lang w:val="en-US" w:eastAsia="zh-Hans"/>
        </w:rPr>
        <w:t>政府部门举办，</w:t>
      </w:r>
      <w:r>
        <w:rPr>
          <w:rFonts w:hint="eastAsia" w:ascii="仿宋_GB2312" w:eastAsia="仿宋_GB2312" w:cs="Times New Roman"/>
          <w:color w:val="auto"/>
          <w:sz w:val="32"/>
          <w:szCs w:val="32"/>
          <w:lang w:val="en-US" w:eastAsia="zh-CN"/>
        </w:rPr>
        <w:t>市场企业主体</w:t>
      </w:r>
      <w:r>
        <w:rPr>
          <w:rFonts w:hint="eastAsia" w:ascii="仿宋_GB2312" w:eastAsia="仿宋_GB2312" w:cs="Times New Roman"/>
          <w:color w:val="auto"/>
          <w:sz w:val="32"/>
          <w:szCs w:val="32"/>
          <w:lang w:val="en-US" w:eastAsia="zh-Hans"/>
        </w:rPr>
        <w:t>和其他社会力量参与举办职业教育的积极性不高</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职业教育与本地产业结合不够紧密</w:t>
      </w:r>
      <w:r>
        <w:rPr>
          <w:rFonts w:hint="eastAsia" w:ascii="仿宋_GB2312" w:eastAsia="仿宋_GB2312" w:cs="Times New Roman"/>
          <w:color w:val="auto"/>
          <w:sz w:val="32"/>
          <w:szCs w:val="32"/>
          <w:lang w:val="en-US" w:eastAsia="zh-CN"/>
        </w:rPr>
        <w:t>，形成了市场条件下职业教育与产业体系之间的较大距离。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cs="Times New Roman"/>
          <w:color w:val="auto"/>
          <w:sz w:val="32"/>
          <w:szCs w:val="32"/>
          <w:lang w:val="en-US" w:eastAsia="zh-Hans"/>
        </w:rPr>
      </w:pPr>
      <w:r>
        <w:rPr>
          <w:rFonts w:hint="eastAsia" w:ascii="仿宋_GB2312" w:eastAsia="仿宋_GB2312" w:cs="Times New Roman"/>
          <w:color w:val="auto"/>
          <w:sz w:val="32"/>
          <w:szCs w:val="32"/>
          <w:lang w:val="en-US" w:eastAsia="zh-CN"/>
        </w:rPr>
        <w:t>三是校际合作</w:t>
      </w:r>
      <w:r>
        <w:rPr>
          <w:rFonts w:hint="eastAsia" w:ascii="仿宋_GB2312" w:eastAsia="仿宋_GB2312" w:cs="Times New Roman"/>
          <w:color w:val="auto"/>
          <w:sz w:val="32"/>
          <w:szCs w:val="32"/>
          <w:lang w:val="en-US" w:eastAsia="zh-Hans"/>
        </w:rPr>
        <w:t>不紧密</w:t>
      </w:r>
      <w:r>
        <w:rPr>
          <w:rFonts w:hint="eastAsia" w:ascii="仿宋_GB2312" w:eastAsia="仿宋_GB2312" w:cs="Times New Roman"/>
          <w:color w:val="auto"/>
          <w:sz w:val="32"/>
          <w:szCs w:val="32"/>
          <w:lang w:val="en-US" w:eastAsia="zh-CN"/>
        </w:rPr>
        <w:t>，未发挥本土资源整体优势</w:t>
      </w:r>
      <w:r>
        <w:rPr>
          <w:rFonts w:hint="eastAsia"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CN"/>
        </w:rPr>
        <w:t>本地</w:t>
      </w:r>
      <w:r>
        <w:rPr>
          <w:rFonts w:hint="eastAsia" w:ascii="仿宋_GB2312" w:eastAsia="仿宋_GB2312" w:cs="Times New Roman"/>
          <w:color w:val="auto"/>
          <w:sz w:val="32"/>
          <w:szCs w:val="32"/>
          <w:lang w:val="en-US" w:eastAsia="zh-Hans"/>
        </w:rPr>
        <w:t>职业学校校校之间缺乏合作意识，单打独斗</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Hans"/>
        </w:rPr>
        <w:t>互相竞争</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各学校</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培训机构专业设置类同、特色不明显</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Hans"/>
        </w:rPr>
        <w:t>不能很好的取长补短</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互通有无</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制约我区职业教育整体发展</w:t>
      </w:r>
      <w:r>
        <w:rPr>
          <w:rFonts w:hint="eastAsia" w:ascii="仿宋_GB2312" w:eastAsia="仿宋_GB2312" w:cs="Times New Roman"/>
          <w:color w:val="auto"/>
          <w:sz w:val="32"/>
          <w:szCs w:val="32"/>
          <w:lang w:val="en-US" w:eastAsia="zh-CN"/>
        </w:rPr>
        <w:t>水平</w:t>
      </w:r>
      <w:r>
        <w:rPr>
          <w:rFonts w:hint="eastAsia" w:ascii="仿宋_GB2312" w:eastAsia="仿宋_GB2312" w:cs="Times New Roman"/>
          <w:color w:val="auto"/>
          <w:sz w:val="32"/>
          <w:szCs w:val="32"/>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四是普职融通路径不畅，社会认可度低。</w:t>
      </w:r>
      <w:r>
        <w:rPr>
          <w:rFonts w:hint="eastAsia" w:ascii="仿宋_GB2312" w:eastAsia="仿宋_GB2312" w:cs="Times New Roman"/>
          <w:color w:val="auto"/>
          <w:sz w:val="32"/>
          <w:szCs w:val="32"/>
          <w:lang w:val="en-US" w:eastAsia="zh-Hans"/>
        </w:rPr>
        <w:t>统筹协调发展职业教育、</w:t>
      </w:r>
      <w:r>
        <w:rPr>
          <w:rFonts w:hint="eastAsia" w:ascii="仿宋_GB2312" w:eastAsia="仿宋_GB2312" w:cs="Times New Roman"/>
          <w:color w:val="auto"/>
          <w:sz w:val="32"/>
          <w:szCs w:val="32"/>
          <w:lang w:val="en-US" w:eastAsia="zh-CN"/>
        </w:rPr>
        <w:t>普通</w:t>
      </w:r>
      <w:r>
        <w:rPr>
          <w:rFonts w:hint="eastAsia" w:ascii="仿宋_GB2312" w:eastAsia="仿宋_GB2312" w:cs="Times New Roman"/>
          <w:color w:val="auto"/>
          <w:sz w:val="32"/>
          <w:szCs w:val="32"/>
          <w:lang w:val="en-US" w:eastAsia="zh-Hans"/>
        </w:rPr>
        <w:t>教育、继续教育的通道</w:t>
      </w:r>
      <w:r>
        <w:rPr>
          <w:rFonts w:hint="eastAsia" w:ascii="仿宋_GB2312" w:eastAsia="仿宋_GB2312" w:cs="Times New Roman"/>
          <w:color w:val="auto"/>
          <w:sz w:val="32"/>
          <w:szCs w:val="32"/>
          <w:lang w:val="en-US" w:eastAsia="zh-CN"/>
        </w:rPr>
        <w:t>尚未打通，</w:t>
      </w:r>
      <w:r>
        <w:rPr>
          <w:rFonts w:hint="eastAsia" w:ascii="仿宋_GB2312" w:eastAsia="仿宋_GB2312" w:cs="Times New Roman"/>
          <w:color w:val="auto"/>
          <w:sz w:val="32"/>
          <w:szCs w:val="32"/>
          <w:lang w:val="en-US" w:eastAsia="zh-Hans"/>
        </w:rPr>
        <w:t>社会、家长、学生重普通教育、轻职业教育的现象依然存在</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Hans"/>
        </w:rPr>
        <w:t>普通教育“千军万马过独木桥”的局面</w:t>
      </w:r>
      <w:r>
        <w:rPr>
          <w:rFonts w:hint="eastAsia" w:ascii="仿宋_GB2312" w:eastAsia="仿宋_GB2312" w:cs="Times New Roman"/>
          <w:color w:val="auto"/>
          <w:sz w:val="32"/>
          <w:szCs w:val="32"/>
          <w:lang w:val="en-US" w:eastAsia="zh-CN"/>
        </w:rPr>
        <w:t>未能扭转。</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0"/>
        <w:rPr>
          <w:rFonts w:hint="eastAsia" w:ascii="黑体" w:hAnsi="黑体"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0"/>
        <w:rPr>
          <w:rFonts w:hint="eastAsia" w:ascii="黑体" w:hAnsi="黑体" w:eastAsia="黑体" w:cs="Times New Roman"/>
          <w:color w:val="auto"/>
          <w:sz w:val="32"/>
          <w:szCs w:val="32"/>
          <w:lang w:val="en-US" w:eastAsia="zh-CN"/>
        </w:rPr>
      </w:pPr>
      <w:r>
        <w:rPr>
          <w:rFonts w:hint="eastAsia" w:ascii="黑体" w:hAnsi="黑体" w:eastAsia="黑体" w:cs="Times New Roman"/>
          <w:color w:val="auto"/>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仿宋_GB2312" w:eastAsia="仿宋_GB2312" w:cs="Times New Roman"/>
          <w:color w:val="auto"/>
          <w:kern w:val="2"/>
          <w:sz w:val="32"/>
          <w:szCs w:val="32"/>
          <w:lang w:val="en-US" w:eastAsia="zh-Hans" w:bidi="ar-SA"/>
        </w:rPr>
      </w:pPr>
      <w:r>
        <w:rPr>
          <w:rFonts w:hint="eastAsia" w:ascii="仿宋_GB2312" w:eastAsia="仿宋_GB2312" w:cs="Times New Roman"/>
          <w:color w:val="auto"/>
          <w:sz w:val="32"/>
          <w:szCs w:val="32"/>
          <w:lang w:val="en-US" w:eastAsia="zh-CN"/>
        </w:rPr>
        <w:t>建议进一步</w:t>
      </w:r>
      <w:r>
        <w:rPr>
          <w:rFonts w:hint="eastAsia" w:ascii="仿宋_GB2312" w:eastAsia="仿宋_GB2312" w:cs="Times New Roman"/>
          <w:color w:val="auto"/>
          <w:kern w:val="2"/>
          <w:sz w:val="32"/>
          <w:szCs w:val="32"/>
          <w:lang w:val="en-US" w:eastAsia="zh-CN" w:bidi="ar-SA"/>
        </w:rPr>
        <w:t>突出“区域”政府在职业教育发展中的主要行动者角色，在区政府指导下，</w:t>
      </w:r>
      <w:r>
        <w:rPr>
          <w:rFonts w:hint="eastAsia" w:ascii="仿宋_GB2312" w:eastAsia="仿宋_GB2312" w:cs="Times New Roman"/>
          <w:color w:val="auto"/>
          <w:sz w:val="32"/>
          <w:szCs w:val="32"/>
          <w:lang w:val="en-US" w:eastAsia="zh-CN"/>
        </w:rPr>
        <w:t>组建</w:t>
      </w:r>
      <w:r>
        <w:rPr>
          <w:rFonts w:hint="eastAsia" w:ascii="仿宋_GB2312" w:eastAsia="仿宋_GB2312" w:cs="Times New Roman"/>
          <w:b/>
          <w:bCs/>
          <w:color w:val="auto"/>
          <w:sz w:val="32"/>
          <w:szCs w:val="32"/>
          <w:lang w:val="en-US" w:eastAsia="zh-CN"/>
        </w:rPr>
        <w:t>广州市番禺区职业教育发展指导中心</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Hans"/>
        </w:rPr>
        <w:t>统筹职业教育资源，</w:t>
      </w:r>
      <w:r>
        <w:rPr>
          <w:rFonts w:hint="eastAsia" w:ascii="仿宋_GB2312" w:eastAsia="仿宋_GB2312" w:cs="Times New Roman"/>
          <w:color w:val="auto"/>
          <w:kern w:val="2"/>
          <w:sz w:val="32"/>
          <w:szCs w:val="32"/>
          <w:lang w:val="en-US" w:eastAsia="zh-CN" w:bidi="ar-SA"/>
        </w:rPr>
        <w:t>完善政府、行业、企业、学校协同的发展机制，</w:t>
      </w:r>
      <w:r>
        <w:rPr>
          <w:rFonts w:hint="eastAsia" w:ascii="仿宋_GB2312" w:eastAsia="仿宋_GB2312" w:cs="Times New Roman"/>
          <w:color w:val="auto"/>
          <w:sz w:val="32"/>
          <w:szCs w:val="32"/>
          <w:lang w:val="en-US" w:eastAsia="zh-Hans"/>
        </w:rPr>
        <w:t>按照深入推进产教融合的原则，对现有职业教育资源进行</w:t>
      </w:r>
      <w:r>
        <w:rPr>
          <w:rFonts w:hint="eastAsia" w:ascii="仿宋_GB2312" w:eastAsia="仿宋_GB2312" w:cs="Times New Roman"/>
          <w:color w:val="auto"/>
          <w:sz w:val="32"/>
          <w:szCs w:val="32"/>
          <w:lang w:val="en-US" w:eastAsia="zh-CN"/>
        </w:rPr>
        <w:t>优势</w:t>
      </w:r>
      <w:r>
        <w:rPr>
          <w:rFonts w:hint="eastAsia" w:ascii="仿宋_GB2312" w:eastAsia="仿宋_GB2312" w:cs="Times New Roman"/>
          <w:color w:val="auto"/>
          <w:sz w:val="32"/>
          <w:szCs w:val="32"/>
          <w:lang w:val="en-US" w:eastAsia="zh-Hans"/>
        </w:rPr>
        <w:t>整合，</w:t>
      </w:r>
      <w:r>
        <w:rPr>
          <w:rFonts w:hint="eastAsia" w:ascii="仿宋_GB2312" w:eastAsia="仿宋_GB2312" w:cs="Times New Roman"/>
          <w:color w:val="auto"/>
          <w:sz w:val="32"/>
          <w:szCs w:val="32"/>
          <w:lang w:val="en-US" w:eastAsia="zh-CN"/>
        </w:rPr>
        <w:t>建立普通教育</w:t>
      </w:r>
      <w:r>
        <w:rPr>
          <w:rFonts w:hint="default"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职业教育</w:t>
      </w:r>
      <w:r>
        <w:rPr>
          <w:rFonts w:hint="eastAsia" w:ascii="仿宋_GB2312" w:eastAsia="仿宋_GB2312" w:cs="Times New Roman"/>
          <w:color w:val="auto"/>
          <w:sz w:val="32"/>
          <w:szCs w:val="32"/>
          <w:lang w:val="en-US" w:eastAsia="zh-Hans"/>
        </w:rPr>
        <w:t>和继续教育</w:t>
      </w:r>
      <w:r>
        <w:rPr>
          <w:rFonts w:hint="eastAsia" w:ascii="仿宋_GB2312" w:eastAsia="仿宋_GB2312" w:cs="Times New Roman"/>
          <w:color w:val="auto"/>
          <w:sz w:val="32"/>
          <w:szCs w:val="32"/>
          <w:lang w:val="en-US" w:eastAsia="zh-CN"/>
        </w:rPr>
        <w:t>融通的长效机制，</w:t>
      </w:r>
      <w:r>
        <w:rPr>
          <w:rFonts w:hint="eastAsia" w:ascii="仿宋_GB2312" w:eastAsia="仿宋_GB2312" w:cs="Times New Roman"/>
          <w:color w:val="auto"/>
          <w:kern w:val="2"/>
          <w:sz w:val="32"/>
          <w:szCs w:val="32"/>
          <w:lang w:val="en-US" w:eastAsia="zh-CN" w:bidi="ar-SA"/>
        </w:rPr>
        <w:t>在现代职业教育体系建设改革上先行先试、率先突破、示范引领，形成具有番禺地方特色的、制度供给充分、条件保障有力、产教深度融合的良好职教事业发展生态，将产业与教育的优势资源进行跨界整合，推进职业教育高质量发展。</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3" w:leftChars="0" w:firstLine="643" w:firstLineChars="0"/>
        <w:jc w:val="both"/>
        <w:textAlignment w:val="auto"/>
        <w:outlineLvl w:val="1"/>
        <w:rPr>
          <w:rFonts w:hint="eastAsia" w:ascii="仿宋_GB2312" w:eastAsia="仿宋_GB2312" w:cs="Times New Roman"/>
          <w:b/>
          <w:bCs/>
          <w:color w:val="auto"/>
          <w:sz w:val="32"/>
          <w:szCs w:val="32"/>
          <w:lang w:val="en-US" w:eastAsia="zh-CN"/>
        </w:rPr>
      </w:pPr>
      <w:r>
        <w:rPr>
          <w:rFonts w:hint="eastAsia" w:ascii="仿宋_GB2312" w:eastAsia="仿宋_GB2312" w:cs="Times New Roman"/>
          <w:b/>
          <w:bCs/>
          <w:color w:val="auto"/>
          <w:sz w:val="32"/>
          <w:szCs w:val="32"/>
          <w:lang w:val="en-US" w:eastAsia="zh-Hans"/>
        </w:rPr>
        <w:t>高位协调多措并举</w:t>
      </w:r>
      <w:r>
        <w:rPr>
          <w:rFonts w:hint="eastAsia" w:ascii="仿宋_GB2312" w:eastAsia="仿宋_GB2312" w:cs="Times New Roman"/>
          <w:b/>
          <w:bCs/>
          <w:color w:val="auto"/>
          <w:sz w:val="32"/>
          <w:szCs w:val="32"/>
          <w:lang w:val="en-US" w:eastAsia="zh-CN"/>
        </w:rPr>
        <w:t>，政府统筹稳步发展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按照国家提出的逐步建立和完善“分级管理、地方为主、政府统筹、社会参与”的职业教育管理体制要求，进一步加强政府统筹。职业教育发展指导中心对全区职教相关进行统筹规划。统筹规划、统筹办学、统筹资源、统筹政策。统筹规划，就是要根据我区经济社会发展趋势制订职业教育发展规划，并纳入经济和社会发展总体规划;统筹政策，就是要研究制定有利于职业教育发展的政策措施，防止政出多门,为职业教育发展提供有力的政策保障;统筹办学,就是在政府统筹下，发挥各部各行业的优势，集中力办好一批高水平、质量的职业学校、培训机构;统筹资源，就是要整合和有效利用现有各种职业教育资源，合理规划辖区内职教资源布局，对接科技发展趋势和市场需求，努力提高办学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1"/>
        <w:rPr>
          <w:rFonts w:hint="eastAsia" w:ascii="仿宋_GB2312" w:eastAsia="仿宋_GB2312" w:cs="Times New Roman"/>
          <w:b/>
          <w:bCs/>
          <w:color w:val="auto"/>
          <w:sz w:val="32"/>
          <w:szCs w:val="32"/>
          <w:lang w:val="en-US" w:eastAsia="zh-CN"/>
        </w:rPr>
      </w:pPr>
      <w:r>
        <w:rPr>
          <w:rFonts w:hint="eastAsia" w:ascii="仿宋_GB2312" w:eastAsia="仿宋_GB2312" w:cs="Times New Roman"/>
          <w:b/>
          <w:bCs/>
          <w:color w:val="auto"/>
          <w:sz w:val="32"/>
          <w:szCs w:val="32"/>
          <w:lang w:val="en-US" w:eastAsia="zh-CN"/>
        </w:rPr>
        <w:t>第二，多方合作汇聚资源，赋能产业转型升级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eastAsia="仿宋_GB2312" w:cs="Times New Roman"/>
          <w:color w:val="auto"/>
          <w:sz w:val="32"/>
          <w:szCs w:val="32"/>
          <w:lang w:val="en-US" w:eastAsia="zh-Hans"/>
        </w:rPr>
      </w:pPr>
      <w:r>
        <w:rPr>
          <w:rFonts w:hint="eastAsia" w:ascii="仿宋_GB2312" w:eastAsia="仿宋_GB2312" w:cs="Times New Roman"/>
          <w:color w:val="auto"/>
          <w:sz w:val="32"/>
          <w:szCs w:val="32"/>
          <w:lang w:val="en-US" w:eastAsia="zh-Hans"/>
        </w:rPr>
        <w:t>在坚持政府举办职业教育的同时，统筹、协调和支持行业主管部门和行业组织、企业和社会力量办学，鼓励集团化办学、股份制办学、多种所有制并存的办学模式，鼓励社会资本投资现有公办职业院校，对现有公办职业院校进行股份制改革，鼓励大中型优质企业与现有职业院校结对子，形成校企一体、产教融合的办学格局，形成政府主导、行业主管部门、企业组织和社会力量积极参与办学的多元办学格局。</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hAnsiTheme="minorHAnsi"/>
          <w:color w:val="auto"/>
          <w:kern w:val="2"/>
          <w:sz w:val="32"/>
          <w:szCs w:val="32"/>
          <w:lang w:val="en-US" w:eastAsia="zh-CN" w:bidi="ar-SA"/>
        </w:rPr>
      </w:pPr>
      <w:r>
        <w:rPr>
          <w:rFonts w:hint="eastAsia" w:ascii="仿宋_GB2312" w:eastAsia="仿宋_GB2312" w:cs="Times New Roman"/>
          <w:color w:val="auto"/>
          <w:sz w:val="32"/>
          <w:szCs w:val="32"/>
          <w:lang w:val="en-US" w:eastAsia="zh-CN"/>
        </w:rPr>
        <w:t>不断深化产教融合、校企合作，推动职业教育专业结构调整与区域产业结构调整相适应。发挥职业教育的人才蓄水池功能，把职教红利更好的转变为人才红利，为</w:t>
      </w:r>
      <w:r>
        <w:rPr>
          <w:rFonts w:hint="eastAsia" w:ascii="仿宋_GB2312" w:eastAsia="仿宋_GB2312" w:cs="Times New Roman"/>
          <w:color w:val="auto"/>
          <w:sz w:val="32"/>
          <w:szCs w:val="32"/>
          <w:lang w:val="en-US" w:eastAsia="zh-Hans"/>
        </w:rPr>
        <w:t>番禺</w:t>
      </w:r>
      <w:r>
        <w:rPr>
          <w:rFonts w:hint="eastAsia" w:ascii="仿宋_GB2312" w:eastAsia="仿宋_GB2312" w:cs="Times New Roman"/>
          <w:color w:val="auto"/>
          <w:sz w:val="32"/>
          <w:szCs w:val="32"/>
          <w:lang w:val="en-US" w:eastAsia="zh-CN"/>
        </w:rPr>
        <w:t>产业迈向</w:t>
      </w:r>
      <w:r>
        <w:rPr>
          <w:rFonts w:hint="eastAsia" w:ascii="仿宋_GB2312" w:eastAsia="仿宋_GB2312" w:cs="Times New Roman"/>
          <w:color w:val="auto"/>
          <w:sz w:val="32"/>
          <w:szCs w:val="32"/>
          <w:lang w:val="en-US" w:eastAsia="zh-Hans"/>
        </w:rPr>
        <w:t>全国</w:t>
      </w:r>
      <w:r>
        <w:rPr>
          <w:rFonts w:hint="eastAsia" w:ascii="仿宋_GB2312" w:eastAsia="仿宋_GB2312" w:cs="Times New Roman"/>
          <w:color w:val="auto"/>
          <w:sz w:val="32"/>
          <w:szCs w:val="32"/>
          <w:lang w:val="en-US" w:eastAsia="zh-CN"/>
        </w:rPr>
        <w:t>价值链中高端提供生力军，让职业教育更好的</w:t>
      </w:r>
      <w:r>
        <w:rPr>
          <w:rFonts w:hint="eastAsia" w:ascii="仿宋_GB2312" w:eastAsia="仿宋_GB2312" w:cs="Times New Roman"/>
          <w:color w:val="auto"/>
          <w:sz w:val="32"/>
          <w:szCs w:val="32"/>
          <w:lang w:val="en-US" w:eastAsia="zh-Hans"/>
        </w:rPr>
        <w:t>赋能番禺</w:t>
      </w:r>
      <w:r>
        <w:rPr>
          <w:rFonts w:hint="eastAsia" w:ascii="仿宋_GB2312" w:eastAsia="仿宋_GB2312" w:cs="Times New Roman"/>
          <w:color w:val="auto"/>
          <w:sz w:val="32"/>
          <w:szCs w:val="32"/>
          <w:lang w:val="en-US" w:eastAsia="zh-CN"/>
        </w:rPr>
        <w:t>产业</w:t>
      </w:r>
      <w:r>
        <w:rPr>
          <w:rFonts w:hint="eastAsia" w:ascii="仿宋_GB2312" w:eastAsia="仿宋_GB2312" w:cs="Times New Roman"/>
          <w:color w:val="auto"/>
          <w:sz w:val="32"/>
          <w:szCs w:val="32"/>
          <w:lang w:val="en-US" w:eastAsia="zh-Hans"/>
        </w:rPr>
        <w:t>发展</w:t>
      </w:r>
      <w:r>
        <w:rPr>
          <w:rFonts w:hint="eastAsia" w:ascii="仿宋_GB2312" w:eastAsia="仿宋_GB2312" w:cs="Times New Roman"/>
          <w:color w:val="auto"/>
          <w:sz w:val="32"/>
          <w:szCs w:val="32"/>
          <w:lang w:val="en-US" w:eastAsia="zh-CN"/>
        </w:rPr>
        <w:t>。定期</w:t>
      </w:r>
      <w:r>
        <w:rPr>
          <w:rFonts w:hint="eastAsia" w:ascii="仿宋_GB2312" w:eastAsia="仿宋_GB2312" w:cs="Times New Roman"/>
          <w:color w:val="auto"/>
          <w:sz w:val="32"/>
          <w:szCs w:val="32"/>
          <w:lang w:val="en-US" w:eastAsia="zh-Hans"/>
        </w:rPr>
        <w:t>开展广州市番禺区中职教师发展活动</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CN"/>
        </w:rPr>
        <w:t>举办学校之间、校企之间交流、研讨和会议，共享教育和社会资源，及时了解区域经济社会发展与区域产业发展对职业教育、专业设置、技能人才的需求培养变化；定期研讨区域职业教育在深入推进产教融合工作中的政策落实情况与存在的问题及建议。</w:t>
      </w:r>
      <w:r>
        <w:rPr>
          <w:rFonts w:hint="eastAsia" w:ascii="仿宋_GB2312" w:eastAsia="仿宋_GB2312" w:cs="Times New Roman" w:hAnsiTheme="minorHAnsi"/>
          <w:color w:val="auto"/>
          <w:kern w:val="2"/>
          <w:sz w:val="32"/>
          <w:szCs w:val="32"/>
          <w:lang w:val="en-US" w:eastAsia="zh-CN" w:bidi="ar-SA"/>
        </w:rPr>
        <w:t>紧扣教师可持续发展和内生成长需求，聚焦知识、技能和素质三大目标，邀请校内外专家开展学科前沿、教学技能、科研教改、研修交流等专题培训，岗前培训覆盖率达100%；遴选专业带头人，构建校级、省级、国家级创新教学团队和科创平台；出台，构建教师入企入校岗位实习、挂职锻炼、教学实践等常态化双向人才流动机制，鼓励教师到企业实践锻炼，支持教师参加国家或行业举办的专业技能培训，全面提升教师教育数字化教学水平和企业实践实战能力。</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b/>
          <w:bCs/>
          <w:color w:val="auto"/>
          <w:sz w:val="32"/>
          <w:szCs w:val="32"/>
          <w:lang w:val="en-US" w:eastAsia="zh-CN"/>
        </w:rPr>
      </w:pPr>
      <w:r>
        <w:rPr>
          <w:rFonts w:hint="eastAsia" w:ascii="仿宋_GB2312" w:eastAsia="仿宋_GB2312" w:cs="Times New Roman"/>
          <w:b/>
          <w:bCs/>
          <w:color w:val="auto"/>
          <w:sz w:val="32"/>
          <w:szCs w:val="32"/>
          <w:lang w:val="en-US" w:eastAsia="zh-CN"/>
        </w:rPr>
        <w:t>第三，整合多校优势专业，办学特色更加明显</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Hans"/>
        </w:rPr>
        <w:t>对接</w:t>
      </w:r>
      <w:r>
        <w:rPr>
          <w:rFonts w:hint="eastAsia" w:ascii="仿宋_GB2312" w:eastAsia="仿宋_GB2312" w:cs="Times New Roman"/>
          <w:color w:val="auto"/>
          <w:sz w:val="32"/>
          <w:szCs w:val="32"/>
          <w:lang w:val="en-US" w:eastAsia="zh-CN"/>
        </w:rPr>
        <w:t>番禺</w:t>
      </w:r>
      <w:r>
        <w:rPr>
          <w:rFonts w:hint="eastAsia" w:ascii="仿宋_GB2312" w:eastAsia="仿宋_GB2312" w:cs="Times New Roman"/>
          <w:color w:val="auto"/>
          <w:sz w:val="32"/>
          <w:szCs w:val="32"/>
          <w:lang w:val="en-US" w:eastAsia="zh-Hans"/>
        </w:rPr>
        <w:t>产业</w:t>
      </w:r>
      <w:r>
        <w:rPr>
          <w:rFonts w:hint="default" w:ascii="仿宋_GB2312" w:eastAsia="仿宋_GB2312" w:cs="Times New Roman"/>
          <w:color w:val="auto"/>
          <w:sz w:val="32"/>
          <w:szCs w:val="32"/>
          <w:lang w:val="en-US" w:eastAsia="zh-Hans"/>
        </w:rPr>
        <w:t>、</w:t>
      </w:r>
      <w:r>
        <w:rPr>
          <w:rFonts w:hint="eastAsia" w:ascii="仿宋_GB2312" w:eastAsia="仿宋_GB2312" w:cs="Times New Roman"/>
          <w:color w:val="auto"/>
          <w:sz w:val="32"/>
          <w:szCs w:val="32"/>
          <w:lang w:val="en-US" w:eastAsia="zh-Hans"/>
        </w:rPr>
        <w:t>高职专业</w:t>
      </w:r>
      <w:r>
        <w:rPr>
          <w:rFonts w:hint="eastAsia" w:ascii="仿宋_GB2312" w:eastAsia="仿宋_GB2312" w:cs="Times New Roman"/>
          <w:color w:val="auto"/>
          <w:sz w:val="32"/>
          <w:szCs w:val="32"/>
          <w:lang w:val="en-US" w:eastAsia="zh-CN"/>
        </w:rPr>
        <w:t>科学合理设置职校</w:t>
      </w:r>
      <w:r>
        <w:rPr>
          <w:rFonts w:hint="eastAsia" w:ascii="仿宋_GB2312" w:eastAsia="仿宋_GB2312" w:cs="Times New Roman"/>
          <w:color w:val="auto"/>
          <w:sz w:val="32"/>
          <w:szCs w:val="32"/>
          <w:lang w:val="en-US" w:eastAsia="zh-Hans"/>
        </w:rPr>
        <w:t>专业，形成一</w:t>
      </w:r>
      <w:r>
        <w:rPr>
          <w:rFonts w:hint="eastAsia" w:ascii="仿宋_GB2312" w:eastAsia="仿宋_GB2312" w:cs="Times New Roman"/>
          <w:color w:val="auto"/>
          <w:sz w:val="32"/>
          <w:szCs w:val="32"/>
          <w:lang w:val="en-US" w:eastAsia="zh-CN"/>
        </w:rPr>
        <w:t>校</w:t>
      </w:r>
      <w:r>
        <w:rPr>
          <w:rFonts w:hint="eastAsia" w:ascii="仿宋_GB2312" w:eastAsia="仿宋_GB2312" w:cs="Times New Roman"/>
          <w:color w:val="auto"/>
          <w:sz w:val="32"/>
          <w:szCs w:val="32"/>
          <w:lang w:val="en-US" w:eastAsia="zh-Hans"/>
        </w:rPr>
        <w:t>一特色，一学校一品牌专业，力求减少教学资源的大量重置和浪费。</w:t>
      </w:r>
      <w:r>
        <w:rPr>
          <w:rFonts w:hint="eastAsia" w:ascii="仿宋_GB2312" w:eastAsia="仿宋_GB2312" w:cs="Times New Roman"/>
          <w:color w:val="auto"/>
          <w:sz w:val="32"/>
          <w:szCs w:val="32"/>
          <w:lang w:val="en-US" w:eastAsia="zh-CN"/>
        </w:rPr>
        <w:t>强化校校合作育人、教师互聘、基地共享、学分互认、联合开发教学资源、深化培养模式改革、建立学分互认制度，建立跨校选课系统，开展教师互聘交流，跨校组织创新团队形成合力。</w:t>
      </w:r>
      <w:r>
        <w:rPr>
          <w:rFonts w:hint="eastAsia" w:ascii="仿宋_GB2312" w:eastAsia="仿宋_GB2312" w:cs="Times New Roman"/>
          <w:color w:val="auto"/>
          <w:sz w:val="32"/>
          <w:szCs w:val="32"/>
          <w:lang w:val="en-US" w:eastAsia="zh-Hans"/>
        </w:rPr>
        <w:t>三年内</w:t>
      </w:r>
      <w:r>
        <w:rPr>
          <w:rFonts w:hint="eastAsia" w:ascii="仿宋_GB2312" w:eastAsia="仿宋_GB2312" w:cs="Times New Roman"/>
          <w:color w:val="auto"/>
          <w:sz w:val="32"/>
          <w:szCs w:val="32"/>
          <w:lang w:val="en-US" w:eastAsia="zh-CN"/>
        </w:rPr>
        <w:t>组建1—2个涵盖行业企业的新型职业教育集团，打造1—2个</w:t>
      </w:r>
      <w:r>
        <w:rPr>
          <w:rFonts w:hint="eastAsia" w:ascii="仿宋_GB2312" w:eastAsia="仿宋_GB2312" w:cs="Times New Roman"/>
          <w:color w:val="auto"/>
          <w:sz w:val="32"/>
          <w:szCs w:val="32"/>
          <w:lang w:val="en-US" w:eastAsia="zh-Hans"/>
        </w:rPr>
        <w:t>省</w:t>
      </w:r>
      <w:r>
        <w:rPr>
          <w:rFonts w:hint="eastAsia" w:ascii="仿宋_GB2312" w:eastAsia="仿宋_GB2312" w:cs="Times New Roman"/>
          <w:color w:val="auto"/>
          <w:sz w:val="32"/>
          <w:szCs w:val="32"/>
          <w:lang w:val="en-US" w:eastAsia="zh-CN"/>
        </w:rPr>
        <w:t>内领先、具有</w:t>
      </w:r>
      <w:r>
        <w:rPr>
          <w:rFonts w:hint="eastAsia" w:ascii="仿宋_GB2312" w:eastAsia="仿宋_GB2312" w:cs="Times New Roman"/>
          <w:color w:val="auto"/>
          <w:sz w:val="32"/>
          <w:szCs w:val="32"/>
          <w:lang w:val="en-US" w:eastAsia="zh-Hans"/>
        </w:rPr>
        <w:t>国内</w:t>
      </w:r>
      <w:r>
        <w:rPr>
          <w:rFonts w:hint="eastAsia" w:ascii="仿宋_GB2312" w:eastAsia="仿宋_GB2312" w:cs="Times New Roman"/>
          <w:color w:val="auto"/>
          <w:sz w:val="32"/>
          <w:szCs w:val="32"/>
          <w:lang w:val="en-US" w:eastAsia="zh-CN"/>
        </w:rPr>
        <w:t>竞争力的</w:t>
      </w:r>
      <w:r>
        <w:rPr>
          <w:rFonts w:hint="eastAsia" w:ascii="仿宋_GB2312" w:eastAsia="仿宋_GB2312" w:cs="Times New Roman"/>
          <w:color w:val="auto"/>
          <w:sz w:val="32"/>
          <w:szCs w:val="32"/>
          <w:lang w:val="en-US" w:eastAsia="zh-Hans"/>
        </w:rPr>
        <w:t>中</w:t>
      </w:r>
      <w:r>
        <w:rPr>
          <w:rFonts w:hint="eastAsia" w:ascii="仿宋_GB2312" w:eastAsia="仿宋_GB2312" w:cs="Times New Roman"/>
          <w:color w:val="auto"/>
          <w:sz w:val="32"/>
          <w:szCs w:val="32"/>
          <w:lang w:val="en-US" w:eastAsia="zh-CN"/>
        </w:rPr>
        <w:t>职一流专业，建成3—5个在本市、全国有重要影响的职教品牌专业，布局一批对口培养的新兴优势骨干专业及实习实训基地。</w:t>
      </w:r>
      <w:r>
        <w:rPr>
          <w:rFonts w:hint="eastAsia" w:ascii="仿宋_GB2312" w:eastAsia="仿宋_GB2312" w:cs="Times New Roman"/>
          <w:color w:val="auto"/>
          <w:sz w:val="32"/>
          <w:szCs w:val="32"/>
          <w:lang w:val="en-US" w:eastAsia="zh-Hans"/>
        </w:rPr>
        <w:t>对各职业院校的综合办学能力与专业教学能力进行实质性的监控与考核评估</w:t>
      </w:r>
      <w:r>
        <w:rPr>
          <w:rFonts w:hint="eastAsia" w:ascii="仿宋_GB2312" w:eastAsia="仿宋_GB2312" w:cs="Times New Roman"/>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Times New Roman"/>
          <w:color w:val="auto"/>
          <w:sz w:val="32"/>
          <w:szCs w:val="32"/>
          <w:lang w:val="en-US" w:eastAsia="zh-Hans"/>
        </w:rPr>
      </w:pPr>
      <w:r>
        <w:rPr>
          <w:rFonts w:hint="eastAsia" w:ascii="仿宋_GB2312" w:eastAsia="仿宋_GB2312" w:cs="Times New Roman"/>
          <w:color w:val="auto"/>
          <w:sz w:val="32"/>
          <w:szCs w:val="32"/>
          <w:lang w:val="en-US" w:eastAsia="zh-Hans"/>
        </w:rPr>
        <w:t>建立动态的学校与专业调整的制度，对办学条件不达标、逐年萎缩或已经明显不适应市场经济发展要求的学校和专业，必须严格限制招生或停止招生，走差异化、特色化、与区域产业发展完全对接的职业院校错位发展道路。</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仿宋_GB2312" w:eastAsia="仿宋_GB2312" w:cs="Times New Roman"/>
          <w:b/>
          <w:bCs/>
          <w:color w:val="auto"/>
          <w:sz w:val="32"/>
          <w:szCs w:val="32"/>
          <w:lang w:val="en-US" w:eastAsia="zh-CN"/>
        </w:rPr>
      </w:pPr>
      <w:r>
        <w:rPr>
          <w:rFonts w:hint="eastAsia" w:ascii="仿宋_GB2312" w:eastAsia="仿宋_GB2312" w:cs="Times New Roman"/>
          <w:b/>
          <w:bCs/>
          <w:color w:val="auto"/>
          <w:sz w:val="32"/>
          <w:szCs w:val="32"/>
          <w:lang w:val="en-US" w:eastAsia="zh-CN"/>
        </w:rPr>
        <w:t>第四，统筹协调普职融通，推动社会悦纳支持</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一是由职业教育发展指导中心牵头组织研究在中小学中开展职业启蒙、认知、体验等教育，在职业学校设置中小学劳动教育基地，在中小学开设劳动教育课程，制定区域性的中小学劳动课程指引，指导中小学老师提高劳动教育素养，统筹协调普职融通发展。</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二是</w:t>
      </w:r>
      <w:r>
        <w:rPr>
          <w:rFonts w:hint="default" w:ascii="仿宋_GB2312" w:eastAsia="仿宋_GB2312" w:cs="Times New Roman"/>
          <w:color w:val="auto"/>
          <w:sz w:val="32"/>
          <w:szCs w:val="32"/>
          <w:lang w:val="en-US" w:eastAsia="zh-CN"/>
        </w:rPr>
        <w:t>促进职（职业教育）、成（成人教育）、</w:t>
      </w:r>
      <w:r>
        <w:rPr>
          <w:rFonts w:hint="eastAsia" w:ascii="仿宋_GB2312" w:eastAsia="仿宋_GB2312" w:cs="Times New Roman"/>
          <w:color w:val="auto"/>
          <w:sz w:val="32"/>
          <w:szCs w:val="32"/>
          <w:lang w:val="en-US" w:eastAsia="zh-CN"/>
        </w:rPr>
        <w:t>继（继续教育）</w:t>
      </w:r>
      <w:r>
        <w:rPr>
          <w:rFonts w:hint="default" w:ascii="仿宋_GB2312" w:eastAsia="仿宋_GB2312" w:cs="Times New Roman"/>
          <w:color w:val="auto"/>
          <w:sz w:val="32"/>
          <w:szCs w:val="32"/>
          <w:lang w:val="en-US" w:eastAsia="zh-CN"/>
        </w:rPr>
        <w:t>融合一体化发展，形成</w:t>
      </w:r>
      <w:r>
        <w:rPr>
          <w:rFonts w:hint="eastAsia" w:ascii="仿宋_GB2312" w:eastAsia="仿宋_GB2312" w:cs="Times New Roman"/>
          <w:color w:val="auto"/>
          <w:sz w:val="32"/>
          <w:szCs w:val="32"/>
          <w:lang w:val="en-US" w:eastAsia="zh-CN"/>
        </w:rPr>
        <w:t>可复制可推广的“三</w:t>
      </w:r>
      <w:r>
        <w:rPr>
          <w:rFonts w:hint="default" w:ascii="仿宋_GB2312" w:eastAsia="仿宋_GB2312" w:cs="Times New Roman"/>
          <w:color w:val="auto"/>
          <w:sz w:val="32"/>
          <w:szCs w:val="32"/>
          <w:lang w:val="en-US" w:eastAsia="zh-CN"/>
        </w:rPr>
        <w:t>教融合，共树品牌</w:t>
      </w:r>
      <w:r>
        <w:rPr>
          <w:rFonts w:hint="eastAsia" w:ascii="仿宋_GB2312" w:eastAsia="仿宋_GB2312" w:cs="Times New Roman"/>
          <w:color w:val="auto"/>
          <w:sz w:val="32"/>
          <w:szCs w:val="32"/>
          <w:lang w:val="en-US" w:eastAsia="zh-CN"/>
        </w:rPr>
        <w:t>”</w:t>
      </w:r>
      <w:r>
        <w:rPr>
          <w:rFonts w:hint="default" w:ascii="仿宋_GB2312" w:eastAsia="仿宋_GB2312" w:cs="Times New Roman"/>
          <w:color w:val="auto"/>
          <w:sz w:val="32"/>
          <w:szCs w:val="32"/>
          <w:lang w:val="en-US" w:eastAsia="zh-CN"/>
        </w:rPr>
        <w:t>的</w:t>
      </w:r>
      <w:r>
        <w:rPr>
          <w:rFonts w:hint="eastAsia" w:ascii="仿宋_GB2312" w:eastAsia="仿宋_GB2312" w:cs="Times New Roman"/>
          <w:color w:val="auto"/>
          <w:sz w:val="32"/>
          <w:szCs w:val="32"/>
          <w:lang w:val="en-US" w:eastAsia="zh-CN"/>
        </w:rPr>
        <w:t>番禺</w:t>
      </w:r>
      <w:r>
        <w:rPr>
          <w:rFonts w:hint="default" w:ascii="仿宋_GB2312" w:eastAsia="仿宋_GB2312" w:cs="Times New Roman"/>
          <w:color w:val="auto"/>
          <w:sz w:val="32"/>
          <w:szCs w:val="32"/>
          <w:lang w:val="en-US" w:eastAsia="zh-CN"/>
        </w:rPr>
        <w:t>教育办学</w:t>
      </w:r>
      <w:r>
        <w:rPr>
          <w:rFonts w:hint="eastAsia" w:ascii="仿宋_GB2312" w:eastAsia="仿宋_GB2312" w:cs="Times New Roman"/>
          <w:color w:val="auto"/>
          <w:sz w:val="32"/>
          <w:szCs w:val="32"/>
          <w:lang w:val="en-US" w:eastAsia="zh-CN"/>
        </w:rPr>
        <w:t>新名片</w:t>
      </w:r>
      <w:r>
        <w:rPr>
          <w:rFonts w:hint="default" w:ascii="仿宋_GB2312" w:eastAsia="仿宋_GB2312" w:cs="Times New Roman"/>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rPr>
          <w:rFonts w:hint="eastAsia" w:ascii="仿宋_GB2312" w:eastAsia="仿宋_GB2312" w:cs="Times New Roman" w:hAnsiTheme="minorHAnsi"/>
          <w:color w:val="auto"/>
          <w:kern w:val="2"/>
          <w:sz w:val="32"/>
          <w:szCs w:val="32"/>
          <w:lang w:val="en-US" w:eastAsia="zh-CN" w:bidi="ar-SA"/>
        </w:rPr>
      </w:pPr>
      <w:r>
        <w:rPr>
          <w:rFonts w:hint="eastAsia" w:ascii="仿宋_GB2312" w:eastAsia="仿宋_GB2312" w:cs="Times New Roman"/>
          <w:color w:val="auto"/>
          <w:sz w:val="32"/>
          <w:szCs w:val="32"/>
          <w:lang w:val="en-US" w:eastAsia="zh-CN"/>
        </w:rPr>
        <w:t>三是</w:t>
      </w:r>
      <w:r>
        <w:rPr>
          <w:rFonts w:hint="eastAsia" w:ascii="仿宋_GB2312" w:eastAsia="仿宋_GB2312" w:cs="Times New Roman" w:hAnsiTheme="minorHAnsi"/>
          <w:color w:val="auto"/>
          <w:kern w:val="2"/>
          <w:sz w:val="32"/>
          <w:szCs w:val="32"/>
          <w:lang w:val="en-US" w:eastAsia="zh-CN" w:bidi="ar-SA"/>
        </w:rPr>
        <w:t>围绕营造职业教育改革发展良好环境，积极做好职业教育宣传工作，借助多家媒体、多个平台、多条渠道，全面构建全</w:t>
      </w:r>
      <w:r>
        <w:rPr>
          <w:rFonts w:hint="eastAsia" w:ascii="仿宋_GB2312" w:eastAsia="仿宋_GB2312" w:cs="Times New Roman"/>
          <w:color w:val="auto"/>
          <w:kern w:val="2"/>
          <w:sz w:val="32"/>
          <w:szCs w:val="32"/>
          <w:lang w:val="en-US" w:eastAsia="zh-CN" w:bidi="ar-SA"/>
        </w:rPr>
        <w:t>区</w:t>
      </w:r>
      <w:r>
        <w:rPr>
          <w:rFonts w:hint="eastAsia" w:ascii="仿宋_GB2312" w:eastAsia="仿宋_GB2312" w:cs="Times New Roman" w:hAnsiTheme="minorHAnsi"/>
          <w:color w:val="auto"/>
          <w:kern w:val="2"/>
          <w:sz w:val="32"/>
          <w:szCs w:val="32"/>
          <w:lang w:val="en-US" w:eastAsia="zh-CN" w:bidi="ar-SA"/>
        </w:rPr>
        <w:t>职教宣传立体网络。持续在工作统筹、平台布局、队伍建设、主题策划等方面下功夫，讲好职教故事、传播职教声音、分享职教成果，引导激励全社会共同关心、广泛支持、积极参与职业教育。</w:t>
      </w:r>
      <w:r>
        <w:rPr>
          <w:rFonts w:hint="eastAsia" w:ascii="仿宋_GB2312" w:eastAsia="仿宋_GB2312" w:cs="Times New Roman"/>
          <w:color w:val="auto"/>
          <w:kern w:val="2"/>
          <w:sz w:val="32"/>
          <w:szCs w:val="32"/>
          <w:lang w:val="en-US" w:eastAsia="zh-CN" w:bidi="ar-SA"/>
        </w:rPr>
        <w:t>四是</w:t>
      </w:r>
      <w:r>
        <w:rPr>
          <w:rFonts w:hint="eastAsia" w:ascii="仿宋_GB2312" w:eastAsia="仿宋_GB2312" w:cs="Times New Roman" w:hAnsiTheme="minorHAnsi"/>
          <w:color w:val="auto"/>
          <w:kern w:val="2"/>
          <w:sz w:val="32"/>
          <w:szCs w:val="32"/>
          <w:lang w:val="en-US" w:eastAsia="zh-CN" w:bidi="ar-SA"/>
        </w:rPr>
        <w:t>紧跟职业教育发展的新形势新任务新要求，瞄准职业教育改革的重点、师生关心的热点和社会关切的焦点，一个时段确定一个主题，深入宣传报道职业教育改革的情况。先后围绕职业教育大会、中职阳光招生、“双高”“双优”建设、职业教育活动周、新职业教育法宣贯等主题进行策划，组织系列报道、重点报道、动态报道，进行全方位、多侧面、广角度宣传，营造良好环境氛围，有力服务推动全</w:t>
      </w:r>
      <w:r>
        <w:rPr>
          <w:rFonts w:hint="eastAsia" w:ascii="仿宋_GB2312" w:eastAsia="仿宋_GB2312" w:cs="Times New Roman"/>
          <w:color w:val="auto"/>
          <w:kern w:val="2"/>
          <w:sz w:val="32"/>
          <w:szCs w:val="32"/>
          <w:lang w:val="en-US" w:eastAsia="zh-CN" w:bidi="ar-SA"/>
        </w:rPr>
        <w:t>区</w:t>
      </w:r>
      <w:r>
        <w:rPr>
          <w:rFonts w:hint="eastAsia" w:ascii="仿宋_GB2312" w:eastAsia="仿宋_GB2312" w:cs="Times New Roman" w:hAnsiTheme="minorHAnsi"/>
          <w:color w:val="auto"/>
          <w:kern w:val="2"/>
          <w:sz w:val="32"/>
          <w:szCs w:val="32"/>
          <w:lang w:val="en-US" w:eastAsia="zh-CN" w:bidi="ar-SA"/>
        </w:rPr>
        <w:t>职业教育高质量发展。</w:t>
      </w:r>
    </w:p>
    <w:p>
      <w:pPr>
        <w:pStyle w:val="7"/>
        <w:keepNext w:val="0"/>
        <w:keepLines w:val="0"/>
        <w:pageBreakBefore w:val="0"/>
        <w:widowControl w:val="0"/>
        <w:kinsoku/>
        <w:wordWrap/>
        <w:overflowPunct/>
        <w:topLinePunct w:val="0"/>
        <w:autoSpaceDE/>
        <w:autoSpaceDN/>
        <w:bidi w:val="0"/>
        <w:adjustRightInd/>
        <w:spacing w:line="560" w:lineRule="exact"/>
        <w:textAlignment w:val="auto"/>
        <w:outlineLvl w:val="1"/>
      </w:pPr>
      <w:r>
        <w:rPr>
          <w:rFonts w:hint="eastAsia" w:ascii="仿宋_GB2312" w:eastAsia="仿宋_GB2312" w:cs="Times New Roman" w:hAnsiTheme="minorHAnsi"/>
          <w:color w:val="auto"/>
          <w:kern w:val="2"/>
          <w:sz w:val="32"/>
          <w:szCs w:val="32"/>
          <w:lang w:val="en-US" w:eastAsia="zh-CN" w:bidi="ar-SA"/>
        </w:rPr>
        <w:t>面对新情况新机遇，我们要锚定番禺高质量发展目标，在区委区政府的坚强领导下，强化使命担当，以“高位协调</w:t>
      </w:r>
      <w:r>
        <w:rPr>
          <w:rFonts w:hint="eastAsia" w:ascii="仿宋_GB2312" w:eastAsia="仿宋_GB2312" w:cs="Times New Roman"/>
          <w:color w:val="auto"/>
          <w:kern w:val="2"/>
          <w:sz w:val="32"/>
          <w:szCs w:val="32"/>
          <w:lang w:val="en-US" w:eastAsia="zh-CN" w:bidi="ar-SA"/>
        </w:rPr>
        <w:t>、</w:t>
      </w:r>
      <w:r>
        <w:rPr>
          <w:rFonts w:hint="eastAsia" w:ascii="仿宋_GB2312" w:eastAsia="仿宋_GB2312" w:cs="Times New Roman" w:hAnsiTheme="minorHAnsi"/>
          <w:color w:val="auto"/>
          <w:kern w:val="2"/>
          <w:sz w:val="32"/>
          <w:szCs w:val="32"/>
          <w:lang w:val="en-US" w:eastAsia="zh-CN" w:bidi="ar-SA"/>
        </w:rPr>
        <w:t>产教融合</w:t>
      </w:r>
      <w:r>
        <w:rPr>
          <w:rFonts w:hint="eastAsia" w:ascii="仿宋_GB2312" w:eastAsia="仿宋_GB2312" w:cs="Times New Roman"/>
          <w:color w:val="auto"/>
          <w:kern w:val="2"/>
          <w:sz w:val="32"/>
          <w:szCs w:val="32"/>
          <w:lang w:val="en-US" w:eastAsia="zh-CN" w:bidi="ar-SA"/>
        </w:rPr>
        <w:t>、</w:t>
      </w:r>
      <w:r>
        <w:rPr>
          <w:rFonts w:hint="eastAsia" w:ascii="仿宋_GB2312" w:eastAsia="仿宋_GB2312" w:cs="Times New Roman" w:hAnsiTheme="minorHAnsi"/>
          <w:color w:val="auto"/>
          <w:kern w:val="2"/>
          <w:sz w:val="32"/>
          <w:szCs w:val="32"/>
          <w:lang w:val="en-US" w:eastAsia="zh-CN" w:bidi="ar-SA"/>
        </w:rPr>
        <w:t>共树品牌”为主线持续推进构建番禺特色职业教育体系，奋力书写一张建功新时代的职业教育改革番禺答卷，为番禺高质量发展提供产业人才支撑。</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B1917"/>
    <w:multiLevelType w:val="singleLevel"/>
    <w:tmpl w:val="89FB1917"/>
    <w:lvl w:ilvl="0" w:tentative="0">
      <w:start w:val="1"/>
      <w:numFmt w:val="chineseCounting"/>
      <w:suff w:val="nothing"/>
      <w:lvlText w:val="第%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85312"/>
    <w:rsid w:val="19AF310D"/>
    <w:rsid w:val="30785312"/>
    <w:rsid w:val="3EB46592"/>
    <w:rsid w:val="485B3C34"/>
    <w:rsid w:val="4D924F20"/>
    <w:rsid w:val="67186C19"/>
    <w:rsid w:val="750067ED"/>
    <w:rsid w:val="7B44436E"/>
    <w:rsid w:val="7C3824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spacing w:after="0" w:line="360" w:lineRule="auto"/>
      <w:ind w:left="0" w:leftChars="0" w:firstLine="104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2023-02-06T03:13:00Z</dcterms:created>
  <dc:creator>D.y.s</dc:creator>
  <cp:lastModifiedBy>user</cp:lastModifiedBy>
  <dcterms:modified xsi:type="dcterms:W3CDTF">2023-12-04T02:52:33Z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049A000933B849558C38BED739404CC5</vt:lpwstr>
  </property>
</Properties>
</file>