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ascii="黑体" w:hAnsi="黑体" w:eastAsia="黑体" w:cs="黑体"/>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次会议提案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lang w:val="en-US" w:eastAsia="zh-CN"/>
              </w:rPr>
              <w:t>关于加强中学生职业生涯规划教育的建议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区政协工青妇组</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钟焕心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团区委</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团区委、区妇联、农工党番禺区委会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ascii="宋体"/>
          <w:sz w:val="30"/>
          <w:szCs w:val="30"/>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sectPr>
          <w:headerReference r:id="rId3" w:type="default"/>
          <w:pgSz w:w="11906" w:h="16838"/>
          <w:pgMar w:top="2098" w:right="1474" w:bottom="1984"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越来越严峻的就业形势引起了社会的广泛关注。这既与疫情影响社会经济发展有关，也与当前大学生缺乏对自我的全面正确认识，未能及早进行系统的职业生涯规划有关。很多学生进入大学学习后才发现自己并不喜欢自己的专业而影响学习兴趣和积极性，许多学生直到找工作时才发现自己对职业没有方向感。毕业即失业，成为了大学生的口头禅。教育部基础教育课程教材发展中心主任曹志祥认为，大学生能不能找到合适的工作，应该将工作做在前面，如果初、高中课程中涉及职业生涯教育的内容，各部门的压力可能不会像现在这样大。此外，广东省实施“3+1+2”新高考模式及高考志愿填报采取“专业+院校”方式，这也要求学生对未来将要从事的职业有比较全面的认知和规划，将对口专业和职业进行整体铺排谋划。这些都要求我们应该及早对学生开展职业生涯规划教育，让学生尽早认识自我、认识职业、认识教育与职业的关系，学会职业决策，从小根据自己感兴趣的职业目标，从知识、技能和综合素质方面锻炼自己的职业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中学生职业生涯规划教育还处于起步阶段，不少学校尚未开设专门课程，也未配置专职生涯规划老师，相关教学材料还需完善，体系尚不成熟。为进一步了解我区中学生的职业生涯规划现状，本提案组对我区6900多名中学生进行了问卷调查。调查结果显示，我区中学生职业生涯规划存在以下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一、中学生职业生涯规划意识不强。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区中学生的精力主要用于课程学习，对社会中对某种职业的能力要求和具体工作内容并不了解，对于自己到底适合什么职业也不是很明确，不少中学生单纯认为“考了高分,上了好大学,好工作就水到渠成”。调查表明，只有19%的中学生对于职业生涯规划非常了解，67%处于一知半解，14%的中学生学生是完全不了解。同时，对于将来的就业目标 ，近七成的中学生是不明确、不清楚的。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二、学校提供的职业生涯规划教育未能满足中学生需求。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教育一直走在前列，在职业生涯规划教育方面教育部门也做了大量工作，如依托名班主任工作室为主要平台，围绕高中学生发展指导下体悟式生涯班会和实践拓展活动进行探索和实践，通过家校社协同教育平台开展社会实践及职业规划拓展活动等，但与中学生的需求还有差距。根据调查，只有25%的学生认为目前接受职业生涯规划教育是充足的，高达75%认为不能满足其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三、社会面上关于职业信息宣传良莠不齐，容易对学生职业生涯规划造成负面影响。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显示，75%中学生通过网络平台和社交软件获得相关职业生涯规划资讯。然而网络上的信息良莠不齐，尤其在关于职业选择方面，网络上存在不少过度宣传的现象，比如“生化环材，四大天坑”、“劝人学医，天打雷劈”等，容易对中学生造成困惑和迷茫，甚至误导其职业选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充实校内职业生涯规划教育内容，将生涯规划教育与中小学综合实践活动相结合，加强生涯规划教育在各个学科教育中的渗透。建议由区教育部门牵头，各学校结合素质教育活动和“双减”政策实施，在整个中学阶段系统开展学生职业生涯规划教育活动，内容包括个人探索、职业探索、就业形势和政策、职业素质塑造、成功校友经验分享、职业体验等内容。其中，建议将个人素质测评和职业生涯规划方案编制作为必修项，尤其是针对即将毕业的中学生，要引导其通过编制职业生涯规划方案来规划自己的职业生涯，让学生对自己职业生涯规划有个比较清楚的认识与评价，明确奋斗目标、具体措施及进度安排等，时刻对照检查自己的职业生涯实施情况，教师还要及时点评、指导并帮助其及时修正与完善。有条件的学校还可配备专职职业生涯指导教师负责中学生职业生涯规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调动社会资源为中学生认识和体验职业生涯创造条件，建议由人社、科信、工商联、妇联、团委等部门链接资源，发动行业协会、产业园区、社会机构、企业、社会人士为中学生认识和体验职业生涯搭建平台。如邀请有关行业协会成员、企业家和高管作为校外辅导员，对学生进行职业引导；组织中学生走进产业园区、企业参观学习；组织开展职业体验的志愿活动和社会实践活动；将创新创业比赛延伸至中学校园，让中学生进行模拟比赛、模拟路演等。此外，建议充分发挥家庭教育作用，通过家长日常的正面引导以及带动子女参加社会实践、志愿服务活动和社区活动等，让学生子女更多了解社会，及早对社会分工、经济市场有所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强化网络正面引导。目前，网络已成为学生汇聚思考、交流思想的一个重要平台。建议区融媒体中心和区有关职能部门、学校充分利用官方网络宣传平台，引入或制作中学生喜闻乐见的节目或栏目，对各种职业进行客观、深入的展示，</w:t>
      </w:r>
      <w:r>
        <w:rPr>
          <w:rFonts w:hint="eastAsia" w:ascii="仿宋_GB2312" w:hAnsi="仿宋_GB2312" w:eastAsia="仿宋_GB2312" w:cs="仿宋_GB2312"/>
          <w:sz w:val="32"/>
          <w:szCs w:val="32"/>
          <w:rtl w:val="0"/>
          <w:lang w:val="en-US" w:eastAsia="zh-CN"/>
        </w:rPr>
        <w:t>加强</w:t>
      </w:r>
      <w:r>
        <w:rPr>
          <w:rFonts w:hint="eastAsia" w:ascii="仿宋_GB2312" w:hAnsi="仿宋_GB2312" w:eastAsia="仿宋_GB2312" w:cs="仿宋_GB2312"/>
          <w:sz w:val="32"/>
          <w:szCs w:val="32"/>
          <w:rtl w:val="0"/>
          <w:lang w:val="zh-TW" w:eastAsia="zh-TW"/>
        </w:rPr>
        <w:t>对社会职业观念的正确引导</w:t>
      </w:r>
      <w:r>
        <w:rPr>
          <w:rFonts w:hint="eastAsia" w:ascii="仿宋_GB2312" w:hAnsi="仿宋_GB2312" w:eastAsia="仿宋_GB2312" w:cs="仿宋_GB2312"/>
          <w:sz w:val="32"/>
          <w:szCs w:val="32"/>
          <w:rtl w:val="0"/>
          <w:lang w:val="zh-TW" w:eastAsia="zh-CN"/>
        </w:rPr>
        <w:t>。</w:t>
      </w:r>
    </w:p>
    <w:p>
      <w:pPr>
        <w:rPr>
          <w:rFonts w:hint="eastAsia"/>
          <w:lang w:val="en-US" w:eastAsia="zh-CN"/>
        </w:rPr>
      </w:pPr>
    </w:p>
    <w:p>
      <w:pPr>
        <w:rPr>
          <w:rFonts w:hint="eastAsia"/>
          <w:lang w:val="en-US" w:eastAsia="zh-CN"/>
        </w:rPr>
      </w:pPr>
    </w:p>
    <w:sectPr>
      <w:footerReference r:id="rId4" w:type="default"/>
      <w:pgSz w:w="11906" w:h="16838"/>
      <w:pgMar w:top="2098" w:right="1474" w:bottom="1984"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1B2D"/>
    <w:rsid w:val="005949D5"/>
    <w:rsid w:val="0C5D3EF7"/>
    <w:rsid w:val="0F072EC0"/>
    <w:rsid w:val="0F6F2765"/>
    <w:rsid w:val="129D2AD6"/>
    <w:rsid w:val="14383EA4"/>
    <w:rsid w:val="17576CA4"/>
    <w:rsid w:val="1BAD4810"/>
    <w:rsid w:val="22AB03DC"/>
    <w:rsid w:val="263B78CD"/>
    <w:rsid w:val="28CE79D0"/>
    <w:rsid w:val="2C2705C5"/>
    <w:rsid w:val="313E33D2"/>
    <w:rsid w:val="40EB6517"/>
    <w:rsid w:val="561D1B2D"/>
    <w:rsid w:val="59012204"/>
    <w:rsid w:val="5BB60D2A"/>
    <w:rsid w:val="5EA02967"/>
    <w:rsid w:val="62666CDF"/>
    <w:rsid w:val="67561A06"/>
    <w:rsid w:val="6DE62417"/>
    <w:rsid w:val="717021A8"/>
    <w:rsid w:val="746E5AC0"/>
    <w:rsid w:val="764D48FB"/>
    <w:rsid w:val="76C36B57"/>
    <w:rsid w:val="78B34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0" w:firstLineChars="200"/>
    </w:pPr>
    <w:rPr>
      <w:szCs w:val="22"/>
    </w:rPr>
  </w:style>
  <w:style w:type="paragraph" w:styleId="3">
    <w:name w:val="Body Text"/>
    <w:basedOn w:val="1"/>
    <w:qFormat/>
    <w:uiPriority w:val="0"/>
    <w:pPr>
      <w:spacing w:after="120"/>
    </w:pPr>
  </w:style>
  <w:style w:type="paragraph" w:styleId="4">
    <w:name w:val="Body Text Indent"/>
    <w:basedOn w:val="1"/>
    <w:qFormat/>
    <w:uiPriority w:val="0"/>
    <w:pPr>
      <w:ind w:firstLine="645"/>
    </w:pPr>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spacing w:after="0" w:line="360" w:lineRule="auto"/>
      <w:ind w:left="0" w:leftChars="0" w:firstLine="104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2021-12-31T03:34:00Z</dcterms:created>
  <dc:creator>Administrator</dc:creator>
  <cp:lastModifiedBy>user</cp:lastModifiedBy>
  <dcterms:modified xsi:type="dcterms:W3CDTF">2023-12-04T02:53:26Z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779CDBF613724812BF2BE37208906A55</vt:lpwstr>
  </property>
</Properties>
</file>