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74</w:t>
      </w:r>
      <w:r>
        <w:rPr>
          <w:rFonts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w:t>
      </w:r>
      <w:r>
        <w:rPr>
          <w:rFonts w:hint="eastAsia" w:ascii="方正小标宋_GBK" w:hAnsi="方正小标宋_GBK" w:eastAsia="方正小标宋_GBK" w:cs="方正小标宋_GBK"/>
          <w:sz w:val="44"/>
          <w:szCs w:val="44"/>
          <w:lang w:eastAsia="zh-CN"/>
        </w:rPr>
        <w:t>十五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二</w:t>
      </w:r>
      <w:r>
        <w:rPr>
          <w:rFonts w:hint="eastAsia" w:ascii="方正小标宋_GBK" w:hAnsi="方正小标宋_GBK" w:eastAsia="方正小标宋_GBK" w:cs="方正小标宋_GBK"/>
          <w:sz w:val="44"/>
          <w:szCs w:val="44"/>
        </w:rPr>
        <w:t>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91"/>
        <w:gridCol w:w="1530"/>
        <w:gridCol w:w="82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关于发挥律师队伍职能优势</w:t>
            </w:r>
          </w:p>
          <w:p>
            <w:pPr>
              <w:widowControl/>
              <w:jc w:val="center"/>
              <w:outlineLvl w:val="1"/>
              <w:rPr>
                <w:rFonts w:hint="eastAsia" w:ascii="仿宋_GB2312" w:hAnsi="宋体" w:eastAsia="仿宋_GB2312"/>
                <w:sz w:val="32"/>
                <w:szCs w:val="32"/>
                <w:lang w:eastAsia="zh-CN"/>
              </w:rPr>
            </w:pPr>
            <w:r>
              <w:rPr>
                <w:rFonts w:hint="eastAsia" w:ascii="仿宋_GB2312" w:hAnsi="宋体" w:eastAsia="仿宋_GB2312" w:cs="Times New Roman"/>
                <w:sz w:val="32"/>
                <w:szCs w:val="32"/>
                <w:lang w:val="en-US" w:eastAsia="zh-CN"/>
              </w:rPr>
              <w:t>参与法治政府建设的建议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政协洛浦街工作室</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联系人</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陈志煊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sz w:val="32"/>
                <w:szCs w:val="32"/>
              </w:rPr>
            </w:pPr>
            <w:r>
              <w:rPr>
                <w:rFonts w:hint="eastAsia" w:ascii="仿宋_GB2312" w:hAnsi="宋体" w:eastAsia="仿宋_GB2312"/>
                <w:sz w:val="32"/>
                <w:szCs w:val="32"/>
                <w:lang w:eastAsia="zh-CN"/>
              </w:rPr>
              <w:t>洛浦街道办事处</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1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宋体" w:eastAsia="仿宋_GB2312"/>
                <w:sz w:val="32"/>
                <w:szCs w:val="32"/>
              </w:rPr>
            </w:pPr>
            <w:r>
              <w:rPr>
                <w:rFonts w:hint="eastAsia" w:ascii="仿宋_GB2312" w:hAnsi="宋体" w:eastAsia="仿宋_GB2312"/>
                <w:sz w:val="32"/>
                <w:szCs w:val="32"/>
                <w:lang w:eastAsia="zh-CN"/>
              </w:rPr>
              <w:t>党工委副书记、工作室主任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办公电话</w:t>
            </w:r>
          </w:p>
        </w:tc>
        <w:tc>
          <w:tcPr>
            <w:tcW w:w="2150"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421"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bookmarkStart w:id="0" w:name="_GoBack"/>
            <w:bookmarkEnd w:id="0"/>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4"/>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4"/>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p>
    <w:p>
      <w:pPr>
        <w:widowControl/>
        <w:spacing w:beforeAutospacing="1" w:afterAutospacing="1"/>
        <w:rPr>
          <w:rFonts w:hint="eastAsia" w:ascii="Arial" w:hAnsi="Arial" w:cs="Arial"/>
          <w:b/>
          <w:bCs/>
          <w:color w:val="000000"/>
          <w:kern w:val="0"/>
          <w:sz w:val="32"/>
          <w:szCs w:val="32"/>
          <w:lang w:val="en-US" w:eastAsia="zh-CN"/>
        </w:rPr>
      </w:pPr>
    </w:p>
    <w:p>
      <w:pPr>
        <w:widowControl/>
        <w:spacing w:beforeAutospacing="1" w:afterAutospacing="1"/>
        <w:rPr>
          <w:rFonts w:hint="eastAsia" w:ascii="Arial" w:hAnsi="Arial" w:cs="Arial"/>
          <w:b/>
          <w:bCs/>
          <w:color w:val="000000"/>
          <w:kern w:val="0"/>
          <w:sz w:val="32"/>
          <w:szCs w:val="32"/>
          <w:lang w:val="en-US" w:eastAsia="zh-CN"/>
        </w:rPr>
        <w:sectPr>
          <w:pgSz w:w="11906" w:h="16838"/>
          <w:pgMar w:top="1440" w:right="1797" w:bottom="1440" w:left="179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理由：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律师是中国特色社会主义法治建设的重要力量，也是公共法律服务体系建设的重要组成部分。2021年，中共中央先后印发了《法治中国建设规划 （2020-2025年）》和《法治政府建设实施纲要（2021－2025年）》，提出到2022年基本形成覆盖城乡、便捷高效、均等普惠的现代公共法律服务体系，政府行为全面纳入法治轨道，职责明确、依法行政的政府治理体系日益健全。到2035年，法治国家、法治政府、法治社会基本建成，中国特色社会主义法治体系基本形成。同时，公共法律服务也是律师充分展示自己服务能力和水平的重要平台，律师队伍可以发挥专业优势，深入基层一线传递法治精神，服务基层法治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办法：</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坚持党建引领，积极发挥党员律师先锋模范作用。</w:t>
      </w:r>
      <w:r>
        <w:rPr>
          <w:rFonts w:hint="eastAsia" w:ascii="仿宋_GB2312" w:hAnsi="仿宋_GB2312" w:eastAsia="仿宋_GB2312" w:cs="仿宋_GB2312"/>
          <w:sz w:val="32"/>
          <w:szCs w:val="32"/>
        </w:rPr>
        <w:t>鼓励律师积极承担社会责任，参与公益普法活动。为律师参与公益法律服务搭建平台，例如镇街可以组建一支律师志愿者服务队，开展法律服务工作。一是组织律师志愿者到基层和群众中宣讲解读国家有关法律法规和文件政策的精神。二是选拔一批政治素质高、熟悉党建工作的律师为辖区内有法律服务需求的企业一对一开展“法治体检”和法律服务，帮助企业完善治理结构，健全管理制度，防范法律风险，维护合法权益，化解矛盾纠纷。三是把提供公益法律服务、履行社会责任列入律师上岗前培训和继续教育培训的必修内容。律师协会开展申请律师执业人员集中培训、行业领军人才培训、青年律师培训等培训活动时，要把公益法律服务培训作为重要内容。四是推动律师“双报到”活动，推动律师到居住地报到，发挥专业特长，积极参与疫情防控、垃圾分类、物业管理、法律咨询、便民服务等基层治理工作。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二、不断深化村（居）法律顾问工作，增强工作实效。</w:t>
      </w:r>
      <w:r>
        <w:rPr>
          <w:rStyle w:val="9"/>
          <w:rFonts w:hint="eastAsia" w:ascii="仿宋_GB2312" w:hAnsi="仿宋_GB2312" w:eastAsia="仿宋_GB2312" w:cs="仿宋_GB2312"/>
          <w:b w:val="0"/>
          <w:sz w:val="32"/>
          <w:szCs w:val="32"/>
        </w:rPr>
        <w:t>自2015年番禺区开展村（居）法律顾问工作以来，</w:t>
      </w:r>
      <w:r>
        <w:rPr>
          <w:rFonts w:hint="eastAsia" w:ascii="仿宋_GB2312" w:hAnsi="仿宋_GB2312" w:eastAsia="仿宋_GB2312" w:cs="仿宋_GB2312"/>
          <w:sz w:val="32"/>
          <w:szCs w:val="32"/>
        </w:rPr>
        <w:t>律师积极参与担任村（居）法律顾问，为村（居）民解答日常法律问题，提供法律意见，代写法律文书，举办法治讲座，开展法治宣传，参与矛盾纠纷调处，协助制定村规民约和其他管理规定，为村（居）治理提供法律意见等。以洛浦街为例，2021年，村（居）法律顾问共接待咨询539宗，出具专业法律意见60次，开展法治宣传活动99场，参与调解纠纷11次，为辖区社会稳定提供法治保障。同时，建议鼓励律师多</w:t>
      </w:r>
      <w:r>
        <w:rPr>
          <w:rStyle w:val="9"/>
          <w:rFonts w:hint="eastAsia" w:ascii="仿宋_GB2312" w:hAnsi="仿宋_GB2312" w:eastAsia="仿宋_GB2312" w:cs="仿宋_GB2312"/>
          <w:b w:val="0"/>
          <w:sz w:val="32"/>
          <w:szCs w:val="32"/>
        </w:rPr>
        <w:t>参与或主持调解工作，并允许他们能以兼职调解员身份按以案定补标准领取案件补贴，调动他们的积极性，促进基层矛盾纠纷及时化解。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三、组织律师队伍参与信访接待，引导信访群众理性表达诉求、依法维护权益。</w:t>
      </w:r>
      <w:r>
        <w:rPr>
          <w:rFonts w:hint="eastAsia" w:ascii="仿宋_GB2312" w:hAnsi="仿宋_GB2312" w:eastAsia="仿宋_GB2312" w:cs="仿宋_GB2312"/>
          <w:kern w:val="0"/>
          <w:sz w:val="32"/>
          <w:szCs w:val="32"/>
        </w:rPr>
        <w:t>鼓励律师志愿者积极参与镇街的信访接待工作，为信访群众提供法律咨询，解疑释惑，引导其通过合法、理性方式维权；参与信访协调，为双方当事人提供纠纷解决方案，提供法律意见、建议等，促成信访案件的解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四、形成制度，做好考核评价和正向激励。</w:t>
      </w:r>
      <w:r>
        <w:rPr>
          <w:rFonts w:hint="eastAsia" w:ascii="仿宋_GB2312" w:hAnsi="仿宋_GB2312" w:eastAsia="仿宋_GB2312" w:cs="仿宋_GB2312"/>
          <w:kern w:val="0"/>
          <w:sz w:val="32"/>
          <w:szCs w:val="32"/>
        </w:rPr>
        <w:t>一是客观考核评价，</w:t>
      </w:r>
      <w:r>
        <w:rPr>
          <w:rFonts w:hint="eastAsia" w:ascii="仿宋_GB2312" w:hAnsi="仿宋_GB2312" w:eastAsia="仿宋_GB2312" w:cs="仿宋_GB2312"/>
          <w:sz w:val="32"/>
          <w:szCs w:val="32"/>
        </w:rPr>
        <w:t>律师、律师事务所参与公益法律服务时应当注意保存相关工作记录。律师执业年度考核和律师事务所年度检查考核时，律师事务所和律师提供公益法律服务情况作为年度检查考核的内容，做实考核工作。二是鼓励正向激励，对在公益法律服务中表现突出的律师和律师事务所，优先推荐其参加评先推优、担任其他重要社会职务。律师协会在组织推选各级律师代表大会代表、理事、监事，选任专门（专业）委员会主任、副主任时，要把律师提供公益法律服务情况作为重要参考。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B1503"/>
    <w:multiLevelType w:val="singleLevel"/>
    <w:tmpl w:val="891B1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MTViYTJiMzUxOGVjY2NhZmY0NzZjMjVlYTg5NzMifQ=="/>
  </w:docVars>
  <w:rsids>
    <w:rsidRoot w:val="002242E2"/>
    <w:rsid w:val="00020B60"/>
    <w:rsid w:val="001828BA"/>
    <w:rsid w:val="002242E2"/>
    <w:rsid w:val="003361CD"/>
    <w:rsid w:val="003A1B7A"/>
    <w:rsid w:val="004B296F"/>
    <w:rsid w:val="007320AF"/>
    <w:rsid w:val="00756B5D"/>
    <w:rsid w:val="007F7658"/>
    <w:rsid w:val="00812762"/>
    <w:rsid w:val="00813734"/>
    <w:rsid w:val="0096510B"/>
    <w:rsid w:val="009A744F"/>
    <w:rsid w:val="009C6DFE"/>
    <w:rsid w:val="00A4238E"/>
    <w:rsid w:val="00A51E3B"/>
    <w:rsid w:val="00BB379F"/>
    <w:rsid w:val="00C34C4F"/>
    <w:rsid w:val="00CE6314"/>
    <w:rsid w:val="00FA5209"/>
    <w:rsid w:val="00FE2791"/>
    <w:rsid w:val="21027B4B"/>
    <w:rsid w:val="2E1C07F3"/>
    <w:rsid w:val="379A60B2"/>
    <w:rsid w:val="3AAD642C"/>
    <w:rsid w:val="3FC846C5"/>
    <w:rsid w:val="4050548A"/>
    <w:rsid w:val="482A0934"/>
    <w:rsid w:val="55925797"/>
    <w:rsid w:val="72F6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4">
    <w:name w:val="Body Text"/>
    <w:basedOn w:val="1"/>
    <w:qFormat/>
    <w:uiPriority w:val="0"/>
    <w:pPr>
      <w:spacing w:after="120" w:afterLines="0" w:afterAutospacing="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1481</Words>
  <Characters>1539</Characters>
  <Lines>9</Lines>
  <Paragraphs>2</Paragraphs>
  <TotalTime>10</TotalTime>
  <ScaleCrop>false</ScaleCrop>
  <LinksUpToDate>false</LinksUpToDate>
  <CharactersWithSpaces>1556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2022-05-19T07:22:00Z</dcterms:created>
  <dc:creator>sifasuo</dc:creator>
  <cp:lastModifiedBy>user</cp:lastModifiedBy>
  <dcterms:modified xsi:type="dcterms:W3CDTF">2023-12-04T02:54:22Z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92994F1603C34C918CE7745E8D969DFA</vt:lpwstr>
  </property>
</Properties>
</file>