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关于广州500千伏海珠输变电工程(番禺段)社会稳定风险评估前公示</w:t>
      </w:r>
    </w:p>
    <w:p>
      <w:pPr>
        <w:pStyle w:val="9"/>
        <w:rPr>
          <w:rFonts w:hint="eastAsia"/>
          <w:lang w:val="en-US" w:eastAsia="zh-CN"/>
        </w:rPr>
      </w:pPr>
    </w:p>
    <w:p>
      <w:pPr>
        <w:ind w:left="0" w:leftChars="0" w:firstLine="560" w:firstLineChars="200"/>
        <w:rPr>
          <w:rFonts w:hint="eastAsia"/>
          <w:lang w:val="en-US" w:eastAsia="zh-CN"/>
        </w:rPr>
      </w:pPr>
      <w:r>
        <w:rPr>
          <w:rFonts w:hint="eastAsia"/>
          <w:lang w:val="en-US" w:eastAsia="zh-CN"/>
        </w:rPr>
        <w:t>根据《国家发展改革委重大固定资产投资项目社会稳定风险评估暂行办法的通知》（发改投资﹝2012﹞2492号）和《关于印发重大固定资产投资项目社会稳定风险分析篇章和评估报告编制大纲（试行）的通知》（发改办投资﹝2013﹞428号）等相关文件的规定，广州市番禺区发展和改革局委托广东省国际工程咨询有限公司开展广州500千伏海珠输变电工程（番禺段）社会稳定风险评估工作。为广泛听取意见，现进行公示，征求项目周边公众对项目建设实施可能引发的社会稳定风险的意见和建议。</w:t>
      </w:r>
    </w:p>
    <w:p>
      <w:pPr>
        <w:pStyle w:val="9"/>
        <w:rPr>
          <w:rFonts w:hint="eastAsia"/>
          <w:lang w:val="en-US" w:eastAsia="zh-CN"/>
        </w:rPr>
      </w:pPr>
      <w:bookmarkStart w:id="0" w:name="_GoBack"/>
      <w:bookmarkEnd w:id="0"/>
    </w:p>
    <w:p>
      <w:pPr>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一、项目基本情况</w:t>
      </w:r>
    </w:p>
    <w:p>
      <w:pPr>
        <w:ind w:left="0" w:leftChars="0" w:firstLine="562" w:firstLineChars="200"/>
        <w:rPr>
          <w:rFonts w:hint="eastAsia"/>
          <w:lang w:val="en-US" w:eastAsia="zh-CN"/>
        </w:rPr>
      </w:pPr>
      <w:r>
        <w:rPr>
          <w:rFonts w:hint="eastAsia"/>
          <w:b/>
          <w:bCs/>
          <w:lang w:val="en-US" w:eastAsia="zh-CN"/>
        </w:rPr>
        <w:t>1.项目建设单位：</w:t>
      </w:r>
      <w:r>
        <w:rPr>
          <w:rFonts w:hint="eastAsia"/>
          <w:b w:val="0"/>
          <w:bCs w:val="0"/>
          <w:lang w:val="en-US" w:eastAsia="zh-CN"/>
        </w:rPr>
        <w:t>广东电网有限责任公司广州供电局</w:t>
      </w:r>
    </w:p>
    <w:p>
      <w:pPr>
        <w:ind w:left="0" w:leftChars="0" w:firstLine="562" w:firstLineChars="200"/>
        <w:rPr>
          <w:rFonts w:hint="default"/>
          <w:lang w:val="en-US" w:eastAsia="zh-CN"/>
        </w:rPr>
      </w:pPr>
      <w:r>
        <w:rPr>
          <w:rFonts w:hint="eastAsia"/>
          <w:b/>
          <w:bCs/>
          <w:lang w:val="en-US" w:eastAsia="zh-CN"/>
        </w:rPr>
        <w:t>2.项目地点：</w:t>
      </w:r>
      <w:r>
        <w:rPr>
          <w:rFonts w:hint="eastAsia"/>
          <w:b w:val="0"/>
          <w:bCs w:val="0"/>
          <w:lang w:val="en-US" w:eastAsia="zh-CN"/>
        </w:rPr>
        <w:t>广东省广州市番禺区小谷围街道、南村镇</w:t>
      </w:r>
    </w:p>
    <w:p>
      <w:pPr>
        <w:ind w:left="0" w:leftChars="0" w:firstLine="562" w:firstLineChars="200"/>
        <w:rPr>
          <w:rFonts w:hint="eastAsia"/>
          <w:lang w:eastAsia="zh-CN"/>
        </w:rPr>
      </w:pPr>
      <w:r>
        <w:rPr>
          <w:rFonts w:hint="eastAsia"/>
          <w:b/>
          <w:bCs/>
          <w:lang w:val="en-US" w:eastAsia="zh-CN"/>
        </w:rPr>
        <w:t>3.项目建设内容与规模：</w:t>
      </w:r>
      <w:r>
        <w:rPr>
          <w:rFonts w:hint="eastAsia"/>
          <w:lang w:val="en-US" w:eastAsia="zh-CN"/>
        </w:rPr>
        <w:t>新建电力隧道下穿南环高速公路、官洲水道、穗莞深琶洲支线铁路至大学城外环东路西侧绿化带，于大学城广外东路向南下穿七万公园至广中医路南侧绿化带，再下穿大学城中心湖、上跨地铁四号线至国医西路、大学城广美路北侧绿化带、再大学城外环西路地铁十二号线停车场西侧下穿地铁七号线及沥滘水道，沿平安路最后接通楚庭电力隧道16A#工作井（运行编号为6#井）。本工程在番禺境内新建电力隧道长度约10.7km。拟采用盾构法施工长度约9.67km，顶管法长度约0.18km；明挖法长度约0.85km。番禺段设置10个工作井，全部采用地下电缆的方式敷设。</w:t>
      </w:r>
    </w:p>
    <w:p>
      <w:pPr>
        <w:ind w:left="0" w:leftChars="0" w:firstLine="562" w:firstLineChars="200"/>
        <w:rPr>
          <w:rFonts w:hint="eastAsia" w:ascii="Times New Roman" w:hAnsi="Times New Roman"/>
          <w:szCs w:val="22"/>
          <w:lang w:val="en-US" w:eastAsia="zh-CN"/>
        </w:rPr>
      </w:pPr>
      <w:r>
        <w:rPr>
          <w:rFonts w:hint="eastAsia" w:ascii="Times New Roman" w:hAnsi="Times New Roman"/>
          <w:b/>
          <w:bCs/>
          <w:szCs w:val="22"/>
          <w:lang w:val="en-US" w:eastAsia="zh-CN"/>
        </w:rPr>
        <w:t>4.项目总投资：</w:t>
      </w:r>
      <w:r>
        <w:rPr>
          <w:rFonts w:hint="eastAsia" w:ascii="Times New Roman" w:hAnsi="Times New Roman"/>
          <w:szCs w:val="22"/>
          <w:lang w:val="en-US" w:eastAsia="zh-CN"/>
        </w:rPr>
        <w:t>总投资约</w:t>
      </w:r>
      <w:r>
        <w:rPr>
          <w:rFonts w:hint="eastAsia"/>
          <w:szCs w:val="22"/>
          <w:lang w:val="en-US" w:eastAsia="zh-CN"/>
        </w:rPr>
        <w:t>245291</w:t>
      </w:r>
      <w:r>
        <w:rPr>
          <w:rFonts w:hint="eastAsia" w:ascii="Times New Roman" w:hAnsi="Times New Roman"/>
          <w:szCs w:val="22"/>
          <w:lang w:val="en-US" w:eastAsia="zh-CN"/>
        </w:rPr>
        <w:t>万元。</w:t>
      </w:r>
    </w:p>
    <w:p>
      <w:pPr>
        <w:pStyle w:val="2"/>
        <w:ind w:left="0" w:leftChars="0" w:firstLine="0" w:firstLineChars="0"/>
        <w:jc w:val="center"/>
        <w:rPr>
          <w:rFonts w:hint="eastAsia"/>
          <w:lang w:val="en-US" w:eastAsia="zh-CN"/>
        </w:rPr>
      </w:pPr>
      <w:r>
        <w:drawing>
          <wp:inline distT="0" distB="0" distL="114300" distR="114300">
            <wp:extent cx="7954010" cy="5189220"/>
            <wp:effectExtent l="0" t="0" r="889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7954010" cy="5189220"/>
                    </a:xfrm>
                    <a:prstGeom prst="rect">
                      <a:avLst/>
                    </a:prstGeom>
                    <a:noFill/>
                    <a:ln>
                      <a:noFill/>
                    </a:ln>
                  </pic:spPr>
                </pic:pic>
              </a:graphicData>
            </a:graphic>
          </wp:inline>
        </w:drawing>
      </w:r>
    </w:p>
    <w:p>
      <w:pPr>
        <w:pStyle w:val="9"/>
        <w:ind w:left="0" w:leftChars="0"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图一  项目建设位置图</w:t>
      </w:r>
    </w:p>
    <w:p>
      <w:pPr>
        <w:ind w:left="0" w:leftChars="0" w:firstLine="0" w:firstLineChars="0"/>
        <w:rPr>
          <w:rFonts w:hint="eastAsia" w:ascii="黑体" w:hAnsi="黑体" w:eastAsia="黑体" w:cs="黑体"/>
          <w:b w:val="0"/>
          <w:bCs w:val="0"/>
          <w:lang w:val="en-US" w:eastAsia="zh-CN"/>
        </w:rPr>
      </w:pPr>
      <w:r>
        <w:rPr>
          <w:rFonts w:hint="eastAsia" w:ascii="黑体" w:hAnsi="黑体" w:eastAsia="黑体" w:cs="黑体"/>
          <w:b w:val="0"/>
          <w:bCs w:val="0"/>
          <w:lang w:val="en-US" w:eastAsia="zh-CN"/>
        </w:rPr>
        <w:t>二、征求公众意见范围及主要事项</w:t>
      </w:r>
    </w:p>
    <w:p>
      <w:pPr>
        <w:ind w:left="0" w:leftChars="0" w:firstLine="560" w:firstLineChars="200"/>
        <w:rPr>
          <w:rFonts w:hint="default"/>
          <w:lang w:val="en-US" w:eastAsia="zh-CN"/>
        </w:rPr>
      </w:pPr>
      <w:r>
        <w:rPr>
          <w:rFonts w:hint="default"/>
          <w:lang w:val="en-US" w:eastAsia="zh-CN"/>
        </w:rPr>
        <w:t>公示对象为项目周边群众、企事业单位和社会团体。</w:t>
      </w:r>
    </w:p>
    <w:p>
      <w:pPr>
        <w:ind w:left="0" w:leftChars="0" w:firstLine="560" w:firstLineChars="200"/>
        <w:rPr>
          <w:rFonts w:hint="default"/>
          <w:lang w:val="en-US" w:eastAsia="zh-CN"/>
        </w:rPr>
      </w:pPr>
      <w:r>
        <w:rPr>
          <w:rFonts w:hint="default"/>
          <w:lang w:val="en-US" w:eastAsia="zh-CN"/>
        </w:rPr>
        <w:t>征求各方面对项目建设实施及社会稳定风险评估工作的意见和建议。</w:t>
      </w:r>
    </w:p>
    <w:p>
      <w:pPr>
        <w:pStyle w:val="9"/>
        <w:rPr>
          <w:rFonts w:hint="default"/>
          <w:lang w:val="en-US" w:eastAsia="zh-CN"/>
        </w:rPr>
      </w:pPr>
    </w:p>
    <w:p>
      <w:pPr>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三、公示期</w:t>
      </w:r>
    </w:p>
    <w:p>
      <w:pPr>
        <w:ind w:left="0" w:leftChars="0" w:firstLine="560" w:firstLineChars="200"/>
        <w:rPr>
          <w:rFonts w:hint="default"/>
          <w:lang w:val="en-US" w:eastAsia="zh-CN"/>
        </w:rPr>
      </w:pPr>
      <w:r>
        <w:rPr>
          <w:rFonts w:hint="default"/>
          <w:lang w:val="en-US" w:eastAsia="zh-CN"/>
        </w:rPr>
        <w:t>202</w:t>
      </w:r>
      <w:r>
        <w:rPr>
          <w:rFonts w:hint="eastAsia"/>
          <w:lang w:val="en-US" w:eastAsia="zh-CN"/>
        </w:rPr>
        <w:t>4</w:t>
      </w:r>
      <w:r>
        <w:rPr>
          <w:rFonts w:hint="default"/>
          <w:lang w:val="en-US" w:eastAsia="zh-CN"/>
        </w:rPr>
        <w:t>年</w:t>
      </w:r>
      <w:r>
        <w:rPr>
          <w:rFonts w:hint="eastAsia"/>
          <w:lang w:val="en-US" w:eastAsia="zh-CN"/>
        </w:rPr>
        <w:t>8</w:t>
      </w:r>
      <w:r>
        <w:rPr>
          <w:rFonts w:hint="default"/>
          <w:lang w:val="en-US" w:eastAsia="zh-CN"/>
        </w:rPr>
        <w:t>月</w:t>
      </w:r>
      <w:r>
        <w:rPr>
          <w:rFonts w:hint="eastAsia"/>
          <w:lang w:val="en-US" w:eastAsia="zh-CN"/>
        </w:rPr>
        <w:t>7</w:t>
      </w:r>
      <w:r>
        <w:rPr>
          <w:rFonts w:hint="default"/>
          <w:lang w:val="en-US" w:eastAsia="zh-CN"/>
        </w:rPr>
        <w:t>日至202</w:t>
      </w:r>
      <w:r>
        <w:rPr>
          <w:rFonts w:hint="eastAsia"/>
          <w:lang w:val="en-US" w:eastAsia="zh-CN"/>
        </w:rPr>
        <w:t>4</w:t>
      </w:r>
      <w:r>
        <w:rPr>
          <w:rFonts w:hint="default"/>
          <w:lang w:val="en-US" w:eastAsia="zh-CN"/>
        </w:rPr>
        <w:t>年</w:t>
      </w:r>
      <w:r>
        <w:rPr>
          <w:rFonts w:hint="eastAsia"/>
          <w:lang w:val="en-US" w:eastAsia="zh-CN"/>
        </w:rPr>
        <w:t>8</w:t>
      </w:r>
      <w:r>
        <w:rPr>
          <w:rFonts w:hint="default"/>
          <w:lang w:val="en-US" w:eastAsia="zh-CN"/>
        </w:rPr>
        <w:t>月</w:t>
      </w:r>
      <w:r>
        <w:rPr>
          <w:rFonts w:hint="eastAsia"/>
          <w:lang w:val="en-US" w:eastAsia="zh-CN"/>
        </w:rPr>
        <w:t>13</w:t>
      </w:r>
      <w:r>
        <w:rPr>
          <w:rFonts w:hint="default"/>
          <w:lang w:val="en-US" w:eastAsia="zh-CN"/>
        </w:rPr>
        <w:t>日（共</w:t>
      </w:r>
      <w:r>
        <w:rPr>
          <w:rFonts w:hint="eastAsia"/>
          <w:lang w:val="en-US" w:eastAsia="zh-CN"/>
        </w:rPr>
        <w:t>7</w:t>
      </w:r>
      <w:r>
        <w:rPr>
          <w:rFonts w:hint="default"/>
          <w:lang w:val="en-US" w:eastAsia="zh-CN"/>
        </w:rPr>
        <w:t>个</w:t>
      </w:r>
      <w:r>
        <w:rPr>
          <w:rFonts w:hint="eastAsia"/>
          <w:lang w:val="en-US" w:eastAsia="zh-CN"/>
        </w:rPr>
        <w:t>日历天</w:t>
      </w:r>
      <w:r>
        <w:rPr>
          <w:rFonts w:hint="default"/>
          <w:lang w:val="en-US" w:eastAsia="zh-CN"/>
        </w:rPr>
        <w:t>）。</w:t>
      </w:r>
    </w:p>
    <w:p>
      <w:pPr>
        <w:pStyle w:val="9"/>
        <w:rPr>
          <w:rFonts w:hint="default"/>
          <w:lang w:val="en-US" w:eastAsia="zh-CN"/>
        </w:rPr>
      </w:pPr>
    </w:p>
    <w:p>
      <w:pPr>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四、征求公众意见的具体形式</w:t>
      </w:r>
    </w:p>
    <w:p>
      <w:pPr>
        <w:ind w:left="0" w:leftChars="0" w:firstLine="560" w:firstLineChars="200"/>
        <w:rPr>
          <w:rFonts w:hint="default"/>
          <w:lang w:val="en-US" w:eastAsia="zh-CN"/>
        </w:rPr>
      </w:pPr>
      <w:r>
        <w:rPr>
          <w:rFonts w:hint="default"/>
          <w:lang w:val="en-US" w:eastAsia="zh-CN"/>
        </w:rPr>
        <w:t>公示期内，受项目建设实施影响的居民群众、企事业单位和社会团体等可通过电子邮件、信函、电话等方式向社会稳定风险评估咨询机构阐述个人的意见和建议。</w:t>
      </w:r>
    </w:p>
    <w:p>
      <w:pPr>
        <w:pStyle w:val="9"/>
        <w:rPr>
          <w:rFonts w:hint="default"/>
          <w:lang w:val="en-US" w:eastAsia="zh-CN"/>
        </w:rPr>
      </w:pPr>
    </w:p>
    <w:p>
      <w:pPr>
        <w:ind w:left="0" w:leftChars="0" w:firstLine="560" w:firstLineChars="200"/>
        <w:rPr>
          <w:rFonts w:hint="default"/>
          <w:lang w:val="en-US" w:eastAsia="zh-CN"/>
        </w:rPr>
      </w:pPr>
      <w:r>
        <w:rPr>
          <w:rFonts w:hint="default"/>
          <w:lang w:val="en-US" w:eastAsia="zh-CN"/>
        </w:rPr>
        <w:t>社会稳定风险评估咨询服务机构：广东省国际工程咨询有限公司</w:t>
      </w:r>
    </w:p>
    <w:p>
      <w:pPr>
        <w:ind w:left="0" w:leftChars="0" w:firstLine="560" w:firstLineChars="200"/>
        <w:rPr>
          <w:rFonts w:hint="default"/>
          <w:lang w:val="en-US" w:eastAsia="zh-CN"/>
        </w:rPr>
      </w:pPr>
      <w:r>
        <w:rPr>
          <w:rFonts w:hint="default"/>
          <w:lang w:val="en-US" w:eastAsia="zh-CN"/>
        </w:rPr>
        <w:t>联系地址：广东省广州市越秀区环市中路316号金鹰大厦</w:t>
      </w:r>
      <w:r>
        <w:rPr>
          <w:rFonts w:hint="eastAsia"/>
          <w:lang w:val="en-US" w:eastAsia="zh-CN"/>
        </w:rPr>
        <w:t>13</w:t>
      </w:r>
      <w:r>
        <w:rPr>
          <w:rFonts w:hint="default"/>
          <w:lang w:val="en-US" w:eastAsia="zh-CN"/>
        </w:rPr>
        <w:t>楼</w:t>
      </w:r>
    </w:p>
    <w:p>
      <w:pPr>
        <w:ind w:left="0" w:leftChars="0" w:firstLine="560" w:firstLineChars="200"/>
        <w:rPr>
          <w:rFonts w:hint="default"/>
          <w:lang w:val="en-US" w:eastAsia="zh-CN"/>
        </w:rPr>
      </w:pPr>
      <w:r>
        <w:rPr>
          <w:rFonts w:hint="default"/>
          <w:lang w:val="en-US" w:eastAsia="zh-CN"/>
        </w:rPr>
        <w:t>联系人：</w:t>
      </w:r>
      <w:r>
        <w:rPr>
          <w:rFonts w:hint="eastAsia"/>
          <w:lang w:val="en-US" w:eastAsia="zh-CN"/>
        </w:rPr>
        <w:t>何</w:t>
      </w:r>
      <w:r>
        <w:rPr>
          <w:rFonts w:hint="default"/>
          <w:lang w:val="en-US" w:eastAsia="zh-CN"/>
        </w:rPr>
        <w:t>工</w:t>
      </w:r>
    </w:p>
    <w:p>
      <w:pPr>
        <w:ind w:left="0" w:leftChars="0" w:firstLine="560" w:firstLineChars="200"/>
        <w:rPr>
          <w:rFonts w:hint="default"/>
          <w:lang w:val="en-US" w:eastAsia="zh-CN"/>
        </w:rPr>
      </w:pPr>
      <w:r>
        <w:rPr>
          <w:rFonts w:hint="default"/>
          <w:lang w:val="en-US" w:eastAsia="zh-CN"/>
        </w:rPr>
        <w:t>电话：020-</w:t>
      </w:r>
      <w:r>
        <w:rPr>
          <w:rFonts w:hint="eastAsia"/>
          <w:lang w:val="en-US" w:eastAsia="zh-CN"/>
        </w:rPr>
        <w:t>83555197</w:t>
      </w:r>
    </w:p>
    <w:p>
      <w:pPr>
        <w:ind w:left="0" w:leftChars="0" w:firstLine="560" w:firstLineChars="200"/>
        <w:rPr>
          <w:rFonts w:hint="default"/>
          <w:lang w:val="en-US" w:eastAsia="zh-CN"/>
        </w:rPr>
      </w:pPr>
      <w:r>
        <w:rPr>
          <w:rFonts w:hint="default"/>
          <w:lang w:val="en-US" w:eastAsia="zh-CN"/>
        </w:rPr>
        <w:t>传真：020-83555197</w:t>
      </w:r>
    </w:p>
    <w:p>
      <w:pPr>
        <w:ind w:left="0" w:leftChars="0" w:firstLine="560" w:firstLineChars="200"/>
        <w:rPr>
          <w:rFonts w:hint="default"/>
          <w:lang w:val="en-US" w:eastAsia="zh-CN"/>
        </w:rPr>
      </w:pPr>
      <w:r>
        <w:rPr>
          <w:rFonts w:hint="default"/>
          <w:lang w:val="en-US" w:eastAsia="zh-CN"/>
        </w:rPr>
        <w:t>电子邮箱：</w:t>
      </w:r>
      <w:r>
        <w:rPr>
          <w:rFonts w:hint="eastAsia"/>
          <w:lang w:val="en-US" w:eastAsia="zh-CN"/>
        </w:rPr>
        <w:t>gdiecc6</w:t>
      </w:r>
      <w:r>
        <w:rPr>
          <w:rFonts w:hint="default"/>
          <w:lang w:val="en-US" w:eastAsia="zh-CN"/>
        </w:rPr>
        <w:t>@1</w:t>
      </w:r>
      <w:r>
        <w:rPr>
          <w:rFonts w:hint="eastAsia"/>
          <w:lang w:val="en-US" w:eastAsia="zh-CN"/>
        </w:rPr>
        <w:t>26.</w:t>
      </w:r>
      <w:r>
        <w:rPr>
          <w:rFonts w:hint="default"/>
          <w:lang w:val="en-US" w:eastAsia="zh-CN"/>
        </w:rPr>
        <w:t>com</w:t>
      </w:r>
    </w:p>
    <w:p>
      <w:pPr>
        <w:ind w:left="0" w:leftChars="0" w:firstLine="0" w:firstLineChars="0"/>
        <w:rPr>
          <w:rFonts w:hint="default"/>
          <w:lang w:val="en-US" w:eastAsia="zh-CN"/>
        </w:rPr>
      </w:pPr>
    </w:p>
    <w:p>
      <w:pPr>
        <w:pStyle w:val="9"/>
        <w:rPr>
          <w:rFonts w:hint="default"/>
          <w:lang w:val="en-US" w:eastAsia="zh-CN"/>
        </w:rPr>
      </w:pPr>
    </w:p>
    <w:p>
      <w:pPr>
        <w:rPr>
          <w:rFonts w:hint="default"/>
          <w:lang w:val="en-US" w:eastAsia="zh-CN"/>
        </w:rPr>
      </w:pPr>
    </w:p>
    <w:p>
      <w:pPr>
        <w:ind w:left="0" w:leftChars="0" w:firstLine="0" w:firstLineChars="0"/>
        <w:rPr>
          <w:rFonts w:hint="default"/>
          <w:lang w:val="en-US" w:eastAsia="zh-CN"/>
        </w:rPr>
      </w:pPr>
    </w:p>
    <w:sectPr>
      <w:pgSz w:w="16783" w:h="23757"/>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E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mZGU3OWRiMmM5MzE5Y2MwZWQyMTlmZGM0YjNhYjUifQ=="/>
  </w:docVars>
  <w:rsids>
    <w:rsidRoot w:val="71FE4F41"/>
    <w:rsid w:val="00F14AE0"/>
    <w:rsid w:val="040D2228"/>
    <w:rsid w:val="054E6291"/>
    <w:rsid w:val="064B20BB"/>
    <w:rsid w:val="088D4509"/>
    <w:rsid w:val="0D390312"/>
    <w:rsid w:val="135843C4"/>
    <w:rsid w:val="143E52FA"/>
    <w:rsid w:val="155E3572"/>
    <w:rsid w:val="15E41E23"/>
    <w:rsid w:val="18C519E9"/>
    <w:rsid w:val="198B6402"/>
    <w:rsid w:val="1C4B24C4"/>
    <w:rsid w:val="207F1A3B"/>
    <w:rsid w:val="20BB3C5C"/>
    <w:rsid w:val="24E66EA7"/>
    <w:rsid w:val="25DE2289"/>
    <w:rsid w:val="27A8712A"/>
    <w:rsid w:val="2990057B"/>
    <w:rsid w:val="336A12C5"/>
    <w:rsid w:val="362176F6"/>
    <w:rsid w:val="36E30F2C"/>
    <w:rsid w:val="37527F37"/>
    <w:rsid w:val="3A9B6A5C"/>
    <w:rsid w:val="3E261814"/>
    <w:rsid w:val="3FEC5B61"/>
    <w:rsid w:val="40B8629B"/>
    <w:rsid w:val="446946E3"/>
    <w:rsid w:val="46296310"/>
    <w:rsid w:val="49E14252"/>
    <w:rsid w:val="4BCA5316"/>
    <w:rsid w:val="50502721"/>
    <w:rsid w:val="572F025A"/>
    <w:rsid w:val="5749340A"/>
    <w:rsid w:val="58FF4B62"/>
    <w:rsid w:val="59361D9A"/>
    <w:rsid w:val="5BDB057C"/>
    <w:rsid w:val="5C961947"/>
    <w:rsid w:val="62FC33DB"/>
    <w:rsid w:val="669C779B"/>
    <w:rsid w:val="66B65937"/>
    <w:rsid w:val="6951693C"/>
    <w:rsid w:val="6A25405A"/>
    <w:rsid w:val="6CD333CB"/>
    <w:rsid w:val="712C6523"/>
    <w:rsid w:val="71FE4F41"/>
    <w:rsid w:val="734B5B89"/>
    <w:rsid w:val="74897568"/>
    <w:rsid w:val="7B487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qFormat/>
    <w:uiPriority w:val="0"/>
    <w:pPr>
      <w:ind w:firstLine="880" w:firstLineChars="200"/>
      <w:jc w:val="both"/>
    </w:pPr>
    <w:rPr>
      <w:rFonts w:ascii="Times New Roman" w:hAnsi="Times New Roman" w:eastAsia="仿宋_GB2312" w:cstheme="minorBidi"/>
      <w:kern w:val="2"/>
      <w:sz w:val="28"/>
    </w:rPr>
  </w:style>
  <w:style w:type="paragraph" w:styleId="3">
    <w:name w:val="heading 1"/>
    <w:basedOn w:val="1"/>
    <w:next w:val="1"/>
    <w:qFormat/>
    <w:uiPriority w:val="0"/>
    <w:pPr>
      <w:keepNext/>
      <w:keepLines/>
      <w:spacing w:before="200" w:beforeLines="200" w:after="200" w:afterLines="200" w:line="240" w:lineRule="auto"/>
      <w:ind w:firstLine="0" w:firstLineChars="0"/>
      <w:jc w:val="center"/>
      <w:outlineLvl w:val="0"/>
    </w:pPr>
    <w:rPr>
      <w:rFonts w:ascii="Times New Roman" w:hAnsi="Times New Roman" w:eastAsia="黑体" w:cs="Times New Roman"/>
      <w:bCs/>
      <w:kern w:val="44"/>
      <w:sz w:val="32"/>
      <w:szCs w:val="44"/>
    </w:rPr>
  </w:style>
  <w:style w:type="paragraph" w:styleId="4">
    <w:name w:val="heading 2"/>
    <w:basedOn w:val="1"/>
    <w:next w:val="1"/>
    <w:link w:val="13"/>
    <w:semiHidden/>
    <w:unhideWhenUsed/>
    <w:qFormat/>
    <w:uiPriority w:val="0"/>
    <w:pPr>
      <w:keepNext/>
      <w:keepLines/>
      <w:pBdr>
        <w:top w:val="none" w:color="auto" w:sz="0" w:space="1"/>
        <w:left w:val="none" w:color="auto" w:sz="0" w:space="4"/>
        <w:bottom w:val="none" w:color="auto" w:sz="0" w:space="1"/>
        <w:right w:val="none" w:color="auto" w:sz="0" w:space="4"/>
      </w:pBdr>
      <w:spacing w:before="50" w:beforeLines="50" w:after="50" w:afterLines="50"/>
      <w:ind w:firstLine="0" w:firstLineChars="0"/>
      <w:outlineLvl w:val="1"/>
    </w:pPr>
    <w:rPr>
      <w:rFonts w:ascii="Times New Roman" w:hAnsi="Times New Roman" w:eastAsia="黑体"/>
      <w:bCs/>
      <w:color w:val="000000"/>
      <w:szCs w:val="32"/>
      <w:u w:val="none"/>
      <w:lang w:eastAsia="en-US" w:bidi="en-US"/>
    </w:rPr>
  </w:style>
  <w:style w:type="paragraph" w:styleId="5">
    <w:name w:val="heading 3"/>
    <w:basedOn w:val="1"/>
    <w:next w:val="1"/>
    <w:semiHidden/>
    <w:unhideWhenUsed/>
    <w:qFormat/>
    <w:uiPriority w:val="0"/>
    <w:pPr>
      <w:keepNext/>
      <w:keepLines/>
      <w:spacing w:before="20" w:after="20" w:line="240" w:lineRule="auto"/>
      <w:ind w:firstLine="0" w:firstLineChars="0"/>
      <w:outlineLvl w:val="2"/>
    </w:pPr>
    <w:rPr>
      <w:rFonts w:ascii="Times New Roman" w:hAnsi="Times New Roman" w:eastAsia="黑体" w:cs="Times New Roman"/>
      <w:bCs/>
      <w:sz w:val="28"/>
      <w:szCs w:val="32"/>
    </w:rPr>
  </w:style>
  <w:style w:type="paragraph" w:styleId="6">
    <w:name w:val="heading 4"/>
    <w:basedOn w:val="1"/>
    <w:next w:val="1"/>
    <w:semiHidden/>
    <w:unhideWhenUsed/>
    <w:qFormat/>
    <w:uiPriority w:val="0"/>
    <w:pPr>
      <w:keepNext/>
      <w:keepLines/>
      <w:spacing w:before="120" w:beforeLines="0" w:beforeAutospacing="0" w:after="120" w:afterLines="0" w:afterAutospacing="0" w:line="240" w:lineRule="auto"/>
      <w:outlineLvl w:val="3"/>
    </w:pPr>
    <w:rPr>
      <w:rFonts w:ascii="Arial" w:hAnsi="Arial"/>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hint="eastAsia" w:hAnsi="Courier New" w:cs="Courier New"/>
      <w:szCs w:val="21"/>
    </w:rPr>
  </w:style>
  <w:style w:type="paragraph" w:styleId="7">
    <w:name w:val="Body Text"/>
    <w:basedOn w:val="1"/>
    <w:qFormat/>
    <w:uiPriority w:val="0"/>
    <w:pPr>
      <w:spacing w:after="120" w:afterLines="0" w:afterAutospacing="0"/>
    </w:pPr>
  </w:style>
  <w:style w:type="paragraph" w:styleId="8">
    <w:name w:val="toc 1"/>
    <w:basedOn w:val="1"/>
    <w:next w:val="1"/>
    <w:qFormat/>
    <w:uiPriority w:val="0"/>
    <w:pPr>
      <w:tabs>
        <w:tab w:val="left" w:pos="1050"/>
        <w:tab w:val="right" w:leader="dot" w:pos="9350"/>
      </w:tabs>
      <w:spacing w:line="240" w:lineRule="auto"/>
      <w:ind w:firstLine="0" w:firstLineChars="0"/>
      <w:jc w:val="left"/>
    </w:pPr>
    <w:rPr>
      <w:rFonts w:ascii="楷体_GB2312" w:hAnsi="楷体_GB2312" w:eastAsia="黑体"/>
      <w:b/>
      <w:bCs/>
      <w:kern w:val="0"/>
      <w:szCs w:val="32"/>
    </w:rPr>
  </w:style>
  <w:style w:type="paragraph" w:styleId="9">
    <w:name w:val="toc 2"/>
    <w:basedOn w:val="1"/>
    <w:next w:val="1"/>
    <w:qFormat/>
    <w:uiPriority w:val="0"/>
    <w:pPr>
      <w:spacing w:line="240" w:lineRule="auto"/>
      <w:ind w:left="420" w:leftChars="200"/>
    </w:pPr>
    <w:rPr>
      <w:rFonts w:ascii="Calibri" w:hAnsi="Calibri" w:eastAsia="仿宋_GB2312"/>
      <w:szCs w:val="2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3">
    <w:name w:val="标题 2 字符"/>
    <w:link w:val="4"/>
    <w:qFormat/>
    <w:uiPriority w:val="99"/>
    <w:rPr>
      <w:rFonts w:ascii="Times New Roman" w:hAnsi="Times New Roman" w:eastAsia="黑体" w:cs="Times New Roman"/>
      <w:bCs/>
      <w:color w:val="000000"/>
      <w:sz w:val="28"/>
      <w:szCs w:val="32"/>
      <w:u w:val="none"/>
      <w:lang w:eastAsia="en-US" w:bidi="en-US"/>
    </w:rPr>
  </w:style>
  <w:style w:type="character" w:customStyle="1" w:styleId="14">
    <w:name w:val="NormalCharacter"/>
    <w:link w:val="1"/>
    <w:semiHidden/>
    <w:qFormat/>
    <w:uiPriority w:val="0"/>
    <w:rPr>
      <w:rFonts w:ascii="Times New Roman" w:hAnsi="Times New Roman" w:eastAsia="仿宋_GB2312" w:cstheme="minorBidi"/>
      <w:kern w:val="2"/>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828</Words>
  <Characters>924</Characters>
  <Lines>0</Lines>
  <Paragraphs>0</Paragraphs>
  <TotalTime>0</TotalTime>
  <ScaleCrop>false</ScaleCrop>
  <LinksUpToDate>false</LinksUpToDate>
  <CharactersWithSpaces>926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2022-01-20T07:41:00Z</dcterms:created>
  <dc:creator>Bingo</dc:creator>
  <cp:lastModifiedBy>黄</cp:lastModifiedBy>
  <dcterms:modified xsi:type="dcterms:W3CDTF">2024-08-06T09:15:14Z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C434CA16CD7F4A25B59DE7F54365159A_12</vt:lpwstr>
  </property>
</Properties>
</file>