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jc w:val="left"/>
        <w:rPr>
          <w:rFonts w:ascii="方正小标宋简体" w:eastAsia="PMingLiU"/>
          <w:lang w:val="en-US"/>
        </w:rPr>
      </w:pPr>
      <w:bookmarkStart w:id="43" w:name="_GoBack"/>
      <w:bookmarkEnd w:id="43"/>
      <w:bookmarkStart w:id="0" w:name="bookmark0"/>
      <w:bookmarkStart w:id="1" w:name="bookmark1"/>
      <w:bookmarkStart w:id="2" w:name="bookmark2"/>
    </w:p>
    <w:p>
      <w:pPr>
        <w:pStyle w:val="10"/>
        <w:keepNext/>
        <w:keepLines/>
        <w:spacing w:before="0" w:after="0" w:line="360" w:lineRule="auto"/>
        <w:rPr>
          <w:rFonts w:ascii="方正小标宋简体" w:eastAsia="PMingLiU"/>
          <w:lang w:val="en-US"/>
        </w:rPr>
      </w:pPr>
    </w:p>
    <w:p>
      <w:pPr>
        <w:pStyle w:val="10"/>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市桥街中北片</w:t>
      </w:r>
      <w:r>
        <w:rPr>
          <w:rFonts w:hint="eastAsia" w:ascii="方正小标宋简体" w:eastAsia="方正小标宋简体"/>
          <w:b/>
          <w:bCs/>
          <w:sz w:val="44"/>
          <w:szCs w:val="44"/>
          <w:lang w:val="en-US"/>
        </w:rPr>
        <w:t>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末期</w:t>
      </w:r>
      <w:r>
        <w:rPr>
          <w:rFonts w:hint="eastAsia" w:ascii="方正小标宋简体" w:eastAsia="方正小标宋简体"/>
          <w:b/>
          <w:bCs/>
          <w:sz w:val="44"/>
          <w:szCs w:val="44"/>
        </w:rPr>
        <w:t>评估报告</w:t>
      </w:r>
      <w:bookmarkEnd w:id="0"/>
      <w:bookmarkEnd w:id="1"/>
      <w:bookmarkEnd w:id="2"/>
    </w:p>
    <w:p>
      <w:pPr>
        <w:pStyle w:val="10"/>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2023年9月1日—2024年8月31日</w:t>
      </w:r>
      <w:r>
        <w:rPr>
          <w:rFonts w:hint="eastAsia" w:ascii="方正小标宋简体" w:eastAsia="方正小标宋简体"/>
          <w:b/>
          <w:bCs/>
          <w:sz w:val="44"/>
          <w:szCs w:val="44"/>
          <w:lang w:eastAsia="zh-CN"/>
        </w:rPr>
        <w:t>）</w:t>
      </w: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_GB2312" w:hAnsi="仿宋" w:eastAsia="仿宋_GB2312"/>
          <w:sz w:val="32"/>
          <w:szCs w:val="32"/>
        </w:rPr>
      </w:pPr>
    </w:p>
    <w:p>
      <w:pPr>
        <w:pStyle w:val="12"/>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2"/>
        <w:spacing w:after="0" w:line="560" w:lineRule="exact"/>
        <w:ind w:firstLine="1686"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市桥街</w:t>
      </w:r>
      <w:r>
        <w:rPr>
          <w:rFonts w:hint="eastAsia" w:ascii="仿宋_GB2312" w:hAnsi="仿宋" w:eastAsia="仿宋_GB2312"/>
          <w:b/>
          <w:sz w:val="32"/>
          <w:szCs w:val="32"/>
          <w:lang w:val="en-US"/>
        </w:rPr>
        <w:t>道办事处</w:t>
      </w:r>
    </w:p>
    <w:p>
      <w:pPr>
        <w:pStyle w:val="12"/>
        <w:spacing w:after="0" w:line="560" w:lineRule="exact"/>
        <w:ind w:firstLine="1686" w:firstLineChars="525"/>
        <w:jc w:val="both"/>
        <w:rPr>
          <w:rFonts w:hint="eastAsia" w:ascii="仿宋_GB2312" w:hAnsi="仿宋" w:eastAsia="仿宋_GB2312"/>
          <w:b/>
          <w:sz w:val="32"/>
          <w:szCs w:val="32"/>
          <w:lang w:eastAsia="zh-CN"/>
        </w:rPr>
      </w:pPr>
      <w:r>
        <w:rPr>
          <w:rFonts w:hint="eastAsia" w:ascii="仿宋_GB2312" w:hAnsi="仿宋" w:eastAsia="仿宋_GB2312"/>
          <w:b/>
          <w:sz w:val="32"/>
          <w:szCs w:val="32"/>
        </w:rPr>
        <w:t>项目承办方：广州市番禺区</w:t>
      </w:r>
      <w:r>
        <w:rPr>
          <w:rFonts w:hint="eastAsia" w:ascii="仿宋_GB2312" w:hAnsi="仿宋" w:eastAsia="仿宋_GB2312"/>
          <w:b/>
          <w:sz w:val="32"/>
          <w:szCs w:val="32"/>
          <w:lang w:eastAsia="zh-CN"/>
        </w:rPr>
        <w:t>正阳社会工作服务中心</w:t>
      </w:r>
    </w:p>
    <w:p>
      <w:pPr>
        <w:pStyle w:val="12"/>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2"/>
        <w:spacing w:after="0" w:line="560" w:lineRule="exact"/>
        <w:ind w:firstLine="1686"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5"/>
      <w:bookmarkStart w:id="4" w:name="bookmark4"/>
      <w:bookmarkStart w:id="5" w:name="bookmark3"/>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8</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7</w:t>
      </w:r>
      <w:r>
        <w:rPr>
          <w:rFonts w:hint="eastAsia" w:ascii="仿宋_GB2312" w:hAnsi="仿宋" w:eastAsia="仿宋_GB2312" w:cs="Times New Roman"/>
          <w:b/>
          <w:sz w:val="32"/>
          <w:szCs w:val="32"/>
          <w:lang w:eastAsia="zh-CN"/>
        </w:rPr>
        <w:t>日</w:t>
      </w: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2"/>
        <w:spacing w:after="0" w:line="240" w:lineRule="auto"/>
        <w:ind w:firstLine="0"/>
        <w:rPr>
          <w:rFonts w:eastAsia="PMingLiU"/>
        </w:rPr>
      </w:pPr>
    </w:p>
    <w:p>
      <w:pPr>
        <w:pStyle w:val="10"/>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市桥街中北片</w:t>
      </w:r>
      <w:r>
        <w:rPr>
          <w:rFonts w:ascii="方正小标宋简体" w:eastAsia="方正小标宋简体"/>
          <w:b/>
          <w:bCs/>
          <w:lang w:val="en-US"/>
        </w:rPr>
        <w:t>社工服务站</w:t>
      </w:r>
      <w:r>
        <w:rPr>
          <w:rFonts w:hint="eastAsia" w:ascii="方正小标宋简体" w:eastAsia="方正小标宋简体"/>
          <w:b/>
          <w:bCs/>
          <w:lang w:val="en-US" w:eastAsia="zh-CN"/>
        </w:rPr>
        <w:t>末期</w:t>
      </w:r>
      <w:r>
        <w:rPr>
          <w:rFonts w:ascii="方正小标宋简体" w:eastAsia="方正小标宋简体"/>
          <w:b/>
          <w:bCs/>
          <w:lang w:val="en-US"/>
        </w:rPr>
        <w:t>评估报告</w:t>
      </w:r>
      <w:bookmarkEnd w:id="3"/>
      <w:bookmarkEnd w:id="4"/>
      <w:bookmarkEnd w:id="5"/>
    </w:p>
    <w:p>
      <w:pPr>
        <w:pStyle w:val="10"/>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2023年9月1日—2024年8月31日</w:t>
      </w:r>
      <w:r>
        <w:rPr>
          <w:rFonts w:hint="eastAsia" w:ascii="方正小标宋简体" w:eastAsia="方正小标宋简体"/>
          <w:b/>
          <w:bCs/>
          <w:sz w:val="44"/>
          <w:szCs w:val="44"/>
          <w:lang w:eastAsia="zh-CN"/>
        </w:rPr>
        <w:t>）</w:t>
      </w:r>
    </w:p>
    <w:p>
      <w:pPr>
        <w:pStyle w:val="10"/>
        <w:keepNext/>
        <w:keepLines/>
        <w:spacing w:before="0" w:after="0" w:line="560" w:lineRule="exact"/>
        <w:jc w:val="both"/>
        <w:rPr>
          <w:rFonts w:ascii="方正小标宋简体" w:eastAsia="方正小标宋简体"/>
          <w:lang w:val="en-US"/>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市桥街中北片</w:t>
      </w:r>
      <w:r>
        <w:rPr>
          <w:rFonts w:hint="eastAsia" w:ascii="仿宋_GB2312" w:eastAsia="仿宋_GB2312"/>
          <w:sz w:val="32"/>
          <w:szCs w:val="32"/>
        </w:rPr>
        <w:t>社工服务站（简称</w:t>
      </w:r>
      <w:r>
        <w:rPr>
          <w:rFonts w:hint="eastAsia" w:ascii="仿宋_GB2312" w:eastAsia="仿宋_GB2312"/>
          <w:sz w:val="32"/>
          <w:szCs w:val="32"/>
          <w:lang w:val="en-US" w:eastAsia="zh-CN"/>
        </w:rPr>
        <w:t>市桥街中北片</w:t>
      </w:r>
      <w:r>
        <w:rPr>
          <w:rFonts w:hint="eastAsia" w:ascii="仿宋_GB2312" w:eastAsia="仿宋_GB2312"/>
          <w:sz w:val="32"/>
          <w:szCs w:val="32"/>
        </w:rPr>
        <w:t>社工站）</w:t>
      </w:r>
      <w:r>
        <w:rPr>
          <w:rFonts w:hint="eastAsia" w:ascii="仿宋_GB2312" w:eastAsia="仿宋_GB2312"/>
          <w:sz w:val="32"/>
          <w:szCs w:val="32"/>
          <w:lang w:eastAsia="zh-CN"/>
        </w:rPr>
        <w:t>末期</w:t>
      </w:r>
      <w:r>
        <w:rPr>
          <w:rFonts w:hint="eastAsia" w:ascii="仿宋_GB2312" w:eastAsia="仿宋_GB2312"/>
          <w:sz w:val="32"/>
          <w:szCs w:val="32"/>
        </w:rPr>
        <w:t>报告，是专业评估人员通过对</w:t>
      </w:r>
      <w:r>
        <w:rPr>
          <w:rFonts w:hint="eastAsia" w:ascii="仿宋_GB2312" w:eastAsia="仿宋_GB2312"/>
          <w:sz w:val="32"/>
          <w:szCs w:val="32"/>
          <w:lang w:val="en-US" w:eastAsia="zh-CN"/>
        </w:rPr>
        <w:t>市桥街中北片</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市桥街中北片</w:t>
      </w:r>
      <w:r>
        <w:rPr>
          <w:rFonts w:hint="eastAsia" w:ascii="仿宋_GB2312" w:eastAsia="仿宋_GB2312"/>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末期</w:t>
      </w:r>
      <w:r>
        <w:rPr>
          <w:rFonts w:hint="eastAsia" w:ascii="方正小标宋简体" w:eastAsia="方正小标宋简体"/>
          <w:b/>
          <w:sz w:val="32"/>
          <w:szCs w:val="32"/>
        </w:rPr>
        <w:t>评估背景</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2024年8月7日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市桥街中北片</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市桥街中北片社工站</w:t>
      </w:r>
      <w:r>
        <w:rPr>
          <w:rFonts w:hint="eastAsia" w:ascii="仿宋_GB2312" w:eastAsia="仿宋_GB2312"/>
          <w:sz w:val="32"/>
          <w:szCs w:val="32"/>
        </w:rPr>
        <w:t>的项目管理、服务开展情况以及项目成效等方面进行评估。评估团队主要完成了以下几方面的工作：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2"/>
        <w:keepNext w:val="0"/>
        <w:keepLines w:val="0"/>
        <w:pageBreakBefore w:val="0"/>
        <w:widowControl w:val="0"/>
        <w:tabs>
          <w:tab w:val="left" w:pos="952"/>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2"/>
        <w:keepNext w:val="0"/>
        <w:keepLines w:val="0"/>
        <w:pageBreakBefore w:val="0"/>
        <w:widowControl w:val="0"/>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2"/>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2"/>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2"/>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番禺区民政局会同番禺区社会组织联合会根据最新管理办法要求及市桥街中北片社工站项目合同期限确定评估时间，制定好评估计划和评估通知。</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市桥街中北片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2"/>
        <w:keepNext w:val="0"/>
        <w:keepLines w:val="0"/>
        <w:pageBreakBefore w:val="0"/>
        <w:widowControl w:val="0"/>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评估小组根据评估计划组织实施，对市桥街中北片社工站提供的材料进行审阅，实地考察，进行现场评估并打分。评估小组根据公平、公正的原则，严格按照评估要求，对市桥街中北片社工站进行评估工作。</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市桥街道办事处及市桥街中北片社工服务站反馈初评意见，对评估结果、存在问题及改进建议等进行沟通确认。</w:t>
      </w:r>
    </w:p>
    <w:p>
      <w:pPr>
        <w:pStyle w:val="12"/>
        <w:keepNext w:val="0"/>
        <w:keepLines w:val="0"/>
        <w:pageBreakBefore w:val="0"/>
        <w:widowControl w:val="0"/>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在评估工作结束后10个工作日内，向番禺区民政局、市桥街道办事处及市桥街中北片社工服务站各出具一份评估报告，提出项目存在的问题及改进建议。</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市桥街中北片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2"/>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2"/>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市桥街中北片</w:t>
      </w:r>
      <w:r>
        <w:rPr>
          <w:rFonts w:hint="eastAsia" w:ascii="仿宋_GB2312" w:eastAsia="仿宋_GB2312"/>
          <w:sz w:val="32"/>
          <w:szCs w:val="32"/>
        </w:rPr>
        <w:t>社工站</w:t>
      </w:r>
      <w:r>
        <w:rPr>
          <w:rFonts w:hint="eastAsia" w:ascii="仿宋_GB2312" w:eastAsia="仿宋_GB2312"/>
          <w:sz w:val="32"/>
          <w:szCs w:val="32"/>
          <w:lang w:eastAsia="zh-CN"/>
        </w:rPr>
        <w:t>主要服务于市桥街中片、北片</w:t>
      </w:r>
      <w:r>
        <w:rPr>
          <w:rFonts w:hint="eastAsia" w:ascii="仿宋_GB2312" w:eastAsia="仿宋_GB2312"/>
          <w:sz w:val="32"/>
          <w:szCs w:val="32"/>
        </w:rPr>
        <w:t>，</w:t>
      </w:r>
      <w:r>
        <w:rPr>
          <w:rFonts w:hint="eastAsia" w:ascii="仿宋_GB2312" w:eastAsia="仿宋_GB2312"/>
          <w:sz w:val="32"/>
          <w:szCs w:val="32"/>
          <w:lang w:eastAsia="zh-CN"/>
        </w:rPr>
        <w:t>中</w:t>
      </w:r>
      <w:r>
        <w:rPr>
          <w:rFonts w:hint="eastAsia" w:ascii="仿宋_GB2312" w:eastAsia="仿宋_GB2312"/>
          <w:sz w:val="32"/>
          <w:szCs w:val="32"/>
        </w:rPr>
        <w:t>片</w:t>
      </w:r>
      <w:r>
        <w:rPr>
          <w:rFonts w:hint="eastAsia" w:ascii="仿宋_GB2312" w:eastAsia="仿宋_GB2312"/>
          <w:sz w:val="32"/>
          <w:szCs w:val="32"/>
          <w:lang w:eastAsia="zh-CN"/>
        </w:rPr>
        <w:t>社工站地址是</w:t>
      </w:r>
      <w:r>
        <w:rPr>
          <w:rFonts w:hint="eastAsia" w:ascii="仿宋_GB2312" w:eastAsia="仿宋_GB2312"/>
          <w:sz w:val="32"/>
          <w:szCs w:val="32"/>
        </w:rPr>
        <w:t>市桥街海傍路82号</w:t>
      </w:r>
      <w:r>
        <w:rPr>
          <w:rFonts w:hint="eastAsia" w:ascii="仿宋_GB2312" w:eastAsia="仿宋_GB2312"/>
          <w:sz w:val="32"/>
          <w:szCs w:val="32"/>
          <w:lang w:eastAsia="zh-CN"/>
        </w:rPr>
        <w:t>，北</w:t>
      </w:r>
      <w:r>
        <w:rPr>
          <w:rFonts w:hint="eastAsia" w:ascii="仿宋_GB2312" w:eastAsia="仿宋_GB2312"/>
          <w:sz w:val="32"/>
          <w:szCs w:val="32"/>
        </w:rPr>
        <w:t>片</w:t>
      </w:r>
      <w:r>
        <w:rPr>
          <w:rFonts w:hint="eastAsia" w:ascii="仿宋_GB2312" w:eastAsia="仿宋_GB2312"/>
          <w:sz w:val="32"/>
          <w:szCs w:val="32"/>
          <w:lang w:eastAsia="zh-CN"/>
        </w:rPr>
        <w:t>社工站地址是：</w:t>
      </w:r>
      <w:r>
        <w:rPr>
          <w:rFonts w:hint="eastAsia" w:ascii="仿宋_GB2312" w:eastAsia="仿宋_GB2312"/>
          <w:sz w:val="32"/>
          <w:szCs w:val="32"/>
        </w:rPr>
        <w:t>市桥街康裕西园7街12座旁</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20年</w:t>
      </w:r>
      <w:r>
        <w:rPr>
          <w:rFonts w:hint="eastAsia" w:ascii="仿宋_GB2312" w:eastAsia="仿宋_GB2312"/>
          <w:sz w:val="32"/>
          <w:szCs w:val="32"/>
        </w:rPr>
        <w:t>至今，由</w:t>
      </w:r>
      <w:r>
        <w:rPr>
          <w:rFonts w:hint="eastAsia" w:ascii="仿宋_GB2312" w:eastAsia="仿宋_GB2312"/>
          <w:sz w:val="32"/>
          <w:szCs w:val="32"/>
          <w:lang w:val="en-US" w:eastAsia="zh-CN"/>
        </w:rPr>
        <w:t>广州市番禺区正阳社会工作服务中心</w:t>
      </w:r>
      <w:r>
        <w:rPr>
          <w:rFonts w:hint="eastAsia" w:ascii="仿宋_GB2312" w:eastAsia="仿宋_GB2312"/>
          <w:sz w:val="32"/>
          <w:szCs w:val="32"/>
        </w:rPr>
        <w:t>负责运营。</w:t>
      </w:r>
      <w:r>
        <w:rPr>
          <w:rFonts w:hint="eastAsia" w:ascii="仿宋_GB2312" w:eastAsia="仿宋_GB2312"/>
          <w:sz w:val="32"/>
          <w:szCs w:val="32"/>
          <w:lang w:eastAsia="zh-CN"/>
        </w:rPr>
        <w:t>市桥街中北片</w:t>
      </w:r>
      <w:r>
        <w:rPr>
          <w:rFonts w:hint="eastAsia" w:ascii="仿宋_GB2312" w:eastAsia="仿宋_GB2312"/>
          <w:sz w:val="32"/>
          <w:szCs w:val="32"/>
        </w:rPr>
        <w:t>社工站主要服务包括：党建引领服务、基本民生保障、基本社会服务、基本社区治理四大板块。</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截至</w:t>
      </w:r>
      <w:r>
        <w:rPr>
          <w:rFonts w:hint="eastAsia" w:ascii="仿宋_GB2312" w:hAnsi="Times New Roman" w:eastAsia="仿宋_GB2312" w:cs="Times New Roman"/>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hAnsi="Times New Roman" w:eastAsia="仿宋_GB2312" w:cs="Times New Roman"/>
          <w:sz w:val="32"/>
          <w:szCs w:val="32"/>
          <w:lang w:val="en-US" w:eastAsia="zh-CN" w:bidi="en-US"/>
        </w:rPr>
        <w:t>，</w:t>
      </w:r>
      <w:r>
        <w:rPr>
          <w:rFonts w:hint="eastAsia" w:ascii="仿宋_GB2312" w:eastAsia="仿宋_GB2312"/>
          <w:sz w:val="32"/>
          <w:szCs w:val="32"/>
        </w:rPr>
        <w:t>社工站配备工作人员</w:t>
      </w:r>
      <w:r>
        <w:rPr>
          <w:rFonts w:hint="eastAsia" w:ascii="仿宋_GB2312" w:eastAsia="仿宋_GB2312"/>
          <w:sz w:val="32"/>
          <w:szCs w:val="32"/>
          <w:lang w:val="en-US" w:eastAsia="zh-CN"/>
        </w:rPr>
        <w:t>20</w:t>
      </w:r>
      <w:r>
        <w:rPr>
          <w:rFonts w:hint="eastAsia" w:ascii="仿宋_GB2312" w:eastAsia="仿宋_GB2312"/>
          <w:sz w:val="32"/>
          <w:szCs w:val="32"/>
        </w:rPr>
        <w:t>名，其</w:t>
      </w:r>
      <w:r>
        <w:rPr>
          <w:rFonts w:hint="eastAsia" w:ascii="仿宋_GB2312" w:eastAsia="仿宋_GB2312"/>
          <w:sz w:val="32"/>
          <w:szCs w:val="32"/>
          <w:lang w:eastAsia="zh-CN"/>
        </w:rPr>
        <w:t>中</w:t>
      </w:r>
      <w:r>
        <w:rPr>
          <w:rFonts w:hint="eastAsia" w:ascii="仿宋_GB2312" w:eastAsia="仿宋_GB2312"/>
          <w:sz w:val="32"/>
          <w:szCs w:val="32"/>
        </w:rPr>
        <w:t>社工专业人员</w:t>
      </w:r>
      <w:r>
        <w:rPr>
          <w:rFonts w:hint="eastAsia" w:ascii="仿宋_GB2312" w:eastAsia="仿宋_GB2312"/>
          <w:sz w:val="32"/>
          <w:szCs w:val="32"/>
          <w:lang w:val="en-US" w:eastAsia="zh-CN"/>
        </w:rPr>
        <w:t>17</w:t>
      </w:r>
      <w:r>
        <w:rPr>
          <w:rFonts w:hint="eastAsia" w:ascii="仿宋_GB2312" w:eastAsia="仿宋_GB2312"/>
          <w:sz w:val="32"/>
          <w:szCs w:val="32"/>
        </w:rPr>
        <w:t>名（</w:t>
      </w:r>
      <w:r>
        <w:rPr>
          <w:rFonts w:hint="eastAsia" w:ascii="仿宋_GB2312" w:eastAsia="仿宋_GB2312"/>
          <w:sz w:val="32"/>
          <w:szCs w:val="32"/>
          <w:lang w:eastAsia="zh-CN"/>
        </w:rPr>
        <w:t>中</w:t>
      </w:r>
      <w:r>
        <w:rPr>
          <w:rFonts w:hint="eastAsia" w:ascii="仿宋_GB2312" w:eastAsia="仿宋_GB2312"/>
          <w:sz w:val="32"/>
          <w:szCs w:val="32"/>
        </w:rPr>
        <w:t>级社工师资格</w:t>
      </w:r>
      <w:r>
        <w:rPr>
          <w:rFonts w:hint="eastAsia" w:ascii="仿宋_GB2312" w:eastAsia="仿宋_GB2312"/>
          <w:sz w:val="32"/>
          <w:szCs w:val="32"/>
          <w:lang w:val="en-US" w:eastAsia="zh-CN"/>
        </w:rPr>
        <w:t>7</w:t>
      </w:r>
      <w:r>
        <w:rPr>
          <w:rFonts w:hint="eastAsia" w:ascii="仿宋_GB2312" w:eastAsia="仿宋_GB2312"/>
          <w:sz w:val="32"/>
          <w:szCs w:val="32"/>
        </w:rPr>
        <w:t>名，助理社工师资格</w:t>
      </w:r>
      <w:r>
        <w:rPr>
          <w:rFonts w:hint="eastAsia" w:ascii="仿宋_GB2312" w:eastAsia="仿宋_GB2312"/>
          <w:sz w:val="32"/>
          <w:szCs w:val="32"/>
          <w:lang w:val="en-US" w:eastAsia="zh-CN"/>
        </w:rPr>
        <w:t>10</w:t>
      </w:r>
      <w:r>
        <w:rPr>
          <w:rFonts w:hint="eastAsia" w:ascii="仿宋_GB2312" w:eastAsia="仿宋_GB2312"/>
          <w:sz w:val="32"/>
          <w:szCs w:val="32"/>
        </w:rPr>
        <w:t>名）</w:t>
      </w:r>
      <w:r>
        <w:rPr>
          <w:rFonts w:hint="eastAsia" w:ascii="仿宋_GB2312" w:eastAsia="仿宋_GB2312"/>
          <w:sz w:val="32"/>
          <w:szCs w:val="32"/>
          <w:lang w:val="en-US" w:eastAsia="zh-CN"/>
        </w:rPr>
        <w:t>，相关专业人员1人，</w:t>
      </w:r>
      <w:r>
        <w:rPr>
          <w:rFonts w:hint="eastAsia" w:ascii="仿宋_GB2312" w:eastAsia="仿宋_GB2312"/>
          <w:sz w:val="32"/>
          <w:szCs w:val="32"/>
          <w:lang w:eastAsia="zh-CN"/>
        </w:rPr>
        <w:t>其他人员</w:t>
      </w:r>
      <w:r>
        <w:rPr>
          <w:rFonts w:hint="eastAsia" w:ascii="仿宋_GB2312" w:eastAsia="仿宋_GB2312"/>
          <w:sz w:val="32"/>
          <w:szCs w:val="32"/>
          <w:lang w:val="en-US" w:eastAsia="zh-CN"/>
        </w:rPr>
        <w:t>2名</w:t>
      </w:r>
      <w:r>
        <w:rPr>
          <w:rFonts w:hint="eastAsia" w:ascii="仿宋_GB2312" w:eastAsia="仿宋_GB2312"/>
          <w:sz w:val="32"/>
          <w:szCs w:val="32"/>
        </w:rPr>
        <w:t>。此外，社工站配备督导</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从事社会服务</w:t>
      </w:r>
      <w:r>
        <w:rPr>
          <w:rFonts w:hint="eastAsia" w:ascii="仿宋_GB2312" w:eastAsia="仿宋_GB2312"/>
          <w:sz w:val="32"/>
          <w:szCs w:val="32"/>
          <w:lang w:val="en-US" w:eastAsia="zh-CN"/>
        </w:rPr>
        <w:t>7</w:t>
      </w:r>
      <w:r>
        <w:rPr>
          <w:rFonts w:hint="eastAsia" w:ascii="仿宋_GB2312" w:eastAsia="仿宋_GB2312"/>
          <w:sz w:val="32"/>
          <w:szCs w:val="32"/>
        </w:rPr>
        <w:t>年以上。</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日至202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31</w:t>
      </w:r>
      <w:r>
        <w:rPr>
          <w:rFonts w:hint="eastAsia" w:ascii="仿宋_GB2312" w:hAnsi="Times New Roman" w:eastAsia="仿宋_GB2312" w:cs="Times New Roman"/>
          <w:sz w:val="32"/>
          <w:szCs w:val="32"/>
        </w:rPr>
        <w:t>日</w:t>
      </w:r>
      <w:r>
        <w:rPr>
          <w:rFonts w:hint="eastAsia" w:ascii="仿宋_GB2312" w:eastAsia="仿宋_GB2312"/>
          <w:sz w:val="32"/>
          <w:szCs w:val="32"/>
        </w:rPr>
        <w:t>。</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1274</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3150人次，分别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177.44</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131.25%</w:t>
      </w:r>
      <w:r>
        <w:rPr>
          <w:rFonts w:hint="eastAsia" w:ascii="仿宋_GB2312" w:hAnsi="Times New Roman" w:eastAsia="仿宋_GB2312" w:cs="Times New Roman"/>
          <w:sz w:val="32"/>
          <w:szCs w:val="32"/>
          <w:lang w:eastAsia="zh-CN"/>
        </w:rPr>
        <w:t>；专业</w:t>
      </w:r>
      <w:r>
        <w:rPr>
          <w:rFonts w:hint="eastAsia" w:ascii="仿宋_GB2312" w:eastAsia="仿宋_GB2312"/>
          <w:sz w:val="32"/>
          <w:szCs w:val="32"/>
        </w:rPr>
        <w:t>个案接案</w:t>
      </w:r>
      <w:r>
        <w:rPr>
          <w:rFonts w:hint="eastAsia" w:ascii="仿宋_GB2312" w:eastAsia="仿宋_GB2312"/>
          <w:sz w:val="32"/>
          <w:szCs w:val="32"/>
          <w:lang w:val="en-US" w:eastAsia="zh-CN"/>
        </w:rPr>
        <w:t>59</w:t>
      </w:r>
      <w:r>
        <w:rPr>
          <w:rFonts w:hint="eastAsia" w:ascii="仿宋_GB2312" w:eastAsia="仿宋_GB2312"/>
          <w:sz w:val="32"/>
          <w:szCs w:val="32"/>
        </w:rPr>
        <w:t>个，</w:t>
      </w:r>
      <w:r>
        <w:rPr>
          <w:rFonts w:hint="eastAsia" w:ascii="仿宋_GB2312" w:eastAsia="仿宋_GB2312"/>
          <w:sz w:val="32"/>
          <w:szCs w:val="32"/>
          <w:lang w:val="en-US" w:eastAsia="zh-CN"/>
        </w:rPr>
        <w:t>323节，分别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118.00%、107.67%</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16</w:t>
      </w:r>
      <w:r>
        <w:rPr>
          <w:rFonts w:hint="eastAsia" w:ascii="仿宋_GB2312" w:eastAsia="仿宋_GB2312"/>
          <w:sz w:val="32"/>
          <w:szCs w:val="32"/>
        </w:rPr>
        <w:t>个，</w:t>
      </w:r>
      <w:r>
        <w:rPr>
          <w:rFonts w:hint="eastAsia" w:ascii="仿宋_GB2312" w:eastAsia="仿宋_GB2312"/>
          <w:sz w:val="32"/>
          <w:szCs w:val="32"/>
          <w:lang w:val="en-US" w:eastAsia="zh-CN"/>
        </w:rPr>
        <w:t>96节，服务694人次，分别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106.67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106.67%、128.52%</w:t>
      </w:r>
      <w:r>
        <w:rPr>
          <w:rFonts w:hint="eastAsia" w:ascii="仿宋_GB2312" w:hAnsi="Times New Roman" w:eastAsia="仿宋_GB2312" w:cs="Times New Roman"/>
          <w:sz w:val="32"/>
          <w:szCs w:val="32"/>
        </w:rPr>
        <w:t>;</w:t>
      </w:r>
      <w:r>
        <w:rPr>
          <w:rFonts w:hint="eastAsia" w:ascii="仿宋_GB2312" w:eastAsia="仿宋_GB2312"/>
          <w:sz w:val="32"/>
          <w:szCs w:val="32"/>
        </w:rPr>
        <w:t>完成社区活动</w:t>
      </w:r>
      <w:r>
        <w:rPr>
          <w:rFonts w:hint="eastAsia" w:ascii="仿宋_GB2312" w:eastAsia="仿宋_GB2312"/>
          <w:sz w:val="32"/>
          <w:szCs w:val="32"/>
          <w:lang w:val="en-US" w:eastAsia="zh-CN"/>
        </w:rPr>
        <w:t>77</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5203人次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110.00</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157.56</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培育志愿者105名，志愿者骨干55名，培育3支志愿者队伍，分别完成指标的105.00%、101.35%、150.00%。（以上数据由社工站提供，各项目指标完成情况见附件。）</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市桥街中北片</w:t>
      </w:r>
      <w:r>
        <w:rPr>
          <w:rFonts w:hint="eastAsia" w:ascii="仿宋_GB2312" w:eastAsia="仿宋_GB2312"/>
          <w:sz w:val="32"/>
          <w:szCs w:val="32"/>
        </w:rPr>
        <w:t>社工站服务指标完成情况良好，在服务进度方面整体把握到位。</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通过与社工站主任、相关行政人员访谈，查阅相关资料等方式了解社工站运营管理情况，汇总成以下几点：</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（1）社工到岗情况符合有关规定和合同要求；</w:t>
      </w:r>
      <w:r>
        <w:rPr>
          <w:rFonts w:hint="eastAsia" w:ascii="仿宋_GB2312" w:eastAsia="仿宋_GB2312"/>
          <w:sz w:val="32"/>
          <w:szCs w:val="32"/>
        </w:rPr>
        <w:t>截至</w:t>
      </w:r>
      <w:r>
        <w:rPr>
          <w:rFonts w:hint="eastAsia" w:ascii="仿宋_GB2312" w:hAnsi="Times New Roman" w:eastAsia="仿宋_GB2312" w:cs="Times New Roman"/>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31日，协议要求220人次，实到220.5人次；持证社工达17人，其中中级社工师7人，助理社工师10人；从业2年及以上社工人数16人，占比80%。</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根据机构、站点和个人需要，制定《员工成长计划》，并由组织层面组织社工开展集中性专业继续学习。机构制定了《员工推行服务指引》并由社工站具体落实，规范和提升社工的服务专业度。设立意见箱收集民众意见及建议，更新《市桥街“双百工程”中北片社工站定期的工作总结、反思及整改提升工作机制》，制定改善追踪系统工作流程图。社工站依据实际情况编制（或修订）相关管理制度，运用团体督导、专题学习（培训）、服务对象问卷调查等方式进行权益保障落实工作；</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项目宣传工作比较到位，站点标识清晰，站点在网络地图可搜可查，设置了各个社工点的宣传阵地、市桥街中北片社工服务站微信公众号和视频号，有定期的服务资讯更新；善用服务微信群、日常宣传活动等及时传递服务信息；积极运用线上线下相结合的宣传方式进行政策宣传和服务宣传；市桥街怡乐社区推进新时代多元主体协同治理成果展示案例在中国社会出版社《五社联动——广州番禺样本助推基层社会治理现代化》一书中刊登。</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（1）持续关注专业性。较中期评估相比，社工师持证人数有所下降。建议关注员工需求，提供晋升机会，减少员工流动率，从而提高团队稳定性和业务运营效率。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部分公众号文章的浏览量较小，传播效果及范围有限，建议积极学习并大胆尝试新媒体技术，提高公益项目的宣传推广效果，优化公众号文章的内容和版式，提高阅读体验。同时，利用社交媒体扩大传播范围，举办线上线下活动增加互动与粘性。</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服务标准化的过程性评核资料不够充分，建议补充季度或半年度内部定期质量评核、监测的过程资料。认真收集与服务质量相关的改进建议及机构层面监督、指导资料，及时响应服务对象的需求，推动标准体系持续改进；加强站点间的交流分享和比照学习。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在中期评估后进一步加强了与基层党组织的沟通合作，加大了辖内红色文化和资源的挖掘与调动，紧扣“汇爱”项目主题、坚持党建引领推进实现“服务困难居民零距离”的目标，服务与党建关联较中期评估时更为密切，值得肯定。</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工站持续关注特殊困难群体的需求，依托“帮困匡弱”项目积极落实困难对象的帮扶服务，通过及时链接资源、精准联动帮扶和灵活应用多种沟通方式等做法较好地保障了兜底服务的成效，社会支持和认可度稳步提升，值得肯定。</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工站“擦亮文化名片，彰显市桥魅力”的文化传承项目契合在地实际需求，加强文化宣传和促进文化联动的过程成效在持续搭建的社区参与平台中得到了进一步的拓展，可视化的文创产品和导赏视频同步激活了社区内生力量和社会外在影响，文化特色和名片亮点日益鲜明，值得肯定。</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五社联动”机制的健全规范和落地成效较中期评估时改善明显，社工对志愿骨干的挖掘、培训和激励得到加强，“以志愿力量为桥梁”推动社区微治理发展，协助成立了怡乐社区社会组织联合会、怡乐社区企业联合会，并在番禺区民政局登记注册；完成村居社区基金全覆盖，本周期募集资金超153万元；新登记志愿者105名，新培育3支志愿者队伍，活跃志愿者队伍共11支。站、片、点对机制的理解和应用得到了深化，对各“社”力量优缺点的分析研判为机制的落地和具体措施的拟定明确了联动的方向和重点，社区基金的筹集和使用日益规范，村居委和社区组织等联动参与合作有力，基层治理的探索积极。“五社”力量相互联动推动形成过程和结果的迭代成效，值得肯定。</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3"/>
      <w:bookmarkEnd w:id="29"/>
      <w:bookmarkStart w:id="30" w:name="bookmark44"/>
      <w:bookmarkEnd w:id="30"/>
      <w:bookmarkStart w:id="31" w:name="bookmark45"/>
      <w:bookmarkEnd w:id="31"/>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服务设计仍待完善，建议社工站进一步做好需求的分层分类梳理，进一步细化站、片、点的服务边界与方向重点，紧扣“问题导向”，进一步完善项目框架设计和策略的专业规划，以进一步明确“活力”打造的内容、目标和策略。</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机制研究仍待加强，建议社工站进一步加强各项目应用“五社联动”机制的模式总结和研究推广，如社区治理的问题发现机制、社区基金的撬动技巧或老旧社区停车难等特定社区公共问题的治理经验，以全面推动“五社联动”机制的在地深耕和创新发展。</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（3）综合满意度评价有待提升，共102人接受评价，其中满意度在85%-95%的有62人，95%以上的有40人。</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关注完善社区培育相关制度及落实情况，经查阅志愿者制度与指标未完全适应，执行情况未完全依据制度进行，志愿者骨干无审批认定流程，志愿者队伍活跃佐证资料不足；建议社区社会组织、志愿者队伍分层分类培育，扩大影响，以总结提炼好服务经验。</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第一片区：怡乐社区、万丰社区、瑞和园社区、禺秀社区、富都社区、北郊村</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2" w:name="bookmark48"/>
      <w:bookmarkEnd w:id="32"/>
      <w:bookmarkStart w:id="33" w:name="bookmark46"/>
      <w:bookmarkEnd w:id="33"/>
      <w:bookmarkStart w:id="34" w:name="bookmark47"/>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）片区搭建了片区内17类困难群体和特殊群体的数据库，实现了对目标群体的100%全方位覆盖，并在此基础上，依据标准化等级评估指标，对服务群体实施了分级分类的跟进服务，有效地提供了扶危解困服务。</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）片区注重发挥双工联动的运用，积极开展五社联动工作，发掘并提炼工作亮点，品牌效应初步形成。其中，怡乐社区共接待全国各地参观调研团35次，间接服务850人次，取得较好社区示范性效果。</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hAnsi="Times New Roman" w:eastAsia="仿宋_GB2312" w:cs="Times New Roman"/>
          <w:b/>
          <w:bCs/>
          <w:sz w:val="32"/>
          <w:szCs w:val="32"/>
          <w:lang w:val="zh-CN" w:eastAsia="zh-CN" w:bidi="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片区围绕“社区焕新”需求，开展老旧小区改造服务。积极发掘居民和周边资源，发展、组建志愿者服务队伍，培育成立“怡乐社区社会组织联合会”等社区社会组织，有效推动社区居民与社会组织参与社区服务。</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（1）夯实对17类困难群众和特殊群体的服务的精准性。如在困境儿童群体中，重点关注对儿童当事人的需求评估与服务跟进，以提升服务的精准性和有效性。</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完善《社区资产地图》《社区问题地图》《服务对象社区分布地图》。建议理清三图之间的逻辑关系，发挥社区资产优势，回应社区问题及需求。同时，以绘制社区资产地图和社区问题地图为契机，进一步梳理社区情况，激活社区发展的内在动力。此外，增强地图可视化水平，如增加图示色彩对比度，提升可视化效果。</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（3）关注兜底民生政策宣传成效，在加强政策宣传的基础上，关注政策覆盖程度和知晓程度等服务成效，确保政策信息传达到位。</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第二片区：先锋社区、大市社区、石街社区、田心社区、桥东社区、丹山村</w:t>
      </w:r>
    </w:p>
    <w:p>
      <w:pPr>
        <w:pStyle w:val="1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第二片区各个社工点认真落实对困难群众和特殊群体服务的服务及建档，尤其是根据中评意见落实整改到位，对残疾人群体开展了具体的探访电访服务。片区总有困难群众和特殊群体477人，目前已经实现100%建档，档案资料比较清晰。同时通过定期电访探访服务，重大节日慰问探访实现了片区困难群众和特殊群体服务的全覆盖。通过“耆乐友善·袋袋平安”社区治理服务项目、党建引领“点亮微心愿 关爱暖寒冬”市桥街关爱困难群众新春探访活动等为片区困难群众和特殊群体链接了超15580元，切实满足困难群众和特殊群体部分实质性的物质需求。</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第二片区各个社工点服务逻辑清晰合理，服务执行情况较好。每个社工点都做到了服务资料整理规范有序，从需求调查，到服务计划，再到服务计划的执行落实的相关资料及总结归纳特色亮点打造、疑难案例解决等资料都能有序归档。</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第二片区针对辖区文化资源丰富的特点，规划了“寻迹·唤醒·传承”彰显市桥魅力文化项目——市桥中“walking”，产出了比较好的文创产品，居民参与积极性较高，也有较好的社会美誉度。同时本周期链接各类资源折合价值107750元。</w:t>
      </w:r>
    </w:p>
    <w:p>
      <w:pPr>
        <w:pStyle w:val="12"/>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（1）建议片区要注意做好片和点的服务层次规划。目前各个社工点的服务逻辑及执行是比较顺畅合理的，但是在片区层面的服务规划及执行则不够清晰，难以看到片区的特色与优势，片区整体服务比较分散。</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（2）建议社工进一步夯实困难群众和特殊群体服务的服务。要注意探访电访慰问活动的个别化和延续性，让困难群众和特殊群体服务更加精准化，更加贴心；补充完善部分档案中尚不完善的服务对象相关信息。</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第三片区：康裕社区、康乐社区、丹桂社区、侨基社区、侨联社区、云星村</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在需求摸查方面，6个社工点均重视调查研究，深入村居，与村民建立良好的关系，绘制了《社区资产地图》《社区问题地图》，全面评估了服务对象的身体状况、心理健康与社会支持等方面情况，能够对服务对象及服务需求实施分层分类的服务评估，明确服务重点和方向，形成了需求调研报告。</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在协助落实政策方面，开展了民生政策宣传，宣传各项惠民政策，增强村民对惠民政策的知晓度，协助落实了有关兜底民生服务政策。在探访服务方面，根据实际情况进行等级评估，按照等级对应的跟进频率进行上门探访，并积极解决探访中发现的问题。</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）在专业作用发挥方面，社会工作的不同角色在服务中有充分的体现，社工通过定期组织专业培训和教育，参与各类社会服务项目，将所学知识运用到实践中，不断反思和总结，服务能力得到了显著提升。</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）在社会资源整合与社会参与度方面，社工站积极推动政府职能部门、村居、企业、党组织、志愿者等资源的整合，在政府购买服务的基础上，增强了自我造血功能，实现社区各类资源的优化整合。</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调查问卷的完整性不够。在访谈中了解了居民的一般性需求，但在问卷调查中主要了解了安全方面的需求，最后的结论也认为安全问题需求大。这在逻辑上存在先入为主的缺陷。由于没有其他方面的需求调研，也会导致最终了解的信息量不全面，建议完善。此外，采用了问卷星的调研方式可能会忽略不会用智能手机的老年人等群体，建议对于这些群体采用代填的方式完成，并作出说明。</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针对残疾人和兜底对象的探访有详细记录，但存在内容不详尽、趋同等情况。在兜底对象的探访中，很多对象的问题、处理、跟进内容较简单，建议在探访的时进行反思提炼，细化问题，根据情况做好个性化处理和跟进，保障探访有实效。</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）多数案例的评估是采用满意度评估方式，科学性不足，建议完善。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2"/>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）代表认为，社工站</w:t>
      </w:r>
      <w:r>
        <w:rPr>
          <w:rFonts w:hint="eastAsia" w:ascii="仿宋_GB2312" w:eastAsia="仿宋_GB2312"/>
          <w:sz w:val="32"/>
          <w:szCs w:val="32"/>
          <w:lang w:eastAsia="zh-CN"/>
        </w:rPr>
        <w:t>能够结合街道各时期的中心工作开展相应特色服务，注重收集群众需求制定合理服务计划；专业引领、带动社区志愿者、居民参与社区事务；能够做好各类民生兜底服务。</w:t>
      </w:r>
    </w:p>
    <w:p>
      <w:pPr>
        <w:pStyle w:val="12"/>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）代表认为，社工站</w:t>
      </w:r>
      <w:r>
        <w:rPr>
          <w:rFonts w:hint="eastAsia" w:ascii="仿宋_GB2312" w:eastAsia="仿宋_GB2312"/>
          <w:sz w:val="32"/>
          <w:szCs w:val="32"/>
          <w:lang w:eastAsia="zh-CN"/>
        </w:rPr>
        <w:t>需进一步强化专业人才队伍建设，保障团队骨干力量，进一步发动居民参与，提升社会工作的影响力。</w:t>
      </w:r>
    </w:p>
    <w:p>
      <w:pPr>
        <w:pStyle w:val="12"/>
        <w:keepNext w:val="0"/>
        <w:keepLines w:val="0"/>
        <w:pageBreakBefore w:val="0"/>
        <w:widowControl w:val="0"/>
        <w:numPr>
          <w:ilvl w:val="0"/>
          <w:numId w:val="1"/>
        </w:numPr>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重视人员的专业能力提升并取得一定的成效。一是项目制定了社工专业能力提升机制和计划，有具体的督导计划、培训计划及社工个人成长计划，具有较高的可行性；二是配备了多名内部督导，明确内部督导和双百督导的工作职责和督导重点，推动内外部督导优势互补，为社工提供差异性、专业性的支持。三是积极发挥资深社工的专业优势，开展内部共学，共学内容丰富，形成团队共学的良好氛围。整体而言，社工对督导、培训、共学等表示整体满意且有一定的成长，清晰下一步的能力提升方向。</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服务的双工联动落实扎实。项目社工与事务性岗位社工开展服务合作与转介联动，落实基层帮扶困难群众制度，带动党员、志愿者积极参与，扎实开展走访帮扶、政策落实等工作；与服务性岗位社工共同落实兜底民生政策宣传、入户慰问、个案辅导、政策申请等各项兜底民生服务工作，回应了困难群众和特殊群体的物质帮扶、居家安全、能力提升、社会融入等多层次的需求。</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的服务监控执行到位，获得购买方的支持。项目团队建立了完善的报告和备案机制，并有效落实，备案材料完整，有业务主管部门的签字确认；每月通过线上和线下的形式向购买方报告项目实施情况、听取相关建议与意见，并积极参与街道的相关会议，获得一定的合作资源及街道的指导与支持；和村居保持密切沟通，每周开展不少于一次的沟通联系，争取到村居多元化的合作与支持。</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项目团队的实务研究产出不足，建议项目团队关注和重视实务研究工作，进一步采取有效措施，不断强化项目服务的研究工作，加大力度支持社工做好相关实务研究工作，鼓励社工对项目的典型服务案例和特色亮点服务进行总结梳理，撰写成案例文章，积极向中国社会报、中国社会工作等国家级期刊上投稿争取发表文章，促进研究成果有较好产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评估反馈主要分为两大环节，一是现场反馈环节，二是对评估报告初稿的意见反馈环节。本次市桥街中北片社工站的反馈如下：</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eastAsia="仿宋_GB2312"/>
          <w:b/>
          <w:bCs/>
          <w:sz w:val="32"/>
          <w:szCs w:val="32"/>
          <w:lang w:val="en-US" w:eastAsia="zh-CN"/>
        </w:rPr>
        <w:t>现场反馈</w:t>
      </w:r>
      <w:r>
        <w:rPr>
          <w:rFonts w:hint="eastAsia" w:ascii="仿宋_GB2312" w:eastAsia="仿宋_GB2312"/>
          <w:sz w:val="32"/>
          <w:szCs w:val="32"/>
          <w:lang w:val="en-US" w:eastAsia="zh-CN"/>
        </w:rPr>
        <w:t>：经过为期一天的评估，评委针对市桥街中北片社工站的情况，进行了现场总结反馈，在总结反馈环节，市桥街中北片社工站表示对评委们提出的意见和建议无异议。</w:t>
      </w:r>
    </w:p>
    <w:p>
      <w:pPr>
        <w:pStyle w:val="12"/>
        <w:keepNext w:val="0"/>
        <w:keepLines w:val="0"/>
        <w:pageBreakBefore w:val="0"/>
        <w:widowControl w:val="0"/>
        <w:kinsoku/>
        <w:wordWrap/>
        <w:overflowPunct/>
        <w:topLinePunct w:val="0"/>
        <w:autoSpaceDE/>
        <w:autoSpaceDN/>
        <w:bidi w:val="0"/>
        <w:adjustRightInd/>
        <w:snapToGrid/>
        <w:spacing w:after="120" w:line="540" w:lineRule="exact"/>
        <w:ind w:firstLine="642" w:firstLineChars="200"/>
        <w:textAlignment w:val="auto"/>
        <w:rPr>
          <w:rFonts w:hint="eastAsia" w:ascii="方正小标宋简体" w:hAnsi="方正小标宋简体" w:eastAsia="方正小标宋简体" w:cs="方正小标宋简体"/>
          <w:b/>
          <w:bCs/>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：番禺区民政局、市桥街道办事处、市桥街中北片社工站对评估报告初稿无异议。</w:t>
      </w:r>
      <w:bookmarkEnd w:id="41"/>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方正小标宋简体" w:hAnsi="方正小标宋简体" w:eastAsia="方正小标宋简体" w:cs="方正小标宋简体"/>
          <w:b/>
          <w:bCs/>
          <w:sz w:val="32"/>
          <w:szCs w:val="32"/>
          <w:highlight w:val="none"/>
          <w:lang w:val="en-US" w:eastAsia="zh-CN"/>
        </w:rPr>
      </w:pPr>
      <w:r>
        <w:rPr>
          <w:rFonts w:hint="eastAsia" w:ascii="方正小标宋简体" w:hAnsi="方正小标宋简体" w:eastAsia="方正小标宋简体" w:cs="方正小标宋简体"/>
          <w:b/>
          <w:bCs/>
          <w:sz w:val="32"/>
          <w:szCs w:val="32"/>
          <w:highlight w:val="none"/>
          <w:lang w:val="en-US" w:eastAsia="zh-CN"/>
        </w:rPr>
        <w:t>四、评估等级</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60分至80分（不含80分）为合格，60分以下（不含60分）为不合格。</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经过评估，市桥街中北片社工站本次末期评估的等级为</w:t>
      </w:r>
      <w:r>
        <w:rPr>
          <w:rFonts w:hint="eastAsia" w:ascii="仿宋_GB2312" w:eastAsia="仿宋_GB2312"/>
          <w:b/>
          <w:bCs/>
          <w:sz w:val="32"/>
          <w:szCs w:val="32"/>
          <w:lang w:val="en-US" w:eastAsia="zh-CN"/>
        </w:rPr>
        <w:t>“良好”（89.82分）</w:t>
      </w:r>
      <w:r>
        <w:rPr>
          <w:rFonts w:hint="eastAsia" w:ascii="仿宋_GB2312" w:eastAsia="仿宋_GB2312"/>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8.22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3.8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16.8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16.4</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7.2</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89.82</w:t>
            </w:r>
          </w:p>
        </w:tc>
      </w:tr>
    </w:tbl>
    <w:p>
      <w:pPr>
        <w:pStyle w:val="12"/>
        <w:keepNext w:val="0"/>
        <w:keepLines w:val="0"/>
        <w:pageBreakBefore w:val="0"/>
        <w:widowControl w:val="0"/>
        <w:tabs>
          <w:tab w:val="left" w:pos="1263"/>
        </w:tabs>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市桥街中北片社工服务站在番禺区民政局、</w:t>
      </w:r>
      <w:r>
        <w:rPr>
          <w:rFonts w:hint="eastAsia" w:ascii="仿宋_GB2312" w:eastAsia="仿宋_GB2312"/>
          <w:color w:val="auto"/>
          <w:sz w:val="32"/>
          <w:szCs w:val="32"/>
          <w:lang w:eastAsia="zh-CN"/>
        </w:rPr>
        <w:t>市桥街党工委和市桥街道办事处</w:t>
      </w:r>
      <w:r>
        <w:rPr>
          <w:rFonts w:hint="eastAsia" w:ascii="仿宋_GB2312" w:eastAsia="仿宋_GB2312"/>
          <w:sz w:val="32"/>
          <w:szCs w:val="32"/>
          <w:lang w:eastAsia="zh-CN"/>
        </w:rPr>
        <w:t>的大力支持下，在广州市番禺区</w:t>
      </w:r>
      <w:r>
        <w:rPr>
          <w:rFonts w:hint="eastAsia" w:ascii="仿宋_GB2312" w:eastAsia="仿宋_GB2312"/>
          <w:sz w:val="32"/>
          <w:szCs w:val="32"/>
          <w:lang w:val="en-US" w:eastAsia="zh-CN"/>
        </w:rPr>
        <w:t>正阳</w:t>
      </w:r>
      <w:r>
        <w:rPr>
          <w:rFonts w:hint="eastAsia" w:ascii="仿宋_GB2312" w:eastAsia="仿宋_GB2312"/>
          <w:sz w:val="32"/>
          <w:szCs w:val="32"/>
          <w:lang w:eastAsia="zh-CN"/>
        </w:rPr>
        <w:t>社会工作服务中心的努力下，已运营</w:t>
      </w:r>
      <w:r>
        <w:rPr>
          <w:rFonts w:hint="eastAsia" w:ascii="仿宋_GB2312" w:eastAsia="仿宋_GB2312"/>
          <w:sz w:val="32"/>
          <w:szCs w:val="32"/>
          <w:lang w:val="en-US" w:eastAsia="zh-CN"/>
        </w:rPr>
        <w:t>多年</w:t>
      </w:r>
      <w:r>
        <w:rPr>
          <w:rFonts w:hint="eastAsia" w:ascii="仿宋_GB2312" w:eastAsia="仿宋_GB2312"/>
          <w:sz w:val="32"/>
          <w:szCs w:val="32"/>
          <w:lang w:eastAsia="zh-CN"/>
        </w:rPr>
        <w:t>时间，社工队伍配备情况良好，专业服务有流程、有指引，社工能按照相关流程规范和指引开展落实服务工作。社工站“擦亮文化名片，彰显市桥魅力”的文化传承项目契合在地实际需求，可视化的文创产品和导赏视频同步激活了社区内生力量和社会外在影响，文化特色和名片亮点日益鲜明；“五社联动”机制的健全规范和落地成效明显，社区基金的筹集和使用日益规范，村居委和社区组织等联动参与合作有力，基层治理的探索积极。</w:t>
      </w:r>
    </w:p>
    <w:p>
      <w:pPr>
        <w:pStyle w:val="12"/>
        <w:spacing w:after="0" w:line="54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建议社工站进一步做好需求的分层分类梳理，进一步细化站、片、点的服务边界与方向重点，紧扣“问题导向”，进一步完善项目框架设计和策略的专业规划，明确“活力”打造的内容、目标和策略。建议片区要注意做好片和点的服务层次规划，完善片区和社工点服务计划，持续加强项目的实务研究行动与支持。社工需夯实困难群众和特殊群体服务的服务，需补充完善部分档案中尚不完善的服务对象相关信息。要注意探访电访慰问活动的个别化和延续性，让困难群众和特殊群体服务更加精准化，更加贴心。</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tabs>
          <w:tab w:val="left" w:pos="1960"/>
        </w:tabs>
        <w:spacing w:line="56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tabs>
          <w:tab w:val="left" w:pos="1960"/>
        </w:tabs>
        <w:spacing w:line="560" w:lineRule="exact"/>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 w:name="KSO_WPS_MARK_KEY" w:val="637571f6-40d0-4fe4-86ff-64d1941e8215"/>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80B7CE8"/>
    <w:rsid w:val="0CAD0F0E"/>
    <w:rsid w:val="0DFA2141"/>
    <w:rsid w:val="104E104A"/>
    <w:rsid w:val="112E6082"/>
    <w:rsid w:val="11DF6E40"/>
    <w:rsid w:val="12A57677"/>
    <w:rsid w:val="17C37D14"/>
    <w:rsid w:val="18AF52C9"/>
    <w:rsid w:val="191A18A1"/>
    <w:rsid w:val="1FB35AA9"/>
    <w:rsid w:val="23733FB9"/>
    <w:rsid w:val="26153106"/>
    <w:rsid w:val="2772C156"/>
    <w:rsid w:val="28276E95"/>
    <w:rsid w:val="2BEF33D8"/>
    <w:rsid w:val="2CA44508"/>
    <w:rsid w:val="2CE95EE2"/>
    <w:rsid w:val="317E53E5"/>
    <w:rsid w:val="322E3E07"/>
    <w:rsid w:val="326535D5"/>
    <w:rsid w:val="33733380"/>
    <w:rsid w:val="337C4ADF"/>
    <w:rsid w:val="34275581"/>
    <w:rsid w:val="358947C0"/>
    <w:rsid w:val="35DC5B4E"/>
    <w:rsid w:val="363F1298"/>
    <w:rsid w:val="382C41F8"/>
    <w:rsid w:val="39C82C53"/>
    <w:rsid w:val="3BF64F6F"/>
    <w:rsid w:val="3CD86842"/>
    <w:rsid w:val="3D246C4A"/>
    <w:rsid w:val="3EE16F43"/>
    <w:rsid w:val="3EEF694C"/>
    <w:rsid w:val="405A57B2"/>
    <w:rsid w:val="40FD2F42"/>
    <w:rsid w:val="43C56FC1"/>
    <w:rsid w:val="447847A3"/>
    <w:rsid w:val="476E09E7"/>
    <w:rsid w:val="48B80921"/>
    <w:rsid w:val="49191669"/>
    <w:rsid w:val="49A2779A"/>
    <w:rsid w:val="49D84C94"/>
    <w:rsid w:val="4BA35E6E"/>
    <w:rsid w:val="4BAE2A13"/>
    <w:rsid w:val="4D9A3141"/>
    <w:rsid w:val="4F93C08B"/>
    <w:rsid w:val="53B2326A"/>
    <w:rsid w:val="543D4BAA"/>
    <w:rsid w:val="54A96001"/>
    <w:rsid w:val="57DF1037"/>
    <w:rsid w:val="58BA0675"/>
    <w:rsid w:val="5EED4ED0"/>
    <w:rsid w:val="5F29B2E9"/>
    <w:rsid w:val="638628D7"/>
    <w:rsid w:val="65CE4A71"/>
    <w:rsid w:val="679E40D7"/>
    <w:rsid w:val="687B72EE"/>
    <w:rsid w:val="692C52D6"/>
    <w:rsid w:val="6B221ADA"/>
    <w:rsid w:val="6BBB9965"/>
    <w:rsid w:val="6D2800D2"/>
    <w:rsid w:val="6DFD1BEA"/>
    <w:rsid w:val="6ED3569C"/>
    <w:rsid w:val="6F941A6C"/>
    <w:rsid w:val="70827212"/>
    <w:rsid w:val="74A70E32"/>
    <w:rsid w:val="76204B6E"/>
    <w:rsid w:val="76504984"/>
    <w:rsid w:val="77FE3FF4"/>
    <w:rsid w:val="78146346"/>
    <w:rsid w:val="78582392"/>
    <w:rsid w:val="79283BD2"/>
    <w:rsid w:val="7B176FF7"/>
    <w:rsid w:val="7B8C4F01"/>
    <w:rsid w:val="7C2C4FEC"/>
    <w:rsid w:val="7CD505C0"/>
    <w:rsid w:val="7E7FF43C"/>
    <w:rsid w:val="7EA128FE"/>
    <w:rsid w:val="7ECF3FCE"/>
    <w:rsid w:val="EAB6A04D"/>
    <w:rsid w:val="FDD549CF"/>
    <w:rsid w:val="FEFD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29"/>
    <w:qFormat/>
    <w:uiPriority w:val="0"/>
    <w:pPr>
      <w:tabs>
        <w:tab w:val="center" w:pos="4153"/>
        <w:tab w:val="right" w:pos="8306"/>
      </w:tabs>
      <w:snapToGrid w:val="0"/>
    </w:pPr>
    <w:rPr>
      <w:sz w:val="18"/>
      <w:szCs w:val="18"/>
    </w:rPr>
  </w:style>
  <w:style w:type="paragraph" w:styleId="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paragraph" w:styleId="27">
    <w:name w:val="List Paragraph"/>
    <w:basedOn w:val="1"/>
    <w:qFormat/>
    <w:uiPriority w:val="34"/>
    <w:pPr>
      <w:ind w:firstLine="420" w:firstLineChars="200"/>
    </w:pPr>
  </w:style>
  <w:style w:type="character" w:customStyle="1" w:styleId="28">
    <w:name w:val="页眉 Char"/>
    <w:basedOn w:val="8"/>
    <w:link w:val="5"/>
    <w:qFormat/>
    <w:uiPriority w:val="0"/>
    <w:rPr>
      <w:rFonts w:eastAsia="Times New Roman"/>
      <w:color w:val="000000"/>
      <w:sz w:val="18"/>
      <w:szCs w:val="18"/>
      <w:lang w:eastAsia="en-US" w:bidi="en-US"/>
    </w:rPr>
  </w:style>
  <w:style w:type="character" w:customStyle="1" w:styleId="29">
    <w:name w:val="页脚 Char"/>
    <w:basedOn w:val="8"/>
    <w:link w:val="4"/>
    <w:qFormat/>
    <w:uiPriority w:val="0"/>
    <w:rPr>
      <w:rFonts w:eastAsia="Times New Roman"/>
      <w:color w:val="000000"/>
      <w:sz w:val="18"/>
      <w:szCs w:val="18"/>
      <w:lang w:eastAsia="en-US" w:bidi="en-US"/>
    </w:rPr>
  </w:style>
  <w:style w:type="character" w:customStyle="1" w:styleId="30">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10096</Words>
  <Characters>10428</Characters>
  <Lines>75</Lines>
  <Paragraphs>21</Paragraphs>
  <TotalTime>9</TotalTime>
  <ScaleCrop>false</ScaleCrop>
  <LinksUpToDate>false</LinksUpToDate>
  <CharactersWithSpaces>10489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2023-07-27T11:06:00Z</dcterms:created>
  <dc:creator>WPS Office</dc:creator>
  <cp:lastModifiedBy>彭裕惠</cp:lastModifiedBy>
  <dcterms:modified xsi:type="dcterms:W3CDTF">2024-08-26T15:15:14Z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0B62B276637848A8BEF2F8AA2BED9D51_13</vt:lpwstr>
  </property>
</Properties>
</file>