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keepLines/>
        <w:spacing w:before="0" w:after="0" w:line="560" w:lineRule="exact"/>
        <w:rPr>
          <w:rFonts w:ascii="方正小标宋简体" w:eastAsia="方正小标宋简体"/>
          <w:color w:val="auto"/>
          <w:lang w:val="en-US"/>
        </w:rPr>
      </w:pPr>
      <w:bookmarkStart w:id="56" w:name="_GoBack"/>
      <w:bookmarkEnd w:id="56"/>
      <w:bookmarkStart w:id="0" w:name="bookmark0"/>
      <w:bookmarkStart w:id="1" w:name="bookmark1"/>
      <w:bookmarkStart w:id="2" w:name="bookmark2"/>
    </w:p>
    <w:p>
      <w:pPr>
        <w:pStyle w:val="11"/>
        <w:keepNext/>
        <w:keepLines/>
        <w:spacing w:before="0" w:after="0" w:line="560" w:lineRule="exact"/>
        <w:rPr>
          <w:rFonts w:ascii="方正小标宋简体" w:eastAsia="PMingLiU"/>
          <w:color w:val="auto"/>
          <w:lang w:val="en-US"/>
        </w:rPr>
      </w:pPr>
    </w:p>
    <w:p>
      <w:pPr>
        <w:pStyle w:val="11"/>
        <w:keepNext/>
        <w:keepLines/>
        <w:spacing w:before="0" w:after="0" w:line="560" w:lineRule="exact"/>
        <w:rPr>
          <w:rFonts w:ascii="方正小标宋简体" w:eastAsia="PMingLiU"/>
          <w:color w:val="auto"/>
          <w:lang w:val="en-US"/>
        </w:rPr>
      </w:pPr>
    </w:p>
    <w:p>
      <w:pPr>
        <w:pStyle w:val="11"/>
        <w:keepNext/>
        <w:keepLines/>
        <w:spacing w:before="0" w:after="0" w:line="560" w:lineRule="exact"/>
        <w:rPr>
          <w:rFonts w:ascii="方正小标宋简体" w:eastAsia="方正小标宋简体"/>
          <w:b/>
          <w:bCs/>
          <w:color w:val="auto"/>
          <w:sz w:val="44"/>
          <w:szCs w:val="44"/>
        </w:rPr>
      </w:pPr>
      <w:r>
        <w:rPr>
          <w:rFonts w:hint="eastAsia" w:ascii="方正小标宋简体" w:eastAsia="方正小标宋简体"/>
          <w:b/>
          <w:bCs/>
          <w:color w:val="auto"/>
          <w:sz w:val="44"/>
          <w:szCs w:val="44"/>
          <w:lang w:val="en-US" w:eastAsia="zh-CN"/>
        </w:rPr>
        <w:t>沙头街</w:t>
      </w:r>
      <w:r>
        <w:rPr>
          <w:rFonts w:hint="eastAsia" w:ascii="方正小标宋简体" w:eastAsia="方正小标宋简体"/>
          <w:b/>
          <w:bCs/>
          <w:color w:val="auto"/>
          <w:sz w:val="44"/>
          <w:szCs w:val="44"/>
          <w:lang w:val="en-US"/>
        </w:rPr>
        <w:t>社工</w:t>
      </w:r>
      <w:r>
        <w:rPr>
          <w:rFonts w:hint="eastAsia" w:ascii="方正小标宋简体" w:eastAsia="方正小标宋简体"/>
          <w:b/>
          <w:bCs/>
          <w:color w:val="auto"/>
          <w:sz w:val="44"/>
          <w:szCs w:val="44"/>
        </w:rPr>
        <w:t>服务站</w:t>
      </w:r>
      <w:r>
        <w:rPr>
          <w:rFonts w:hint="eastAsia" w:ascii="方正小标宋简体" w:eastAsia="方正小标宋简体"/>
          <w:b/>
          <w:bCs/>
          <w:color w:val="auto"/>
          <w:sz w:val="44"/>
          <w:szCs w:val="44"/>
          <w:lang w:eastAsia="zh-CN"/>
        </w:rPr>
        <w:t>末期</w:t>
      </w:r>
      <w:r>
        <w:rPr>
          <w:rFonts w:hint="eastAsia" w:ascii="方正小标宋简体" w:eastAsia="方正小标宋简体"/>
          <w:b/>
          <w:bCs/>
          <w:color w:val="auto"/>
          <w:sz w:val="44"/>
          <w:szCs w:val="44"/>
        </w:rPr>
        <w:t>评估报告</w:t>
      </w:r>
      <w:bookmarkEnd w:id="0"/>
      <w:bookmarkEnd w:id="1"/>
      <w:bookmarkEnd w:id="2"/>
    </w:p>
    <w:p>
      <w:pPr>
        <w:pStyle w:val="11"/>
        <w:keepNext/>
        <w:keepLines/>
        <w:spacing w:before="0" w:after="0" w:line="560" w:lineRule="exact"/>
        <w:rPr>
          <w:rFonts w:ascii="方正小标宋简体" w:eastAsia="方正小标宋简体"/>
          <w:b/>
          <w:bCs/>
          <w:color w:val="auto"/>
          <w:sz w:val="44"/>
          <w:szCs w:val="44"/>
          <w:lang w:eastAsia="zh-CN"/>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3</w:t>
      </w:r>
      <w:r>
        <w:rPr>
          <w:rFonts w:hint="eastAsia" w:ascii="方正小标宋简体" w:eastAsia="方正小标宋简体"/>
          <w:b/>
          <w:bCs/>
          <w:color w:val="auto"/>
          <w:sz w:val="44"/>
          <w:szCs w:val="44"/>
          <w:lang w:eastAsia="zh-CN"/>
        </w:rPr>
        <w:t>年8月</w:t>
      </w:r>
      <w:r>
        <w:rPr>
          <w:rFonts w:hint="eastAsia" w:ascii="方正小标宋简体" w:eastAsia="方正小标宋简体"/>
          <w:b/>
          <w:bCs/>
          <w:color w:val="auto"/>
          <w:sz w:val="44"/>
          <w:szCs w:val="44"/>
          <w:lang w:val="en-US" w:eastAsia="zh-CN"/>
        </w:rPr>
        <w:t>21</w:t>
      </w:r>
      <w:r>
        <w:rPr>
          <w:rFonts w:hint="eastAsia" w:ascii="方正小标宋简体" w:eastAsia="方正小标宋简体"/>
          <w:b/>
          <w:bCs/>
          <w:color w:val="auto"/>
          <w:sz w:val="44"/>
          <w:szCs w:val="44"/>
          <w:lang w:eastAsia="zh-CN"/>
        </w:rPr>
        <w:t>日—202</w:t>
      </w:r>
      <w:r>
        <w:rPr>
          <w:rFonts w:hint="eastAsia" w:ascii="方正小标宋简体" w:eastAsia="方正小标宋简体"/>
          <w:b/>
          <w:bCs/>
          <w:color w:val="auto"/>
          <w:sz w:val="44"/>
          <w:szCs w:val="44"/>
          <w:lang w:val="en-US" w:eastAsia="zh-CN"/>
        </w:rPr>
        <w:t>4</w:t>
      </w:r>
      <w:r>
        <w:rPr>
          <w:rFonts w:hint="eastAsia" w:ascii="方正小标宋简体" w:eastAsia="方正小标宋简体"/>
          <w:b/>
          <w:bCs/>
          <w:color w:val="auto"/>
          <w:sz w:val="44"/>
          <w:szCs w:val="44"/>
          <w:lang w:eastAsia="zh-CN"/>
        </w:rPr>
        <w:t>年</w:t>
      </w:r>
      <w:r>
        <w:rPr>
          <w:rFonts w:hint="eastAsia" w:ascii="方正小标宋简体" w:eastAsia="方正小标宋简体"/>
          <w:b/>
          <w:bCs/>
          <w:color w:val="auto"/>
          <w:sz w:val="44"/>
          <w:szCs w:val="44"/>
          <w:lang w:val="en-US" w:eastAsia="zh-CN"/>
        </w:rPr>
        <w:t>8</w:t>
      </w:r>
      <w:r>
        <w:rPr>
          <w:rFonts w:hint="eastAsia" w:ascii="方正小标宋简体" w:eastAsia="方正小标宋简体"/>
          <w:b/>
          <w:bCs/>
          <w:color w:val="auto"/>
          <w:sz w:val="44"/>
          <w:szCs w:val="44"/>
          <w:lang w:eastAsia="zh-CN"/>
        </w:rPr>
        <w:t>月</w:t>
      </w:r>
      <w:r>
        <w:rPr>
          <w:rFonts w:hint="eastAsia" w:ascii="方正小标宋简体" w:eastAsia="方正小标宋简体"/>
          <w:b/>
          <w:bCs/>
          <w:color w:val="auto"/>
          <w:sz w:val="44"/>
          <w:szCs w:val="44"/>
          <w:lang w:val="en-US" w:eastAsia="zh-CN"/>
        </w:rPr>
        <w:t>20</w:t>
      </w:r>
      <w:r>
        <w:rPr>
          <w:rFonts w:hint="eastAsia" w:ascii="方正小标宋简体" w:eastAsia="方正小标宋简体"/>
          <w:b/>
          <w:bCs/>
          <w:color w:val="auto"/>
          <w:sz w:val="44"/>
          <w:szCs w:val="44"/>
          <w:lang w:eastAsia="zh-CN"/>
        </w:rPr>
        <w:t>日）</w:t>
      </w:r>
    </w:p>
    <w:p>
      <w:pPr>
        <w:pStyle w:val="13"/>
        <w:spacing w:after="0" w:line="560" w:lineRule="exact"/>
        <w:ind w:firstLine="2529" w:firstLineChars="900"/>
        <w:jc w:val="both"/>
        <w:rPr>
          <w:rFonts w:ascii="仿宋_GB2312" w:eastAsia="PMingLiU"/>
          <w:b/>
          <w:color w:val="auto"/>
        </w:rPr>
      </w:pPr>
      <w:bookmarkStart w:id="3" w:name="bookmark5"/>
      <w:bookmarkStart w:id="4" w:name="bookmark3"/>
      <w:bookmarkStart w:id="5" w:name="bookmark4"/>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529" w:firstLineChars="900"/>
        <w:jc w:val="both"/>
        <w:rPr>
          <w:rFonts w:ascii="仿宋_GB2312" w:eastAsia="PMingLiU"/>
          <w:b/>
          <w:color w:val="auto"/>
        </w:rPr>
      </w:pPr>
    </w:p>
    <w:p>
      <w:pPr>
        <w:pStyle w:val="13"/>
        <w:spacing w:after="0" w:line="560" w:lineRule="exact"/>
        <w:ind w:firstLine="2085" w:firstLineChars="742"/>
        <w:jc w:val="both"/>
        <w:rPr>
          <w:rFonts w:ascii="仿宋_GB2312" w:eastAsia="仿宋_GB2312"/>
          <w:b/>
          <w:color w:val="auto"/>
        </w:rPr>
      </w:pPr>
      <w:r>
        <w:rPr>
          <w:rFonts w:hint="eastAsia" w:ascii="仿宋_GB2312" w:eastAsia="仿宋_GB2312"/>
          <w:b/>
          <w:color w:val="auto"/>
        </w:rPr>
        <w:t>评估委托方：广州市</w:t>
      </w:r>
      <w:r>
        <w:rPr>
          <w:rFonts w:hint="eastAsia" w:ascii="仿宋_GB2312" w:eastAsia="仿宋_GB2312"/>
          <w:b/>
          <w:color w:val="auto"/>
          <w:lang w:val="en-US"/>
        </w:rPr>
        <w:t>番禺</w:t>
      </w:r>
      <w:r>
        <w:rPr>
          <w:rFonts w:hint="eastAsia" w:ascii="仿宋_GB2312" w:eastAsia="仿宋_GB2312"/>
          <w:b/>
          <w:color w:val="auto"/>
        </w:rPr>
        <w:t>区民政局</w:t>
      </w:r>
    </w:p>
    <w:p>
      <w:pPr>
        <w:pStyle w:val="13"/>
        <w:spacing w:after="0" w:line="560" w:lineRule="exact"/>
        <w:ind w:firstLine="2085" w:firstLineChars="742"/>
        <w:jc w:val="both"/>
        <w:rPr>
          <w:rFonts w:hint="default" w:ascii="仿宋_GB2312" w:eastAsia="仿宋_GB2312"/>
          <w:b/>
          <w:color w:val="auto"/>
          <w:lang w:val="en-US"/>
        </w:rPr>
      </w:pPr>
      <w:r>
        <w:rPr>
          <w:rFonts w:hint="eastAsia" w:ascii="仿宋_GB2312" w:eastAsia="仿宋_GB2312"/>
          <w:b/>
          <w:color w:val="auto"/>
        </w:rPr>
        <w:t>项目购买方：广州市</w:t>
      </w:r>
      <w:r>
        <w:rPr>
          <w:rFonts w:hint="eastAsia" w:ascii="仿宋_GB2312" w:eastAsia="仿宋_GB2312"/>
          <w:b/>
          <w:color w:val="auto"/>
          <w:lang w:val="en-US"/>
        </w:rPr>
        <w:t>番禺区</w:t>
      </w:r>
      <w:r>
        <w:rPr>
          <w:rFonts w:hint="eastAsia" w:ascii="仿宋_GB2312" w:eastAsia="仿宋_GB2312"/>
          <w:b/>
          <w:color w:val="auto"/>
          <w:lang w:val="en-US" w:eastAsia="zh-CN"/>
        </w:rPr>
        <w:t>沙头街道办事处</w:t>
      </w:r>
    </w:p>
    <w:p>
      <w:pPr>
        <w:pStyle w:val="13"/>
        <w:spacing w:after="0" w:line="560" w:lineRule="exact"/>
        <w:ind w:firstLine="2085" w:firstLineChars="742"/>
        <w:jc w:val="both"/>
        <w:rPr>
          <w:rFonts w:hint="default" w:ascii="仿宋_GB2312" w:eastAsia="仿宋_GB2312"/>
          <w:b/>
          <w:color w:val="auto"/>
          <w:lang w:val="en-US" w:eastAsia="zh-CN"/>
        </w:rPr>
      </w:pPr>
      <w:r>
        <w:rPr>
          <w:rFonts w:hint="eastAsia" w:ascii="仿宋_GB2312" w:eastAsia="仿宋_GB2312"/>
          <w:b/>
          <w:color w:val="auto"/>
        </w:rPr>
        <w:t>项目承办方：广州市黄埔区现代社会工作服务中心</w:t>
      </w:r>
    </w:p>
    <w:p>
      <w:pPr>
        <w:pStyle w:val="13"/>
        <w:spacing w:after="0" w:line="560" w:lineRule="exact"/>
        <w:ind w:firstLine="2085" w:firstLineChars="742"/>
        <w:jc w:val="both"/>
        <w:rPr>
          <w:rFonts w:ascii="仿宋_GB2312" w:eastAsia="仿宋_GB2312"/>
          <w:b/>
          <w:color w:val="auto"/>
        </w:rPr>
      </w:pPr>
      <w:r>
        <w:rPr>
          <w:rFonts w:hint="eastAsia" w:ascii="仿宋_GB2312" w:eastAsia="仿宋_GB2312"/>
          <w:b/>
          <w:color w:val="auto"/>
        </w:rPr>
        <w:t>项目评估方：</w:t>
      </w:r>
      <w:r>
        <w:rPr>
          <w:rFonts w:hint="eastAsia" w:ascii="仿宋_GB2312" w:eastAsia="仿宋_GB2312"/>
          <w:b/>
          <w:color w:val="auto"/>
          <w:lang w:val="en-US"/>
        </w:rPr>
        <w:t>广州市番禺区</w:t>
      </w:r>
      <w:r>
        <w:rPr>
          <w:rFonts w:hint="eastAsia" w:ascii="仿宋_GB2312" w:eastAsia="仿宋_GB2312"/>
          <w:b/>
          <w:color w:val="auto"/>
        </w:rPr>
        <w:t>社会组织联合会</w:t>
      </w:r>
    </w:p>
    <w:p>
      <w:pPr>
        <w:pStyle w:val="13"/>
        <w:spacing w:after="0" w:line="560" w:lineRule="exact"/>
        <w:ind w:firstLine="2085" w:firstLineChars="742"/>
        <w:jc w:val="both"/>
        <w:rPr>
          <w:rFonts w:ascii="仿宋_GB2312" w:eastAsia="仿宋_GB2312"/>
          <w:b/>
          <w:color w:val="auto"/>
        </w:rPr>
      </w:pPr>
      <w:r>
        <w:rPr>
          <w:rFonts w:hint="eastAsia" w:ascii="仿宋_GB2312" w:eastAsia="仿宋_GB2312"/>
          <w:b/>
          <w:color w:val="auto"/>
        </w:rPr>
        <w:t>评估日期：</w:t>
      </w:r>
      <w:r>
        <w:rPr>
          <w:rFonts w:hint="eastAsia" w:ascii="仿宋_GB2312" w:eastAsia="仿宋_GB2312"/>
          <w:b/>
          <w:color w:val="auto"/>
          <w:lang w:val="en-US" w:eastAsia="zh-CN"/>
        </w:rPr>
        <w:t>2024年7</w:t>
      </w:r>
      <w:r>
        <w:rPr>
          <w:rFonts w:hint="eastAsia" w:ascii="仿宋_GB2312" w:eastAsia="仿宋_GB2312"/>
          <w:b/>
          <w:color w:val="auto"/>
          <w:lang w:val="en-US"/>
        </w:rPr>
        <w:t>月</w:t>
      </w:r>
      <w:r>
        <w:rPr>
          <w:rFonts w:hint="eastAsia" w:ascii="仿宋_GB2312" w:eastAsia="仿宋_GB2312"/>
          <w:b/>
          <w:color w:val="auto"/>
          <w:lang w:val="en-US" w:eastAsia="zh-CN"/>
        </w:rPr>
        <w:t>30</w:t>
      </w:r>
      <w:r>
        <w:rPr>
          <w:rFonts w:hint="eastAsia" w:ascii="仿宋_GB2312" w:eastAsia="仿宋_GB2312"/>
          <w:b/>
          <w:color w:val="auto"/>
          <w:lang w:val="en-US"/>
        </w:rPr>
        <w:t>日</w:t>
      </w:r>
    </w:p>
    <w:p>
      <w:pPr>
        <w:pStyle w:val="13"/>
        <w:spacing w:after="0" w:line="240" w:lineRule="auto"/>
        <w:ind w:firstLine="0"/>
        <w:rPr>
          <w:color w:val="auto"/>
        </w:rPr>
      </w:pPr>
    </w:p>
    <w:p>
      <w:pPr>
        <w:pStyle w:val="13"/>
        <w:spacing w:after="0" w:line="240" w:lineRule="auto"/>
        <w:ind w:firstLine="0"/>
        <w:rPr>
          <w:color w:val="auto"/>
        </w:rPr>
      </w:pPr>
    </w:p>
    <w:p>
      <w:pPr>
        <w:pStyle w:val="13"/>
        <w:spacing w:after="0" w:line="240" w:lineRule="auto"/>
        <w:ind w:firstLine="0"/>
        <w:rPr>
          <w:color w:val="auto"/>
        </w:rPr>
      </w:pPr>
    </w:p>
    <w:p>
      <w:pPr>
        <w:pStyle w:val="13"/>
        <w:spacing w:after="0" w:line="240" w:lineRule="auto"/>
        <w:ind w:firstLine="0"/>
        <w:rPr>
          <w:color w:val="auto"/>
        </w:rPr>
      </w:pPr>
    </w:p>
    <w:p>
      <w:pPr>
        <w:pStyle w:val="13"/>
        <w:spacing w:after="0" w:line="240" w:lineRule="auto"/>
        <w:ind w:firstLine="0"/>
        <w:rPr>
          <w:rFonts w:eastAsia="PMingLiU"/>
          <w:color w:val="auto"/>
        </w:rPr>
        <w:sectPr>
          <w:pgSz w:w="11900" w:h="16840"/>
          <w:pgMar w:top="1301" w:right="876" w:bottom="1373" w:left="885" w:header="457" w:footer="448" w:gutter="0"/>
          <w:cols w:space="720" w:num="1"/>
          <w:docGrid w:linePitch="360" w:charSpace="0"/>
        </w:sectPr>
      </w:pPr>
    </w:p>
    <w:p>
      <w:pPr>
        <w:pStyle w:val="13"/>
        <w:spacing w:after="0" w:line="240" w:lineRule="auto"/>
        <w:ind w:firstLine="0"/>
        <w:rPr>
          <w:color w:val="auto"/>
        </w:rPr>
      </w:pPr>
    </w:p>
    <w:bookmarkEnd w:id="3"/>
    <w:bookmarkEnd w:id="4"/>
    <w:bookmarkEnd w:id="5"/>
    <w:p>
      <w:pPr>
        <w:pStyle w:val="13"/>
        <w:spacing w:after="0" w:line="560" w:lineRule="exact"/>
        <w:ind w:firstLine="0"/>
        <w:jc w:val="center"/>
        <w:rPr>
          <w:rFonts w:hint="eastAsia" w:ascii="方正小标宋简体" w:eastAsia="方正小标宋简体"/>
          <w:b/>
          <w:bCs/>
          <w:color w:val="auto"/>
          <w:sz w:val="44"/>
          <w:szCs w:val="44"/>
          <w:lang w:val="en-US" w:eastAsia="zh-CN"/>
        </w:rPr>
      </w:pPr>
      <w:r>
        <w:rPr>
          <w:rFonts w:hint="eastAsia" w:ascii="方正小标宋简体" w:eastAsia="方正小标宋简体"/>
          <w:b/>
          <w:bCs/>
          <w:color w:val="auto"/>
          <w:sz w:val="44"/>
          <w:szCs w:val="44"/>
          <w:lang w:val="en-US" w:eastAsia="zh-CN"/>
        </w:rPr>
        <w:t>沙头街社工服务站末期评估报告</w:t>
      </w:r>
    </w:p>
    <w:p>
      <w:pPr>
        <w:pStyle w:val="13"/>
        <w:spacing w:after="0" w:line="560" w:lineRule="exact"/>
        <w:ind w:firstLine="0"/>
        <w:jc w:val="center"/>
        <w:rPr>
          <w:rFonts w:hint="eastAsia" w:ascii="方正小标宋简体" w:eastAsia="方正小标宋简体"/>
          <w:b/>
          <w:bCs/>
          <w:color w:val="auto"/>
          <w:sz w:val="44"/>
          <w:szCs w:val="44"/>
          <w:lang w:val="en-US" w:eastAsia="zh-CN"/>
        </w:rPr>
      </w:pPr>
      <w:r>
        <w:rPr>
          <w:rFonts w:hint="eastAsia" w:ascii="方正小标宋简体" w:eastAsia="方正小标宋简体"/>
          <w:b/>
          <w:bCs/>
          <w:color w:val="auto"/>
          <w:sz w:val="44"/>
          <w:szCs w:val="44"/>
          <w:lang w:val="en-US" w:eastAsia="zh-CN"/>
        </w:rPr>
        <w:t>（2023年8月21日—2024年8月20日）</w:t>
      </w:r>
    </w:p>
    <w:p>
      <w:pPr>
        <w:pStyle w:val="13"/>
        <w:spacing w:after="0" w:line="560" w:lineRule="exact"/>
        <w:ind w:firstLine="0"/>
        <w:rPr>
          <w:rFonts w:hint="eastAsia" w:ascii="方正小标宋简体" w:eastAsia="方正小标宋简体"/>
          <w:b/>
          <w:bCs/>
          <w:color w:val="auto"/>
          <w:sz w:val="44"/>
          <w:szCs w:val="44"/>
          <w:lang w:val="en-US" w:eastAsia="zh-CN"/>
        </w:rPr>
      </w:pPr>
    </w:p>
    <w:p>
      <w:pPr>
        <w:pStyle w:val="13"/>
        <w:pageBreakBefore w:val="0"/>
        <w:widowControl w:val="0"/>
        <w:kinsoku/>
        <w:wordWrap/>
        <w:overflowPunct/>
        <w:topLinePunct w:val="0"/>
        <w:autoSpaceDE/>
        <w:autoSpaceDN/>
        <w:bidi w:val="0"/>
        <w:adjustRightInd/>
        <w:snapToGrid/>
        <w:spacing w:after="0" w:line="560" w:lineRule="exact"/>
        <w:ind w:firstLine="578"/>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沙头街社工服务站</w:t>
      </w:r>
      <w:r>
        <w:rPr>
          <w:rFonts w:hint="eastAsia" w:ascii="仿宋_GB2312" w:eastAsia="仿宋_GB2312"/>
          <w:color w:val="auto"/>
          <w:sz w:val="32"/>
          <w:szCs w:val="32"/>
        </w:rPr>
        <w:t>（简称</w:t>
      </w:r>
      <w:r>
        <w:rPr>
          <w:rFonts w:hint="eastAsia" w:ascii="仿宋_GB2312" w:eastAsia="仿宋_GB2312"/>
          <w:color w:val="auto"/>
          <w:sz w:val="32"/>
          <w:szCs w:val="32"/>
          <w:lang w:val="en-US" w:eastAsia="zh-CN"/>
        </w:rPr>
        <w:t>沙头街</w:t>
      </w:r>
      <w:r>
        <w:rPr>
          <w:rFonts w:hint="eastAsia" w:ascii="仿宋_GB2312" w:eastAsia="仿宋_GB2312"/>
          <w:color w:val="auto"/>
          <w:sz w:val="32"/>
          <w:szCs w:val="32"/>
        </w:rPr>
        <w:t>社工站）</w:t>
      </w:r>
      <w:r>
        <w:rPr>
          <w:rFonts w:hint="eastAsia" w:ascii="仿宋_GB2312" w:eastAsia="仿宋_GB2312"/>
          <w:color w:val="auto"/>
          <w:sz w:val="32"/>
          <w:szCs w:val="32"/>
          <w:lang w:eastAsia="zh-CN"/>
        </w:rPr>
        <w:t>末期</w:t>
      </w:r>
      <w:r>
        <w:rPr>
          <w:rFonts w:hint="eastAsia" w:ascii="仿宋_GB2312" w:eastAsia="仿宋_GB2312"/>
          <w:color w:val="auto"/>
          <w:sz w:val="32"/>
          <w:szCs w:val="32"/>
        </w:rPr>
        <w:t>报告，是专业评估人员通过对</w:t>
      </w:r>
      <w:r>
        <w:rPr>
          <w:rFonts w:hint="eastAsia" w:ascii="仿宋_GB2312" w:eastAsia="仿宋_GB2312"/>
          <w:color w:val="auto"/>
          <w:sz w:val="32"/>
          <w:szCs w:val="32"/>
          <w:lang w:val="en-US" w:eastAsia="zh-CN"/>
        </w:rPr>
        <w:t>沙头街</w:t>
      </w:r>
      <w:r>
        <w:rPr>
          <w:rFonts w:hint="eastAsia" w:ascii="仿宋_GB2312" w:eastAsia="仿宋_GB2312"/>
          <w:color w:val="auto"/>
          <w:sz w:val="32"/>
          <w:szCs w:val="32"/>
        </w:rPr>
        <w:t>社工站项目阶段性服务的全面调查、综合分析和科学判断，确定目标是否可行，总结服务开展情况，以及服务成效体现的总结文书。经过</w:t>
      </w:r>
      <w:r>
        <w:rPr>
          <w:rFonts w:hint="eastAsia" w:ascii="仿宋_GB2312" w:hAnsi="Times New Roman" w:eastAsia="仿宋_GB2312" w:cs="Times New Roman"/>
          <w:color w:val="auto"/>
          <w:sz w:val="32"/>
          <w:szCs w:val="32"/>
        </w:rPr>
        <w:t>5</w:t>
      </w:r>
      <w:r>
        <w:rPr>
          <w:rFonts w:hint="eastAsia" w:ascii="仿宋_GB2312" w:eastAsia="仿宋_GB2312"/>
          <w:color w:val="auto"/>
          <w:sz w:val="32"/>
          <w:szCs w:val="32"/>
        </w:rPr>
        <w:t>位专家及</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名工作人员</w:t>
      </w:r>
      <w:r>
        <w:rPr>
          <w:rFonts w:hint="eastAsia" w:ascii="仿宋_GB2312" w:eastAsia="仿宋_GB2312"/>
          <w:color w:val="auto"/>
          <w:sz w:val="32"/>
          <w:szCs w:val="32"/>
          <w:lang w:val="en-US"/>
        </w:rPr>
        <w:t>对</w:t>
      </w:r>
      <w:r>
        <w:rPr>
          <w:rFonts w:hint="eastAsia" w:ascii="仿宋_GB2312" w:eastAsia="仿宋_GB2312"/>
          <w:color w:val="auto"/>
          <w:sz w:val="32"/>
          <w:szCs w:val="32"/>
        </w:rPr>
        <w:t>社工站展开为期一天的实地考察、访谈、查阅资料等形式的评估，形成此报告。</w:t>
      </w:r>
      <w:r>
        <w:rPr>
          <w:rFonts w:hint="eastAsia" w:ascii="仿宋_GB2312" w:eastAsia="仿宋_GB2312"/>
          <w:color w:val="auto"/>
          <w:sz w:val="32"/>
          <w:szCs w:val="32"/>
          <w:lang w:val="en-US" w:eastAsia="zh-CN"/>
        </w:rPr>
        <w:t>沙头街</w:t>
      </w:r>
      <w:r>
        <w:rPr>
          <w:rFonts w:hint="eastAsia" w:ascii="仿宋_GB2312" w:eastAsia="仿宋_GB2312"/>
          <w:color w:val="auto"/>
          <w:sz w:val="32"/>
          <w:szCs w:val="32"/>
        </w:rPr>
        <w:t>社工站可以将此报告作为参考，进行服务完善和提升，从多方面</w:t>
      </w:r>
      <w:r>
        <w:rPr>
          <w:rFonts w:hint="eastAsia" w:ascii="仿宋_GB2312" w:eastAsia="仿宋_GB2312"/>
          <w:color w:val="auto"/>
          <w:sz w:val="32"/>
          <w:szCs w:val="32"/>
          <w:lang w:eastAsia="zh-CN"/>
        </w:rPr>
        <w:t>夯</w:t>
      </w:r>
      <w:r>
        <w:rPr>
          <w:rFonts w:hint="eastAsia" w:ascii="仿宋_GB2312" w:eastAsia="仿宋_GB2312"/>
          <w:color w:val="auto"/>
          <w:sz w:val="32"/>
          <w:szCs w:val="32"/>
        </w:rPr>
        <w:t>实服务基础，拓展服务面，提升服务的专业化水平。本报告尽量呈现社工站的实际情况，因评估时间较短的关系，社工站部分服务成效不完全体现在报告</w:t>
      </w:r>
      <w:r>
        <w:rPr>
          <w:rFonts w:hint="eastAsia" w:ascii="仿宋_GB2312" w:eastAsia="仿宋_GB2312"/>
          <w:color w:val="auto"/>
          <w:sz w:val="32"/>
          <w:szCs w:val="32"/>
          <w:lang w:eastAsia="zh-CN"/>
        </w:rPr>
        <w:t>中</w:t>
      </w:r>
      <w:r>
        <w:rPr>
          <w:rFonts w:hint="eastAsia" w:ascii="仿宋_GB2312" w:eastAsia="仿宋_GB2312"/>
          <w:color w:val="auto"/>
          <w:sz w:val="32"/>
          <w:szCs w:val="32"/>
        </w:rPr>
        <w:t>。</w:t>
      </w:r>
    </w:p>
    <w:p>
      <w:pPr>
        <w:pStyle w:val="11"/>
        <w:keepNext/>
        <w:keepLines/>
        <w:pageBreakBefore w:val="0"/>
        <w:widowControl w:val="0"/>
        <w:kinsoku/>
        <w:wordWrap/>
        <w:overflowPunct/>
        <w:topLinePunct w:val="0"/>
        <w:autoSpaceDE/>
        <w:autoSpaceDN/>
        <w:bidi w:val="0"/>
        <w:adjustRightInd/>
        <w:snapToGrid/>
        <w:spacing w:before="0" w:after="0" w:line="56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一、</w:t>
      </w:r>
      <w:r>
        <w:rPr>
          <w:rFonts w:hint="eastAsia" w:ascii="方正小标宋简体" w:eastAsia="方正小标宋简体"/>
          <w:b/>
          <w:bCs/>
          <w:color w:val="auto"/>
          <w:sz w:val="32"/>
          <w:szCs w:val="28"/>
          <w:lang w:val="en-US" w:eastAsia="zh-CN"/>
        </w:rPr>
        <w:t>末期</w:t>
      </w:r>
      <w:r>
        <w:rPr>
          <w:rFonts w:hint="eastAsia" w:ascii="方正小标宋简体" w:eastAsia="方正小标宋简体"/>
          <w:b/>
          <w:bCs/>
          <w:color w:val="auto"/>
          <w:sz w:val="32"/>
          <w:szCs w:val="28"/>
          <w:lang w:val="en-US"/>
        </w:rPr>
        <w:t>评估背景</w:t>
      </w:r>
    </w:p>
    <w:p>
      <w:pPr>
        <w:pStyle w:val="13"/>
        <w:pageBreakBefore w:val="0"/>
        <w:widowControl w:val="0"/>
        <w:kinsoku/>
        <w:wordWrap/>
        <w:overflowPunct/>
        <w:topLinePunct w:val="0"/>
        <w:autoSpaceDE/>
        <w:autoSpaceDN/>
        <w:bidi w:val="0"/>
        <w:adjustRightInd/>
        <w:snapToGrid/>
        <w:spacing w:after="0" w:line="560" w:lineRule="exact"/>
        <w:ind w:firstLine="578"/>
        <w:jc w:val="both"/>
        <w:textAlignment w:val="auto"/>
        <w:rPr>
          <w:rFonts w:ascii="仿宋_GB2312" w:eastAsia="仿宋_GB2312"/>
          <w:color w:val="auto"/>
          <w:sz w:val="32"/>
          <w:szCs w:val="32"/>
          <w:lang w:val="en-US" w:eastAsia="zh-CN"/>
        </w:rPr>
      </w:pPr>
      <w:r>
        <w:rPr>
          <w:rFonts w:hint="eastAsia" w:ascii="仿宋_GB2312" w:eastAsia="仿宋_GB2312"/>
          <w:color w:val="auto"/>
          <w:sz w:val="32"/>
          <w:szCs w:val="32"/>
          <w:lang w:val="en-US" w:eastAsia="zh-CN"/>
        </w:rPr>
        <w:t>2024年7月30日，番禺区社会组织联合会5位评委及2名工作人员对沙头街社工站展开了末期评估工作。评估为期1天，主要通过听取社工站介绍、实地考察、查阅资料、面谈（访谈）、填写问卷、入户困难群众询问等形式，对沙头街社工站的项目管理、服务开展情况以及项目成效等方面进行评估。评估团队主要完成了以下几方面的工作：</w:t>
      </w:r>
    </w:p>
    <w:p>
      <w:pPr>
        <w:pStyle w:val="13"/>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仿宋_GB2312" w:eastAsia="仿宋_GB2312"/>
          <w:sz w:val="32"/>
          <w:szCs w:val="32"/>
        </w:rPr>
      </w:pPr>
      <w:bookmarkStart w:id="6" w:name="bookmark6"/>
      <w:bookmarkEnd w:id="6"/>
      <w:bookmarkStart w:id="7" w:name="bookmark13"/>
      <w:r>
        <w:rPr>
          <w:rFonts w:hint="eastAsia" w:ascii="仿宋_GB2312" w:eastAsia="仿宋_GB2312"/>
          <w:b/>
          <w:sz w:val="32"/>
          <w:szCs w:val="32"/>
          <w:lang w:val="en-US"/>
        </w:rPr>
        <w:t>1.</w:t>
      </w:r>
      <w:r>
        <w:rPr>
          <w:rFonts w:hint="eastAsia" w:ascii="仿宋_GB2312" w:eastAsia="仿宋_GB2312"/>
          <w:b/>
          <w:sz w:val="32"/>
          <w:szCs w:val="32"/>
        </w:rPr>
        <w:t>听取介绍。</w:t>
      </w:r>
      <w:r>
        <w:rPr>
          <w:rFonts w:hint="eastAsia" w:ascii="仿宋_GB2312" w:eastAsia="仿宋_GB2312"/>
          <w:sz w:val="32"/>
          <w:szCs w:val="32"/>
        </w:rPr>
        <w:t>由社工站负责人介绍社工站的运营及服务情况</w:t>
      </w:r>
      <w:r>
        <w:rPr>
          <w:rFonts w:hint="eastAsia" w:ascii="仿宋_GB2312" w:eastAsia="仿宋_GB2312"/>
          <w:sz w:val="32"/>
          <w:szCs w:val="32"/>
          <w:lang w:eastAsia="zh-CN"/>
        </w:rPr>
        <w:t>、</w:t>
      </w:r>
      <w:r>
        <w:rPr>
          <w:rFonts w:hint="eastAsia" w:ascii="仿宋_GB2312" w:eastAsia="仿宋_GB2312"/>
          <w:sz w:val="32"/>
          <w:szCs w:val="32"/>
        </w:rPr>
        <w:t>各项指标完成情况。</w:t>
      </w:r>
    </w:p>
    <w:p>
      <w:pPr>
        <w:pStyle w:val="13"/>
        <w:keepNext w:val="0"/>
        <w:keepLines w:val="0"/>
        <w:pageBreakBefore w:val="0"/>
        <w:widowControl w:val="0"/>
        <w:tabs>
          <w:tab w:val="left" w:pos="981"/>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8" w:name="bookmark7"/>
      <w:bookmarkEnd w:id="8"/>
      <w:r>
        <w:rPr>
          <w:rFonts w:hint="eastAsia" w:ascii="仿宋_GB2312" w:eastAsia="仿宋_GB2312"/>
          <w:b/>
          <w:sz w:val="32"/>
          <w:szCs w:val="32"/>
          <w:lang w:val="en-US"/>
        </w:rPr>
        <w:t>2.实地观察。</w:t>
      </w:r>
      <w:r>
        <w:rPr>
          <w:rFonts w:hint="eastAsia" w:ascii="仿宋_GB2312" w:eastAsia="仿宋_GB2312"/>
          <w:sz w:val="32"/>
          <w:szCs w:val="32"/>
        </w:rPr>
        <w:t>主要针对社工站硬件建设情况方面进行观察</w:t>
      </w:r>
      <w:r>
        <w:rPr>
          <w:rFonts w:hint="eastAsia" w:ascii="仿宋_GB2312" w:eastAsia="仿宋_GB2312"/>
          <w:sz w:val="32"/>
          <w:szCs w:val="32"/>
          <w:lang w:eastAsia="zh-CN"/>
        </w:rPr>
        <w:t>，</w:t>
      </w:r>
      <w:r>
        <w:rPr>
          <w:rFonts w:hint="eastAsia" w:ascii="仿宋_GB2312" w:eastAsia="仿宋_GB2312"/>
          <w:sz w:val="32"/>
          <w:szCs w:val="32"/>
        </w:rPr>
        <w:t>以评估其设施开展专业服务的适宜性。</w:t>
      </w:r>
    </w:p>
    <w:p>
      <w:pPr>
        <w:pStyle w:val="13"/>
        <w:keepNext w:val="0"/>
        <w:keepLines w:val="0"/>
        <w:pageBreakBefore w:val="0"/>
        <w:widowControl w:val="0"/>
        <w:tabs>
          <w:tab w:val="left" w:pos="976"/>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9" w:name="bookmark8"/>
      <w:bookmarkEnd w:id="9"/>
      <w:r>
        <w:rPr>
          <w:rFonts w:hint="eastAsia" w:ascii="仿宋_GB2312" w:eastAsia="仿宋_GB2312"/>
          <w:b/>
          <w:sz w:val="32"/>
          <w:szCs w:val="32"/>
          <w:lang w:val="en-US"/>
        </w:rPr>
        <w:t>3.查阅资料。</w:t>
      </w:r>
      <w:r>
        <w:rPr>
          <w:rFonts w:hint="eastAsia" w:ascii="仿宋_GB2312" w:eastAsia="仿宋_GB2312"/>
          <w:sz w:val="32"/>
          <w:szCs w:val="32"/>
        </w:rPr>
        <w:t>查阅社工站行政、人事管理制度及专业服务记录等方面的资料。</w:t>
      </w:r>
    </w:p>
    <w:p>
      <w:pPr>
        <w:pStyle w:val="13"/>
        <w:keepNext w:val="0"/>
        <w:keepLines w:val="0"/>
        <w:pageBreakBefore w:val="0"/>
        <w:widowControl w:val="0"/>
        <w:tabs>
          <w:tab w:val="left" w:pos="986"/>
        </w:tabs>
        <w:kinsoku/>
        <w:wordWrap/>
        <w:overflowPunct/>
        <w:topLinePunct w:val="0"/>
        <w:autoSpaceDE/>
        <w:autoSpaceDN/>
        <w:bidi w:val="0"/>
        <w:adjustRightInd/>
        <w:snapToGrid/>
        <w:spacing w:after="120" w:line="560" w:lineRule="exact"/>
        <w:ind w:firstLine="642" w:firstLineChars="200"/>
        <w:jc w:val="both"/>
        <w:textAlignment w:val="auto"/>
        <w:rPr>
          <w:rFonts w:ascii="仿宋_GB2312" w:eastAsia="仿宋_GB2312"/>
          <w:sz w:val="32"/>
          <w:szCs w:val="32"/>
        </w:rPr>
      </w:pPr>
      <w:bookmarkStart w:id="10" w:name="bookmark9"/>
      <w:bookmarkEnd w:id="10"/>
      <w:r>
        <w:rPr>
          <w:rFonts w:hint="eastAsia" w:ascii="仿宋_GB2312" w:eastAsia="仿宋_GB2312"/>
          <w:b/>
          <w:sz w:val="32"/>
          <w:szCs w:val="32"/>
          <w:lang w:val="en-US"/>
        </w:rPr>
        <w:t>4.各项目访谈。</w:t>
      </w:r>
      <w:r>
        <w:rPr>
          <w:rFonts w:hint="eastAsia" w:ascii="仿宋_GB2312" w:eastAsia="仿宋_GB2312"/>
          <w:sz w:val="32"/>
          <w:szCs w:val="32"/>
        </w:rPr>
        <w:t>评委与各项目社工进行访谈，了解社工站服务推进情况</w:t>
      </w:r>
      <w:r>
        <w:rPr>
          <w:rFonts w:hint="eastAsia" w:ascii="仿宋_GB2312" w:eastAsia="仿宋_GB2312"/>
          <w:sz w:val="32"/>
          <w:szCs w:val="32"/>
          <w:lang w:eastAsia="zh-CN"/>
        </w:rPr>
        <w:t>，</w:t>
      </w:r>
      <w:r>
        <w:rPr>
          <w:rFonts w:hint="eastAsia" w:ascii="仿宋_GB2312" w:eastAsia="仿宋_GB2312"/>
          <w:sz w:val="32"/>
          <w:szCs w:val="32"/>
        </w:rPr>
        <w:t>了解社工对服务项目的理解，以及开展服务的总结反思。</w:t>
      </w:r>
    </w:p>
    <w:p>
      <w:pPr>
        <w:pStyle w:val="13"/>
        <w:keepNext w:val="0"/>
        <w:keepLines w:val="0"/>
        <w:pageBreakBefore w:val="0"/>
        <w:widowControl w:val="0"/>
        <w:tabs>
          <w:tab w:val="left" w:pos="986"/>
        </w:tabs>
        <w:kinsoku/>
        <w:wordWrap/>
        <w:overflowPunct/>
        <w:topLinePunct w:val="0"/>
        <w:autoSpaceDE/>
        <w:autoSpaceDN/>
        <w:bidi w:val="0"/>
        <w:adjustRightInd/>
        <w:snapToGrid/>
        <w:spacing w:after="120" w:line="560" w:lineRule="exact"/>
        <w:ind w:firstLine="642" w:firstLineChars="200"/>
        <w:jc w:val="both"/>
        <w:textAlignment w:val="auto"/>
        <w:rPr>
          <w:rFonts w:ascii="仿宋_GB2312" w:eastAsia="仿宋_GB2312"/>
          <w:sz w:val="32"/>
          <w:szCs w:val="32"/>
        </w:rPr>
      </w:pPr>
      <w:bookmarkStart w:id="11" w:name="bookmark10"/>
      <w:bookmarkEnd w:id="11"/>
      <w:r>
        <w:rPr>
          <w:rFonts w:hint="eastAsia" w:ascii="仿宋_GB2312" w:eastAsia="仿宋_GB2312"/>
          <w:b/>
          <w:sz w:val="32"/>
          <w:szCs w:val="32"/>
          <w:lang w:val="en-US"/>
        </w:rPr>
        <w:t>5.机构运营访谈。</w:t>
      </w:r>
      <w:r>
        <w:rPr>
          <w:rFonts w:hint="eastAsia" w:ascii="仿宋_GB2312" w:eastAsia="仿宋_GB2312"/>
          <w:sz w:val="32"/>
          <w:szCs w:val="32"/>
        </w:rPr>
        <w:t>主要与承办机构管理人员及行政人员进行访谈</w:t>
      </w:r>
      <w:r>
        <w:rPr>
          <w:rFonts w:hint="eastAsia" w:ascii="仿宋_GB2312" w:eastAsia="仿宋_GB2312"/>
          <w:sz w:val="32"/>
          <w:szCs w:val="32"/>
          <w:lang w:eastAsia="zh-CN"/>
        </w:rPr>
        <w:t>，</w:t>
      </w:r>
      <w:r>
        <w:rPr>
          <w:rFonts w:hint="eastAsia" w:ascii="仿宋_GB2312" w:eastAsia="仿宋_GB2312"/>
          <w:sz w:val="32"/>
          <w:szCs w:val="32"/>
        </w:rPr>
        <w:t>了解机构运营情况，查看机构行政配套制度等情况。</w:t>
      </w:r>
    </w:p>
    <w:p>
      <w:pPr>
        <w:pStyle w:val="13"/>
        <w:keepNext w:val="0"/>
        <w:keepLines w:val="0"/>
        <w:pageBreakBefore w:val="0"/>
        <w:widowControl w:val="0"/>
        <w:tabs>
          <w:tab w:val="left" w:pos="952"/>
        </w:tabs>
        <w:kinsoku/>
        <w:wordWrap/>
        <w:overflowPunct/>
        <w:topLinePunct w:val="0"/>
        <w:autoSpaceDE/>
        <w:autoSpaceDN/>
        <w:bidi w:val="0"/>
        <w:adjustRightInd/>
        <w:snapToGrid/>
        <w:spacing w:after="120" w:line="560" w:lineRule="exact"/>
        <w:ind w:firstLine="642" w:firstLineChars="200"/>
        <w:jc w:val="both"/>
        <w:textAlignment w:val="auto"/>
        <w:rPr>
          <w:rFonts w:ascii="仿宋_GB2312" w:eastAsia="仿宋_GB2312"/>
          <w:sz w:val="32"/>
          <w:szCs w:val="32"/>
        </w:rPr>
      </w:pPr>
      <w:bookmarkStart w:id="12" w:name="bookmark11"/>
      <w:bookmarkEnd w:id="12"/>
      <w:r>
        <w:rPr>
          <w:rFonts w:hint="eastAsia" w:ascii="仿宋_GB2312" w:eastAsia="仿宋_GB2312"/>
          <w:b/>
          <w:sz w:val="32"/>
          <w:szCs w:val="32"/>
          <w:lang w:val="en-US"/>
        </w:rPr>
        <w:t>6.利益相关方满意度及知晓度。</w:t>
      </w:r>
      <w:r>
        <w:rPr>
          <w:rFonts w:hint="eastAsia" w:ascii="仿宋_GB2312" w:eastAsia="仿宋_GB2312"/>
          <w:sz w:val="32"/>
          <w:szCs w:val="32"/>
        </w:rPr>
        <w:t>主要社工站在辖区内的知晓度以及各利益相关方对社工</w:t>
      </w:r>
      <w:r>
        <w:rPr>
          <w:rFonts w:hint="eastAsia" w:ascii="仿宋_GB2312" w:eastAsia="仿宋_GB2312"/>
          <w:sz w:val="32"/>
          <w:szCs w:val="32"/>
          <w:lang w:eastAsia="zh-CN"/>
        </w:rPr>
        <w:t>站</w:t>
      </w:r>
      <w:r>
        <w:rPr>
          <w:rFonts w:hint="eastAsia" w:ascii="仿宋_GB2312" w:eastAsia="仿宋_GB2312"/>
          <w:sz w:val="32"/>
          <w:szCs w:val="32"/>
        </w:rPr>
        <w:t>提供的服务以及过程</w:t>
      </w:r>
      <w:r>
        <w:rPr>
          <w:rFonts w:hint="eastAsia" w:ascii="仿宋_GB2312" w:eastAsia="仿宋_GB2312"/>
          <w:sz w:val="32"/>
          <w:szCs w:val="32"/>
          <w:lang w:eastAsia="zh-CN"/>
        </w:rPr>
        <w:t>中</w:t>
      </w:r>
      <w:r>
        <w:rPr>
          <w:rFonts w:hint="eastAsia" w:ascii="仿宋_GB2312" w:eastAsia="仿宋_GB2312"/>
          <w:sz w:val="32"/>
          <w:szCs w:val="32"/>
        </w:rPr>
        <w:t>的满意度。</w:t>
      </w:r>
    </w:p>
    <w:p>
      <w:pPr>
        <w:pStyle w:val="13"/>
        <w:keepNext w:val="0"/>
        <w:keepLines w:val="0"/>
        <w:pageBreakBefore w:val="0"/>
        <w:widowControl w:val="0"/>
        <w:tabs>
          <w:tab w:val="left" w:pos="986"/>
        </w:tabs>
        <w:kinsoku/>
        <w:wordWrap/>
        <w:overflowPunct/>
        <w:topLinePunct w:val="0"/>
        <w:autoSpaceDE/>
        <w:autoSpaceDN/>
        <w:bidi w:val="0"/>
        <w:adjustRightInd/>
        <w:snapToGrid/>
        <w:spacing w:after="120" w:line="560" w:lineRule="exact"/>
        <w:ind w:firstLine="642" w:firstLineChars="200"/>
        <w:jc w:val="both"/>
        <w:textAlignment w:val="auto"/>
        <w:rPr>
          <w:rFonts w:ascii="仿宋_GB2312" w:eastAsia="仿宋_GB2312"/>
          <w:sz w:val="32"/>
          <w:szCs w:val="32"/>
        </w:rPr>
      </w:pPr>
      <w:bookmarkStart w:id="13" w:name="bookmark12"/>
      <w:bookmarkEnd w:id="13"/>
      <w:r>
        <w:rPr>
          <w:rFonts w:hint="eastAsia" w:ascii="仿宋_GB2312" w:eastAsia="仿宋_GB2312"/>
          <w:b/>
          <w:sz w:val="32"/>
          <w:szCs w:val="32"/>
          <w:lang w:val="en-US"/>
        </w:rPr>
        <w:t>7.总结反馈。</w:t>
      </w:r>
      <w:r>
        <w:rPr>
          <w:rFonts w:hint="eastAsia" w:ascii="仿宋_GB2312" w:eastAsia="仿宋_GB2312"/>
          <w:sz w:val="32"/>
          <w:szCs w:val="32"/>
        </w:rPr>
        <w:t>由评委团队对评估进行总结，与社工站社工进行反馈，听取街道购买方对社工站工作开展的意见和建议，了解社工站同事对本次活动的反馈。</w:t>
      </w:r>
    </w:p>
    <w:p>
      <w:pPr>
        <w:pStyle w:val="13"/>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bookmarkEnd w:id="7"/>
      <w:r>
        <w:rPr>
          <w:rFonts w:hint="eastAsia" w:ascii="仿宋_GB2312" w:hAnsi="仿宋_GB2312" w:eastAsia="仿宋_GB2312" w:cs="仿宋_GB2312"/>
          <w:b/>
          <w:sz w:val="32"/>
          <w:szCs w:val="32"/>
        </w:rPr>
        <w:t>一）评估依据</w:t>
      </w:r>
    </w:p>
    <w:p>
      <w:pPr>
        <w:pStyle w:val="13"/>
        <w:keepNext w:val="0"/>
        <w:keepLines w:val="0"/>
        <w:pageBreakBefore w:val="0"/>
        <w:widowControl w:val="0"/>
        <w:tabs>
          <w:tab w:val="left" w:pos="981"/>
        </w:tabs>
        <w:kinsoku/>
        <w:wordWrap/>
        <w:overflowPunct/>
        <w:topLinePunct w:val="0"/>
        <w:autoSpaceDE/>
        <w:autoSpaceDN/>
        <w:bidi w:val="0"/>
        <w:adjustRightInd/>
        <w:snapToGrid/>
        <w:spacing w:after="120" w:line="560" w:lineRule="exact"/>
        <w:ind w:firstLine="642" w:firstLineChars="200"/>
        <w:jc w:val="both"/>
        <w:textAlignment w:val="auto"/>
        <w:rPr>
          <w:rFonts w:hint="eastAsia" w:ascii="仿宋_GB2312" w:eastAsia="仿宋_GB2312"/>
          <w:sz w:val="32"/>
          <w:szCs w:val="32"/>
        </w:rPr>
      </w:pPr>
      <w:bookmarkStart w:id="14" w:name="bookmark14"/>
      <w:bookmarkEnd w:id="14"/>
      <w:bookmarkStart w:id="15" w:name="bookmark16"/>
      <w:r>
        <w:rPr>
          <w:rFonts w:hint="eastAsia" w:ascii="仿宋_GB2312" w:eastAsiaTheme="minorEastAsia"/>
          <w:b/>
          <w:sz w:val="32"/>
          <w:szCs w:val="32"/>
          <w:lang w:eastAsia="zh-CN"/>
        </w:rPr>
        <w:t>1</w:t>
      </w:r>
      <w:r>
        <w:rPr>
          <w:rFonts w:ascii="仿宋_GB2312" w:eastAsia="PMingLiU"/>
          <w:b/>
          <w:sz w:val="32"/>
          <w:szCs w:val="32"/>
        </w:rPr>
        <w:t>.</w:t>
      </w:r>
      <w:r>
        <w:rPr>
          <w:rFonts w:hint="eastAsia" w:ascii="仿宋_GB2312" w:eastAsia="仿宋_GB2312"/>
          <w:b/>
          <w:sz w:val="32"/>
          <w:szCs w:val="32"/>
        </w:rPr>
        <w:t>政策依据</w:t>
      </w:r>
      <w:r>
        <w:rPr>
          <w:rFonts w:hint="eastAsia" w:ascii="仿宋_GB2312" w:eastAsia="仿宋_GB2312"/>
          <w:b/>
          <w:sz w:val="32"/>
          <w:szCs w:val="32"/>
          <w:lang w:eastAsia="zh-CN"/>
        </w:rPr>
        <w:t>：</w:t>
      </w:r>
      <w:r>
        <w:rPr>
          <w:rFonts w:hint="eastAsia" w:ascii="仿宋_GB2312" w:eastAsia="仿宋_GB2312"/>
          <w:sz w:val="32"/>
          <w:szCs w:val="32"/>
        </w:rPr>
        <w:t>《广州市社工服务站管理办法》《广州市社工站购买服务项目评估办法》《广州市社工站岗位职责》《政府购买服务管理办法》《广州市社会工作服务条例》及《民政部办公厅关于加快乡镇（街道）社工站建设的通知》、省民政厅等五部门关于实施“双百工程”的通知、方案以及省“双百工程”社工站业务工作指引等。</w:t>
      </w:r>
    </w:p>
    <w:p>
      <w:pPr>
        <w:pStyle w:val="13"/>
        <w:keepNext w:val="0"/>
        <w:keepLines w:val="0"/>
        <w:pageBreakBefore w:val="0"/>
        <w:widowControl w:val="0"/>
        <w:tabs>
          <w:tab w:val="left" w:pos="981"/>
        </w:tabs>
        <w:kinsoku/>
        <w:wordWrap/>
        <w:overflowPunct/>
        <w:topLinePunct w:val="0"/>
        <w:autoSpaceDE/>
        <w:autoSpaceDN/>
        <w:bidi w:val="0"/>
        <w:adjustRightInd/>
        <w:snapToGrid/>
        <w:spacing w:after="120" w:line="560" w:lineRule="exact"/>
        <w:ind w:firstLine="642" w:firstLineChars="200"/>
        <w:jc w:val="both"/>
        <w:textAlignment w:val="auto"/>
        <w:rPr>
          <w:rFonts w:hint="eastAsia" w:ascii="仿宋_GB2312" w:eastAsia="仿宋_GB2312"/>
          <w:sz w:val="32"/>
          <w:szCs w:val="32"/>
        </w:rPr>
      </w:pPr>
      <w:r>
        <w:rPr>
          <w:rFonts w:hint="eastAsia" w:ascii="仿宋_GB2312"/>
          <w:b/>
          <w:sz w:val="32"/>
          <w:szCs w:val="32"/>
          <w:lang w:eastAsia="zh-CN"/>
        </w:rPr>
        <w:t>2</w:t>
      </w:r>
      <w:r>
        <w:rPr>
          <w:rFonts w:ascii="仿宋_GB2312" w:eastAsia="PMingLiU"/>
          <w:b/>
          <w:sz w:val="32"/>
          <w:szCs w:val="32"/>
        </w:rPr>
        <w:t>.</w:t>
      </w:r>
      <w:r>
        <w:rPr>
          <w:rFonts w:hint="eastAsia" w:ascii="仿宋_GB2312" w:eastAsia="仿宋_GB2312"/>
          <w:b/>
          <w:sz w:val="32"/>
          <w:szCs w:val="32"/>
        </w:rPr>
        <w:t>评估标准依据</w:t>
      </w:r>
      <w:r>
        <w:rPr>
          <w:rFonts w:hint="eastAsia" w:ascii="仿宋_GB2312" w:eastAsia="仿宋_GB2312"/>
          <w:b/>
          <w:sz w:val="32"/>
          <w:szCs w:val="32"/>
          <w:lang w:eastAsia="zh-CN"/>
        </w:rPr>
        <w:t>：</w:t>
      </w:r>
      <w:r>
        <w:rPr>
          <w:rFonts w:ascii="仿宋_GB2312" w:eastAsia="仿宋_GB2312"/>
          <w:sz w:val="32"/>
          <w:szCs w:val="32"/>
          <w:lang w:val="en-US" w:eastAsia="zh-CN"/>
        </w:rPr>
        <w:t>《广州市社工站购买服务项目评估指标体系</w:t>
      </w:r>
      <w:r>
        <w:rPr>
          <w:rFonts w:hint="eastAsia" w:ascii="仿宋_GB2312" w:eastAsia="仿宋_GB2312"/>
          <w:sz w:val="32"/>
          <w:szCs w:val="32"/>
          <w:lang w:val="en-US" w:eastAsia="zh-CN"/>
        </w:rPr>
        <w:t>》《</w:t>
      </w:r>
      <w:r>
        <w:rPr>
          <w:rFonts w:ascii="仿宋_GB2312" w:eastAsia="仿宋_GB2312"/>
          <w:sz w:val="32"/>
          <w:szCs w:val="32"/>
          <w:lang w:val="en-US" w:eastAsia="zh-CN"/>
        </w:rPr>
        <w:t>广州市社工站购买服务项目协议》。</w:t>
      </w:r>
    </w:p>
    <w:bookmarkEnd w:id="15"/>
    <w:p>
      <w:pPr>
        <w:pStyle w:val="13"/>
        <w:keepNext w:val="0"/>
        <w:keepLines w:val="0"/>
        <w:pageBreakBefore w:val="0"/>
        <w:widowControl w:val="0"/>
        <w:kinsoku/>
        <w:wordWrap/>
        <w:overflowPunct/>
        <w:topLinePunct w:val="0"/>
        <w:autoSpaceDE/>
        <w:autoSpaceDN/>
        <w:bidi w:val="0"/>
        <w:adjustRightInd/>
        <w:snapToGrid/>
        <w:spacing w:after="160" w:line="56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lang w:eastAsia="zh-CN"/>
        </w:rPr>
        <w:t>（二）</w:t>
      </w:r>
      <w:r>
        <w:rPr>
          <w:rFonts w:hint="eastAsia" w:ascii="仿宋_GB2312" w:eastAsia="仿宋_GB2312"/>
          <w:b/>
          <w:sz w:val="32"/>
          <w:szCs w:val="32"/>
        </w:rPr>
        <w:t>评估原则</w:t>
      </w:r>
    </w:p>
    <w:p>
      <w:pPr>
        <w:pStyle w:val="13"/>
        <w:keepNext w:val="0"/>
        <w:keepLines w:val="0"/>
        <w:pageBreakBefore w:val="0"/>
        <w:widowControl w:val="0"/>
        <w:tabs>
          <w:tab w:val="left" w:pos="986"/>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16" w:name="bookmark17"/>
      <w:bookmarkEnd w:id="16"/>
      <w:bookmarkStart w:id="17" w:name="bookmark23"/>
      <w:r>
        <w:rPr>
          <w:rFonts w:hint="eastAsia" w:ascii="仿宋_GB2312" w:eastAsia="仿宋_GB2312"/>
          <w:b/>
          <w:sz w:val="32"/>
          <w:szCs w:val="32"/>
          <w:lang w:eastAsia="zh-CN"/>
        </w:rPr>
        <w:t>1.真实诚信原则：</w:t>
      </w:r>
      <w:r>
        <w:rPr>
          <w:rFonts w:hint="eastAsia" w:ascii="仿宋_GB2312" w:eastAsia="仿宋_GB2312"/>
          <w:sz w:val="32"/>
          <w:szCs w:val="32"/>
        </w:rPr>
        <w:t>评估要求项目运营方必须以实事求是的态度对待评估，本着诚实守信的原则，提供和展示能够真实、客观反映其项目运营状况的依据和有效资料，以供评估小组考察。</w:t>
      </w:r>
    </w:p>
    <w:p>
      <w:pPr>
        <w:pStyle w:val="13"/>
        <w:keepNext w:val="0"/>
        <w:keepLines w:val="0"/>
        <w:pageBreakBefore w:val="0"/>
        <w:widowControl w:val="0"/>
        <w:tabs>
          <w:tab w:val="left" w:pos="991"/>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18" w:name="bookmark18"/>
      <w:bookmarkEnd w:id="18"/>
      <w:r>
        <w:rPr>
          <w:rFonts w:hint="eastAsia" w:ascii="仿宋_GB2312" w:eastAsia="仿宋_GB2312"/>
          <w:b/>
          <w:sz w:val="32"/>
          <w:szCs w:val="32"/>
          <w:lang w:eastAsia="zh-CN"/>
        </w:rPr>
        <w:t>2.客观公正原则：</w:t>
      </w:r>
      <w:r>
        <w:rPr>
          <w:rFonts w:hint="eastAsia" w:ascii="仿宋_GB2312" w:eastAsia="仿宋_GB2312"/>
          <w:sz w:val="32"/>
          <w:szCs w:val="32"/>
        </w:rPr>
        <w:t>评估要求所有评委恪守</w:t>
      </w:r>
      <w:r>
        <w:rPr>
          <w:rFonts w:hint="eastAsia" w:ascii="仿宋_GB2312" w:eastAsia="仿宋_GB2312"/>
          <w:sz w:val="32"/>
          <w:szCs w:val="32"/>
          <w:lang w:val="zh-CN" w:eastAsia="zh-CN" w:bidi="zh-CN"/>
        </w:rPr>
        <w:t>“客</w:t>
      </w:r>
      <w:r>
        <w:rPr>
          <w:rFonts w:hint="eastAsia" w:ascii="仿宋_GB2312" w:eastAsia="仿宋_GB2312"/>
          <w:sz w:val="32"/>
          <w:szCs w:val="32"/>
        </w:rPr>
        <w:t>观公正的第三方”评估者角色，依据事实和真实情况给出客观</w:t>
      </w:r>
      <w:r>
        <w:rPr>
          <w:rFonts w:hint="eastAsia" w:ascii="仿宋_GB2312" w:eastAsia="仿宋_GB2312"/>
          <w:color w:val="auto"/>
          <w:sz w:val="32"/>
          <w:szCs w:val="32"/>
        </w:rPr>
        <w:t>、</w:t>
      </w:r>
      <w:r>
        <w:rPr>
          <w:rFonts w:hint="eastAsia" w:ascii="仿宋_GB2312" w:eastAsia="仿宋_GB2312"/>
          <w:color w:val="auto"/>
          <w:sz w:val="32"/>
          <w:szCs w:val="32"/>
          <w:lang w:eastAsia="zh-CN"/>
        </w:rPr>
        <w:t>中</w:t>
      </w:r>
      <w:r>
        <w:rPr>
          <w:rFonts w:hint="eastAsia" w:ascii="仿宋_GB2312" w:eastAsia="仿宋_GB2312"/>
          <w:color w:val="auto"/>
          <w:sz w:val="32"/>
          <w:szCs w:val="32"/>
        </w:rPr>
        <w:t>肯评价意见或结论</w:t>
      </w:r>
      <w:r>
        <w:rPr>
          <w:rFonts w:hint="eastAsia" w:ascii="仿宋_GB2312" w:eastAsia="仿宋_GB2312"/>
          <w:sz w:val="32"/>
          <w:szCs w:val="32"/>
        </w:rPr>
        <w:t>。</w:t>
      </w:r>
    </w:p>
    <w:p>
      <w:pPr>
        <w:pStyle w:val="13"/>
        <w:keepNext w:val="0"/>
        <w:keepLines w:val="0"/>
        <w:pageBreakBefore w:val="0"/>
        <w:widowControl w:val="0"/>
        <w:tabs>
          <w:tab w:val="left" w:pos="976"/>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19" w:name="bookmark19"/>
      <w:bookmarkEnd w:id="19"/>
      <w:r>
        <w:rPr>
          <w:rFonts w:hint="eastAsia" w:ascii="仿宋_GB2312" w:eastAsia="仿宋_GB2312"/>
          <w:b/>
          <w:sz w:val="32"/>
          <w:szCs w:val="32"/>
          <w:lang w:eastAsia="zh-CN"/>
        </w:rPr>
        <w:t>3.证据为本原则：</w:t>
      </w:r>
      <w:r>
        <w:rPr>
          <w:rFonts w:hint="eastAsia" w:ascii="仿宋_GB2312" w:eastAsia="仿宋_GB2312"/>
          <w:sz w:val="32"/>
          <w:szCs w:val="32"/>
        </w:rPr>
        <w:t>评估要求项目运营方应提供有事实依据的证明资料或记录，来展示其项目运营的真实状况和成效；同时，评估要求所有评委以真实有效的工作痕迹记录为依据，做出客观公正的专业评估分析和判断。</w:t>
      </w:r>
    </w:p>
    <w:p>
      <w:pPr>
        <w:pStyle w:val="13"/>
        <w:keepNext w:val="0"/>
        <w:keepLines w:val="0"/>
        <w:pageBreakBefore w:val="0"/>
        <w:widowControl w:val="0"/>
        <w:tabs>
          <w:tab w:val="left" w:pos="981"/>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20" w:name="bookmark20"/>
      <w:bookmarkEnd w:id="20"/>
      <w:r>
        <w:rPr>
          <w:rFonts w:hint="eastAsia" w:ascii="仿宋_GB2312"/>
          <w:b/>
          <w:sz w:val="32"/>
          <w:szCs w:val="32"/>
          <w:lang w:eastAsia="zh-CN"/>
        </w:rPr>
        <w:t>4</w:t>
      </w:r>
      <w:r>
        <w:rPr>
          <w:rFonts w:ascii="仿宋_GB2312" w:eastAsia="PMingLiU"/>
          <w:b/>
          <w:sz w:val="32"/>
          <w:szCs w:val="32"/>
        </w:rPr>
        <w:t>.</w:t>
      </w:r>
      <w:r>
        <w:rPr>
          <w:rFonts w:hint="eastAsia" w:ascii="仿宋_GB2312" w:eastAsia="仿宋_GB2312"/>
          <w:b/>
          <w:sz w:val="32"/>
          <w:szCs w:val="32"/>
        </w:rPr>
        <w:t>以评促进原则</w:t>
      </w:r>
      <w:r>
        <w:rPr>
          <w:rFonts w:hint="eastAsia" w:ascii="仿宋_GB2312" w:eastAsia="仿宋_GB2312"/>
          <w:b/>
          <w:sz w:val="32"/>
          <w:szCs w:val="32"/>
          <w:lang w:eastAsia="zh-CN"/>
        </w:rPr>
        <w:t>：</w:t>
      </w:r>
      <w:r>
        <w:rPr>
          <w:rFonts w:hint="eastAsia" w:ascii="仿宋_GB2312" w:eastAsia="仿宋_GB2312"/>
          <w:sz w:val="32"/>
          <w:szCs w:val="32"/>
        </w:rPr>
        <w:t>评估要求评委要本着促进项目运营质量和成效的目标原则实施评估活动，给出评估指导意见，评估意见应具体、清晰、可行，能够切实指导项目运营团队持续改善服务成效和质量。</w:t>
      </w:r>
    </w:p>
    <w:p>
      <w:pPr>
        <w:pStyle w:val="13"/>
        <w:keepNext w:val="0"/>
        <w:keepLines w:val="0"/>
        <w:pageBreakBefore w:val="0"/>
        <w:widowControl w:val="0"/>
        <w:tabs>
          <w:tab w:val="left" w:pos="991"/>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sz w:val="32"/>
          <w:szCs w:val="32"/>
        </w:rPr>
      </w:pPr>
      <w:bookmarkStart w:id="21" w:name="bookmark21"/>
      <w:bookmarkEnd w:id="21"/>
      <w:r>
        <w:rPr>
          <w:rFonts w:hint="eastAsia" w:ascii="仿宋_GB2312"/>
          <w:b/>
          <w:sz w:val="32"/>
          <w:szCs w:val="32"/>
          <w:lang w:eastAsia="zh-CN"/>
        </w:rPr>
        <w:t>5</w:t>
      </w:r>
      <w:r>
        <w:rPr>
          <w:rFonts w:ascii="仿宋_GB2312" w:eastAsia="PMingLiU"/>
          <w:b/>
          <w:sz w:val="32"/>
          <w:szCs w:val="32"/>
        </w:rPr>
        <w:t>.</w:t>
      </w:r>
      <w:r>
        <w:rPr>
          <w:rFonts w:hint="eastAsia" w:ascii="仿宋_GB2312" w:eastAsia="仿宋_GB2312"/>
          <w:b/>
          <w:sz w:val="32"/>
          <w:szCs w:val="32"/>
        </w:rPr>
        <w:t>回避监督原则</w:t>
      </w:r>
      <w:r>
        <w:rPr>
          <w:rFonts w:hint="eastAsia" w:ascii="仿宋_GB2312" w:eastAsia="仿宋_GB2312"/>
          <w:b/>
          <w:sz w:val="32"/>
          <w:szCs w:val="32"/>
          <w:lang w:eastAsia="zh-CN"/>
        </w:rPr>
        <w:t>：</w:t>
      </w:r>
      <w:r>
        <w:rPr>
          <w:rFonts w:hint="eastAsia" w:ascii="仿宋_GB2312" w:eastAsia="仿宋_GB2312"/>
          <w:sz w:val="32"/>
          <w:szCs w:val="32"/>
        </w:rPr>
        <w:t>评估要求评委在评估前与被评估方有单独接触、有利益关系或冲突的，均应回避；被评估方有权监督评估团队的评估工作，并有权提出合理异议或回避要求，以免评估失去公正性和可信度。</w:t>
      </w:r>
    </w:p>
    <w:p>
      <w:pPr>
        <w:pStyle w:val="13"/>
        <w:keepNext w:val="0"/>
        <w:keepLines w:val="0"/>
        <w:pageBreakBefore w:val="0"/>
        <w:widowControl w:val="0"/>
        <w:kinsoku/>
        <w:wordWrap/>
        <w:overflowPunct/>
        <w:topLinePunct w:val="0"/>
        <w:autoSpaceDE/>
        <w:autoSpaceDN/>
        <w:bidi w:val="0"/>
        <w:adjustRightInd/>
        <w:snapToGrid/>
        <w:spacing w:after="160" w:line="560" w:lineRule="exact"/>
        <w:ind w:firstLine="642" w:firstLineChars="200"/>
        <w:jc w:val="both"/>
        <w:textAlignment w:val="auto"/>
        <w:rPr>
          <w:rFonts w:hint="eastAsia" w:ascii="仿宋_GB2312" w:eastAsia="仿宋_GB2312"/>
          <w:sz w:val="32"/>
          <w:szCs w:val="32"/>
        </w:rPr>
      </w:pPr>
      <w:bookmarkStart w:id="22" w:name="bookmark22"/>
      <w:bookmarkEnd w:id="22"/>
      <w:r>
        <w:rPr>
          <w:rFonts w:hint="eastAsia" w:ascii="仿宋_GB2312" w:eastAsia="仿宋_GB2312"/>
          <w:b/>
          <w:sz w:val="32"/>
          <w:szCs w:val="32"/>
          <w:lang w:eastAsia="zh-CN"/>
        </w:rPr>
        <w:t>6.保密尊重原则：</w:t>
      </w:r>
      <w:r>
        <w:rPr>
          <w:rFonts w:hint="eastAsia" w:ascii="仿宋_GB2312" w:eastAsia="仿宋_GB2312"/>
          <w:sz w:val="32"/>
          <w:szCs w:val="32"/>
        </w:rPr>
        <w:t>评估要求评委应尊重和保护其工作</w:t>
      </w:r>
      <w:r>
        <w:rPr>
          <w:rFonts w:hint="eastAsia" w:ascii="仿宋_GB2312" w:eastAsia="仿宋_GB2312"/>
          <w:sz w:val="32"/>
          <w:szCs w:val="32"/>
          <w:lang w:eastAsia="zh-CN"/>
        </w:rPr>
        <w:t>中</w:t>
      </w:r>
      <w:r>
        <w:rPr>
          <w:rFonts w:hint="eastAsia" w:ascii="仿宋_GB2312" w:eastAsia="仿宋_GB2312"/>
          <w:sz w:val="32"/>
          <w:szCs w:val="32"/>
        </w:rPr>
        <w:t>所接触、发现或遇到的涉及服务对象隐私权等所有受法律保护的事项，并依法负有保密职责；评估要求评委在评估过程</w:t>
      </w:r>
      <w:r>
        <w:rPr>
          <w:rFonts w:hint="eastAsia" w:ascii="仿宋_GB2312" w:eastAsia="仿宋_GB2312"/>
          <w:sz w:val="32"/>
          <w:szCs w:val="32"/>
          <w:lang w:eastAsia="zh-CN"/>
        </w:rPr>
        <w:t>中</w:t>
      </w:r>
      <w:r>
        <w:rPr>
          <w:rFonts w:hint="eastAsia" w:ascii="仿宋_GB2312" w:eastAsia="仿宋_GB2312"/>
          <w:sz w:val="32"/>
          <w:szCs w:val="32"/>
        </w:rPr>
        <w:t>应尊重被评估方的所有原创性专业技术、方法等成果，并依法负有保密职责。</w:t>
      </w:r>
    </w:p>
    <w:p>
      <w:pPr>
        <w:pStyle w:val="13"/>
        <w:keepNext w:val="0"/>
        <w:keepLines w:val="0"/>
        <w:pageBreakBefore w:val="0"/>
        <w:widowControl w:val="0"/>
        <w:kinsoku/>
        <w:wordWrap/>
        <w:overflowPunct/>
        <w:topLinePunct w:val="0"/>
        <w:autoSpaceDE/>
        <w:autoSpaceDN/>
        <w:bidi w:val="0"/>
        <w:adjustRightInd/>
        <w:snapToGrid/>
        <w:spacing w:after="160" w:line="56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rPr>
        <w:t>（</w:t>
      </w:r>
      <w:bookmarkEnd w:id="17"/>
      <w:r>
        <w:rPr>
          <w:rFonts w:hint="eastAsia" w:ascii="仿宋_GB2312" w:eastAsia="仿宋_GB2312"/>
          <w:b/>
          <w:sz w:val="32"/>
          <w:szCs w:val="32"/>
        </w:rPr>
        <w:t>三）评估阶段</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b/>
          <w:sz w:val="32"/>
          <w:szCs w:val="32"/>
          <w:lang w:eastAsia="zh-CN"/>
        </w:rPr>
      </w:pPr>
      <w:bookmarkStart w:id="23" w:name="bookmark24"/>
      <w:bookmarkEnd w:id="23"/>
      <w:bookmarkStart w:id="24" w:name="bookmark28"/>
      <w:r>
        <w:rPr>
          <w:rFonts w:hint="eastAsia" w:ascii="仿宋_GB2312" w:eastAsia="仿宋_GB2312"/>
          <w:b/>
          <w:sz w:val="32"/>
          <w:szCs w:val="32"/>
          <w:lang w:val="en-US" w:eastAsia="zh-CN"/>
        </w:rPr>
        <w:t>1.</w:t>
      </w:r>
      <w:r>
        <w:rPr>
          <w:rFonts w:hint="eastAsia" w:ascii="仿宋_GB2312" w:eastAsia="仿宋_GB2312"/>
          <w:b/>
          <w:sz w:val="32"/>
          <w:szCs w:val="32"/>
          <w:lang w:eastAsia="zh-CN"/>
        </w:rPr>
        <w:t>制定评估计划</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番禺区民政局会同番禺区社会组织联合会根据最新管理办法要求及</w:t>
      </w:r>
      <w:r>
        <w:rPr>
          <w:rFonts w:hint="eastAsia" w:ascii="仿宋_GB2312" w:eastAsia="仿宋_GB2312"/>
          <w:sz w:val="32"/>
          <w:szCs w:val="32"/>
          <w:lang w:val="en-US" w:eastAsia="zh-CN"/>
        </w:rPr>
        <w:t>沙头</w:t>
      </w:r>
      <w:r>
        <w:rPr>
          <w:rFonts w:hint="eastAsia" w:ascii="仿宋_GB2312" w:eastAsia="仿宋_GB2312"/>
          <w:sz w:val="32"/>
          <w:szCs w:val="32"/>
          <w:lang w:eastAsia="zh-CN"/>
        </w:rPr>
        <w:t>街社工站项目合同期限确定评估时间，制定好评估计划和评估通知。</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2.自我评审阶段</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沙头</w:t>
      </w:r>
      <w:r>
        <w:rPr>
          <w:rFonts w:hint="eastAsia" w:ascii="仿宋_GB2312" w:eastAsia="仿宋_GB2312"/>
          <w:sz w:val="32"/>
          <w:szCs w:val="32"/>
          <w:lang w:eastAsia="zh-CN"/>
        </w:rPr>
        <w:t>街</w:t>
      </w:r>
      <w:r>
        <w:rPr>
          <w:rFonts w:hint="eastAsia" w:ascii="仿宋_GB2312" w:eastAsia="仿宋_GB2312"/>
          <w:sz w:val="32"/>
          <w:szCs w:val="32"/>
        </w:rPr>
        <w:t>社工站结合</w:t>
      </w:r>
      <w:r>
        <w:rPr>
          <w:rFonts w:ascii="仿宋_GB2312" w:eastAsia="仿宋_GB2312"/>
          <w:sz w:val="32"/>
          <w:szCs w:val="32"/>
          <w:lang w:val="en-US"/>
        </w:rPr>
        <w:t>《广州市社工站购买服务项目评估指标体系》</w:t>
      </w:r>
      <w:r>
        <w:rPr>
          <w:rFonts w:hint="eastAsia" w:ascii="仿宋_GB2312" w:eastAsia="仿宋_GB2312"/>
          <w:sz w:val="32"/>
          <w:szCs w:val="32"/>
        </w:rPr>
        <w:t>和签订的服务协议，逐项对照，准备材料，结合实际进行自我评估，并完成自评报告的报送工作。</w:t>
      </w:r>
    </w:p>
    <w:p>
      <w:pPr>
        <w:pStyle w:val="13"/>
        <w:keepNext w:val="0"/>
        <w:keepLines w:val="0"/>
        <w:pageBreakBefore w:val="0"/>
        <w:widowControl w:val="0"/>
        <w:tabs>
          <w:tab w:val="left" w:pos="1001"/>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b/>
          <w:sz w:val="32"/>
          <w:szCs w:val="32"/>
          <w:lang w:eastAsia="zh-CN"/>
        </w:rPr>
      </w:pPr>
      <w:bookmarkStart w:id="25" w:name="bookmark25"/>
      <w:bookmarkEnd w:id="25"/>
      <w:r>
        <w:rPr>
          <w:rFonts w:hint="eastAsia" w:ascii="仿宋_GB2312" w:eastAsia="仿宋_GB2312"/>
          <w:b/>
          <w:sz w:val="32"/>
          <w:szCs w:val="32"/>
          <w:lang w:val="en-US" w:eastAsia="zh-CN"/>
        </w:rPr>
        <w:t>3.</w:t>
      </w:r>
      <w:r>
        <w:rPr>
          <w:rFonts w:hint="eastAsia" w:ascii="仿宋_GB2312" w:eastAsia="仿宋_GB2312"/>
          <w:b/>
          <w:sz w:val="32"/>
          <w:szCs w:val="32"/>
          <w:lang w:eastAsia="zh-CN"/>
        </w:rPr>
        <w:t>实地评估阶段</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评估小组根据评估计划组织实施，对</w:t>
      </w:r>
      <w:r>
        <w:rPr>
          <w:rFonts w:hint="eastAsia" w:ascii="仿宋_GB2312" w:eastAsia="仿宋_GB2312"/>
          <w:sz w:val="32"/>
          <w:szCs w:val="32"/>
          <w:lang w:val="en-US" w:eastAsia="zh-CN"/>
        </w:rPr>
        <w:t>沙头</w:t>
      </w:r>
      <w:r>
        <w:rPr>
          <w:rFonts w:hint="eastAsia" w:ascii="仿宋_GB2312" w:eastAsia="仿宋_GB2312"/>
          <w:sz w:val="32"/>
          <w:szCs w:val="32"/>
          <w:lang w:eastAsia="zh-CN"/>
        </w:rPr>
        <w:t>街社工站提供的材料进行审阅，实地考察，进行现场评估并打分。评估小组根据公平、公正的原则，严格按照评估要求，对</w:t>
      </w:r>
      <w:r>
        <w:rPr>
          <w:rFonts w:hint="eastAsia" w:ascii="仿宋_GB2312" w:eastAsia="仿宋_GB2312"/>
          <w:sz w:val="32"/>
          <w:szCs w:val="32"/>
          <w:lang w:val="en-US" w:eastAsia="zh-CN"/>
        </w:rPr>
        <w:t>沙头</w:t>
      </w:r>
      <w:r>
        <w:rPr>
          <w:rFonts w:hint="eastAsia" w:ascii="仿宋_GB2312" w:eastAsia="仿宋_GB2312"/>
          <w:sz w:val="32"/>
          <w:szCs w:val="32"/>
          <w:lang w:eastAsia="zh-CN"/>
        </w:rPr>
        <w:t>街社工站进行评估工作。</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b/>
          <w:sz w:val="32"/>
          <w:szCs w:val="32"/>
        </w:rPr>
      </w:pPr>
      <w:r>
        <w:rPr>
          <w:rFonts w:hint="eastAsia" w:ascii="仿宋_GB2312" w:eastAsia="仿宋_GB2312"/>
          <w:b/>
          <w:bCs/>
          <w:sz w:val="32"/>
          <w:szCs w:val="32"/>
          <w:lang w:val="en-US" w:eastAsia="zh-CN"/>
        </w:rPr>
        <w:t>4.</w:t>
      </w:r>
      <w:r>
        <w:rPr>
          <w:rFonts w:hint="eastAsia" w:ascii="仿宋_GB2312" w:eastAsia="仿宋_GB2312"/>
          <w:b/>
          <w:sz w:val="32"/>
          <w:szCs w:val="32"/>
        </w:rPr>
        <w:t>反馈初评意见</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综合评委专家、监督方、购买方、市督导中心意见和建议，在评估工作结束后5个工作日内，向番禺区民政局、</w:t>
      </w:r>
      <w:r>
        <w:rPr>
          <w:rFonts w:hint="eastAsia" w:ascii="仿宋_GB2312" w:eastAsia="仿宋_GB2312"/>
          <w:sz w:val="32"/>
          <w:szCs w:val="32"/>
          <w:lang w:val="en-US" w:eastAsia="zh-CN"/>
        </w:rPr>
        <w:t>沙头</w:t>
      </w:r>
      <w:r>
        <w:rPr>
          <w:rFonts w:hint="eastAsia" w:ascii="仿宋_GB2312" w:eastAsia="仿宋_GB2312"/>
          <w:sz w:val="32"/>
          <w:szCs w:val="32"/>
          <w:lang w:eastAsia="zh-CN"/>
        </w:rPr>
        <w:t>街道办事处及</w:t>
      </w:r>
      <w:r>
        <w:rPr>
          <w:rFonts w:hint="eastAsia" w:ascii="仿宋_GB2312" w:eastAsia="仿宋_GB2312"/>
          <w:sz w:val="32"/>
          <w:szCs w:val="32"/>
          <w:lang w:val="en-US" w:eastAsia="zh-CN"/>
        </w:rPr>
        <w:t>沙头</w:t>
      </w:r>
      <w:r>
        <w:rPr>
          <w:rFonts w:hint="eastAsia" w:ascii="仿宋_GB2312" w:eastAsia="仿宋_GB2312"/>
          <w:sz w:val="32"/>
          <w:szCs w:val="32"/>
          <w:lang w:eastAsia="zh-CN"/>
        </w:rPr>
        <w:t>街社工服务站反馈初评意见，对评估结果、存在问题及改进建议等进行沟通确认。</w:t>
      </w:r>
    </w:p>
    <w:p>
      <w:pPr>
        <w:pStyle w:val="13"/>
        <w:keepNext w:val="0"/>
        <w:keepLines w:val="0"/>
        <w:pageBreakBefore w:val="0"/>
        <w:widowControl w:val="0"/>
        <w:tabs>
          <w:tab w:val="left" w:pos="1006"/>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b/>
          <w:sz w:val="32"/>
          <w:szCs w:val="32"/>
        </w:rPr>
      </w:pPr>
      <w:bookmarkStart w:id="26" w:name="bookmark27"/>
      <w:bookmarkEnd w:id="26"/>
      <w:r>
        <w:rPr>
          <w:rFonts w:hint="eastAsia" w:ascii="仿宋_GB2312" w:eastAsia="仿宋_GB2312"/>
          <w:b/>
          <w:sz w:val="32"/>
          <w:szCs w:val="32"/>
          <w:lang w:val="en-US" w:eastAsia="zh-CN"/>
        </w:rPr>
        <w:t>5.</w:t>
      </w:r>
      <w:r>
        <w:rPr>
          <w:rFonts w:hint="eastAsia" w:ascii="仿宋_GB2312" w:eastAsia="仿宋_GB2312"/>
          <w:b/>
          <w:sz w:val="32"/>
          <w:szCs w:val="32"/>
        </w:rPr>
        <w:t>出具</w:t>
      </w:r>
      <w:r>
        <w:rPr>
          <w:rFonts w:hint="eastAsia" w:ascii="仿宋_GB2312" w:eastAsia="仿宋_GB2312"/>
          <w:b/>
          <w:sz w:val="32"/>
          <w:szCs w:val="32"/>
          <w:lang w:val="en-US" w:eastAsia="zh-CN"/>
        </w:rPr>
        <w:t>末期</w:t>
      </w:r>
      <w:r>
        <w:rPr>
          <w:rFonts w:hint="eastAsia" w:ascii="仿宋_GB2312" w:eastAsia="仿宋_GB2312"/>
          <w:b/>
          <w:sz w:val="32"/>
          <w:szCs w:val="32"/>
        </w:rPr>
        <w:t>评估报告</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在评估工作结束后10个工作日内，向番禺区民政局、</w:t>
      </w:r>
      <w:r>
        <w:rPr>
          <w:rFonts w:hint="eastAsia" w:ascii="仿宋_GB2312" w:eastAsia="仿宋_GB2312"/>
          <w:sz w:val="32"/>
          <w:szCs w:val="32"/>
          <w:lang w:val="en-US" w:eastAsia="zh-CN"/>
        </w:rPr>
        <w:t>沙头街</w:t>
      </w:r>
      <w:r>
        <w:rPr>
          <w:rFonts w:hint="eastAsia" w:ascii="仿宋_GB2312" w:eastAsia="仿宋_GB2312"/>
          <w:sz w:val="32"/>
          <w:szCs w:val="32"/>
          <w:lang w:eastAsia="zh-CN"/>
        </w:rPr>
        <w:t>道办事处及</w:t>
      </w:r>
      <w:r>
        <w:rPr>
          <w:rFonts w:hint="eastAsia" w:ascii="仿宋_GB2312" w:eastAsia="仿宋_GB2312"/>
          <w:sz w:val="32"/>
          <w:szCs w:val="32"/>
          <w:lang w:val="en-US" w:eastAsia="zh-CN"/>
        </w:rPr>
        <w:t>沙头</w:t>
      </w:r>
      <w:r>
        <w:rPr>
          <w:rFonts w:hint="eastAsia" w:ascii="仿宋_GB2312" w:eastAsia="仿宋_GB2312"/>
          <w:sz w:val="32"/>
          <w:szCs w:val="32"/>
          <w:lang w:eastAsia="zh-CN"/>
        </w:rPr>
        <w:t>街社工服务站各出具一份评估报告，提出项目存在的问题及改进建议。</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b/>
          <w:sz w:val="32"/>
          <w:szCs w:val="32"/>
          <w:lang w:val="en-US" w:eastAsia="zh-CN"/>
        </w:rPr>
      </w:pPr>
      <w:r>
        <w:rPr>
          <w:rFonts w:hint="eastAsia" w:ascii="仿宋_GB2312" w:eastAsia="仿宋_GB2312"/>
          <w:b/>
          <w:sz w:val="32"/>
          <w:szCs w:val="32"/>
          <w:lang w:val="en-US" w:eastAsia="zh-CN"/>
        </w:rPr>
        <w:t>6.公示评估报告及受理评估投诉</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bCs/>
          <w:sz w:val="32"/>
          <w:szCs w:val="32"/>
          <w:lang w:val="en-US" w:eastAsia="zh-CN"/>
        </w:rPr>
      </w:pPr>
      <w:r>
        <w:rPr>
          <w:rFonts w:ascii="仿宋_GB2312" w:eastAsia="仿宋_GB2312"/>
          <w:bCs/>
          <w:sz w:val="32"/>
          <w:szCs w:val="32"/>
          <w:lang w:val="en-US" w:eastAsia="zh-CN"/>
        </w:rPr>
        <w:t>区民政局在收到评估报告后汇总社会救助等有关业务科室意见，于5个工作日内确认评估报告，确认后对</w:t>
      </w:r>
      <w:r>
        <w:rPr>
          <w:rFonts w:hint="eastAsia" w:ascii="仿宋_GB2312" w:eastAsia="仿宋_GB2312"/>
          <w:bCs/>
          <w:sz w:val="32"/>
          <w:szCs w:val="32"/>
          <w:lang w:val="en-US" w:eastAsia="zh-CN"/>
        </w:rPr>
        <w:t>沙头街</w:t>
      </w:r>
      <w:r>
        <w:rPr>
          <w:rFonts w:ascii="仿宋_GB2312" w:eastAsia="仿宋_GB2312"/>
          <w:bCs/>
          <w:sz w:val="32"/>
          <w:szCs w:val="32"/>
          <w:lang w:val="en-US" w:eastAsia="zh-CN"/>
        </w:rPr>
        <w:t>社工站项目的评估报告进行公示，公示期不少于7个工作日。公示期间，如收到对评估报告的质疑或投诉，区民政局及时对评估结果进行复核，并确定最终评估结果，同时将有关处理情况报市民政部门。</w:t>
      </w:r>
    </w:p>
    <w:bookmarkEnd w:id="24"/>
    <w:p>
      <w:pPr>
        <w:pStyle w:val="13"/>
        <w:keepNext w:val="0"/>
        <w:keepLines w:val="0"/>
        <w:pageBreakBefore w:val="0"/>
        <w:widowControl w:val="0"/>
        <w:kinsoku/>
        <w:wordWrap/>
        <w:overflowPunct/>
        <w:topLinePunct w:val="0"/>
        <w:autoSpaceDE/>
        <w:autoSpaceDN/>
        <w:bidi w:val="0"/>
        <w:adjustRightInd/>
        <w:snapToGrid/>
        <w:spacing w:after="0" w:line="560" w:lineRule="exact"/>
        <w:ind w:left="480" w:leftChars="200" w:firstLine="0"/>
        <w:jc w:val="both"/>
        <w:textAlignment w:val="auto"/>
        <w:rPr>
          <w:rFonts w:ascii="仿宋_GB2312" w:eastAsia="仿宋_GB2312"/>
          <w:b/>
          <w:color w:val="auto"/>
          <w:sz w:val="32"/>
          <w:szCs w:val="32"/>
        </w:rPr>
      </w:pPr>
      <w:r>
        <w:rPr>
          <w:rFonts w:hint="eastAsia" w:ascii="仿宋_GB2312" w:eastAsia="仿宋_GB2312"/>
          <w:b/>
          <w:color w:val="auto"/>
          <w:sz w:val="32"/>
          <w:szCs w:val="32"/>
          <w:lang w:eastAsia="zh-CN"/>
        </w:rPr>
        <w:t>（四）</w:t>
      </w:r>
      <w:r>
        <w:rPr>
          <w:rFonts w:hint="eastAsia" w:ascii="仿宋_GB2312" w:eastAsia="仿宋_GB2312"/>
          <w:b/>
          <w:color w:val="auto"/>
          <w:sz w:val="32"/>
          <w:szCs w:val="32"/>
        </w:rPr>
        <w:t>评估内容</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b/>
          <w:color w:val="auto"/>
          <w:sz w:val="32"/>
          <w:szCs w:val="32"/>
          <w:lang w:eastAsia="zh-CN"/>
        </w:rPr>
      </w:pPr>
      <w:r>
        <w:rPr>
          <w:rFonts w:hint="eastAsia" w:ascii="仿宋_GB2312" w:hAnsi="Times New Roman" w:eastAsia="仿宋_GB2312" w:cs="Times New Roman"/>
          <w:b/>
          <w:color w:val="auto"/>
          <w:sz w:val="32"/>
          <w:szCs w:val="32"/>
          <w:lang w:val="en-US" w:eastAsia="zh-CN" w:bidi="en-US"/>
        </w:rPr>
        <w:t>1.</w:t>
      </w:r>
      <w:r>
        <w:rPr>
          <w:rFonts w:hint="eastAsia" w:ascii="仿宋_GB2312" w:eastAsia="仿宋_GB2312"/>
          <w:b/>
          <w:color w:val="auto"/>
          <w:sz w:val="32"/>
          <w:szCs w:val="32"/>
        </w:rPr>
        <w:t>运营管理情况评估</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主要从社工站人员管理、行政管理、项目宣传等方面进行评估。</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b/>
          <w:color w:val="auto"/>
          <w:sz w:val="32"/>
          <w:szCs w:val="32"/>
          <w:lang w:eastAsia="zh-CN"/>
        </w:rPr>
      </w:pPr>
      <w:r>
        <w:rPr>
          <w:rFonts w:hint="eastAsia" w:ascii="仿宋_GB2312" w:eastAsia="仿宋_GB2312"/>
          <w:b/>
          <w:color w:val="auto"/>
          <w:sz w:val="32"/>
          <w:szCs w:val="32"/>
          <w:lang w:val="en-US"/>
        </w:rPr>
        <w:t>2.</w:t>
      </w:r>
      <w:r>
        <w:rPr>
          <w:rFonts w:hint="eastAsia" w:ascii="仿宋_GB2312" w:eastAsia="仿宋_GB2312"/>
          <w:b/>
          <w:color w:val="auto"/>
          <w:sz w:val="32"/>
          <w:szCs w:val="32"/>
        </w:rPr>
        <w:t>项目服务评估</w:t>
      </w:r>
      <w:bookmarkStart w:id="27" w:name="bookmark29"/>
      <w:bookmarkEnd w:id="27"/>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lang w:eastAsia="zh-CN"/>
        </w:rPr>
        <w:t>根据《广州市社工站</w:t>
      </w:r>
      <w:r>
        <w:rPr>
          <w:rFonts w:hint="eastAsia" w:ascii="仿宋_GB2312" w:hAnsi="仿宋_GB2312" w:eastAsia="仿宋_GB2312" w:cs="仿宋_GB2312"/>
          <w:color w:val="auto"/>
          <w:sz w:val="32"/>
          <w:szCs w:val="32"/>
          <w:lang w:eastAsia="zh-CN"/>
        </w:rPr>
        <w:t>购买</w:t>
      </w:r>
      <w:r>
        <w:rPr>
          <w:rFonts w:ascii="仿宋_GB2312" w:hAnsi="仿宋_GB2312" w:eastAsia="仿宋_GB2312" w:cs="仿宋_GB2312"/>
          <w:color w:val="auto"/>
          <w:sz w:val="32"/>
          <w:szCs w:val="32"/>
          <w:lang w:eastAsia="zh-CN"/>
        </w:rPr>
        <w:t>服务项目评估指标体系》，结合社工站与</w:t>
      </w:r>
      <w:r>
        <w:rPr>
          <w:rFonts w:hint="eastAsia" w:ascii="仿宋_GB2312" w:hAnsi="仿宋_GB2312" w:eastAsia="仿宋_GB2312" w:cs="仿宋_GB2312"/>
          <w:color w:val="auto"/>
          <w:sz w:val="32"/>
          <w:szCs w:val="32"/>
          <w:lang w:eastAsia="zh-CN"/>
        </w:rPr>
        <w:t>镇街</w:t>
      </w:r>
      <w:r>
        <w:rPr>
          <w:rFonts w:ascii="仿宋_GB2312" w:hAnsi="仿宋_GB2312" w:eastAsia="仿宋_GB2312" w:cs="仿宋_GB2312"/>
          <w:color w:val="auto"/>
          <w:sz w:val="32"/>
          <w:szCs w:val="32"/>
          <w:lang w:eastAsia="zh-CN"/>
        </w:rPr>
        <w:t>签订的三方协议规定开展的服务内容开展评估工作，主要从</w:t>
      </w:r>
      <w:r>
        <w:rPr>
          <w:rFonts w:hint="eastAsia" w:ascii="仿宋_GB2312" w:hAnsi="仿宋_GB2312" w:eastAsia="仿宋_GB2312" w:cs="仿宋_GB2312"/>
          <w:color w:val="auto"/>
          <w:sz w:val="32"/>
          <w:szCs w:val="32"/>
          <w:lang w:eastAsia="zh-CN"/>
        </w:rPr>
        <w:t>需求</w:t>
      </w:r>
      <w:r>
        <w:rPr>
          <w:rFonts w:ascii="仿宋_GB2312" w:hAnsi="仿宋_GB2312" w:eastAsia="仿宋_GB2312" w:cs="仿宋_GB2312"/>
          <w:color w:val="auto"/>
          <w:sz w:val="32"/>
          <w:szCs w:val="32"/>
          <w:lang w:eastAsia="zh-CN"/>
        </w:rPr>
        <w:t>评估</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服务设计</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服务执行</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服务成效等方面进行评估。</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b/>
          <w:color w:val="auto"/>
          <w:sz w:val="32"/>
          <w:szCs w:val="32"/>
        </w:rPr>
      </w:pPr>
      <w:r>
        <w:rPr>
          <w:rFonts w:hint="eastAsia" w:ascii="仿宋_GB2312" w:eastAsia="仿宋_GB2312"/>
          <w:b/>
          <w:color w:val="auto"/>
          <w:sz w:val="32"/>
          <w:szCs w:val="32"/>
          <w:lang w:val="en-US"/>
        </w:rPr>
        <w:t>3.</w:t>
      </w:r>
      <w:r>
        <w:rPr>
          <w:rFonts w:hint="eastAsia" w:ascii="仿宋_GB2312" w:eastAsia="仿宋_GB2312"/>
          <w:b/>
          <w:color w:val="auto"/>
          <w:sz w:val="32"/>
          <w:szCs w:val="32"/>
        </w:rPr>
        <w:t>利益相关方满意度及知晓度访谈</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服务对象满意度主要由评估机构统筹实施，通过电访、走访、调查问卷等方式进行，随机抽取不少于100名服务对象开展满意度调查（困难群众和特殊群体总人数低于100的，按照实际人数开展全覆盖满意度调查）。</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hAnsi="仿宋_GB2312" w:eastAsia="PMingLiU" w:cs="仿宋_GB2312"/>
          <w:b/>
          <w:color w:val="auto"/>
          <w:sz w:val="32"/>
          <w:szCs w:val="32"/>
        </w:rPr>
      </w:pPr>
      <w:r>
        <w:rPr>
          <w:rFonts w:hint="eastAsia" w:ascii="仿宋_GB2312" w:hAnsi="仿宋_GB2312" w:eastAsia="仿宋_GB2312" w:cs="仿宋_GB2312"/>
          <w:b/>
          <w:color w:val="auto"/>
          <w:sz w:val="32"/>
          <w:szCs w:val="32"/>
        </w:rPr>
        <w:t>4</w:t>
      </w:r>
      <w:r>
        <w:rPr>
          <w:rFonts w:ascii="仿宋_GB2312" w:hAnsi="仿宋_GB2312" w:eastAsia="仿宋_GB2312" w:cs="仿宋_GB2312"/>
          <w:b/>
          <w:color w:val="auto"/>
          <w:sz w:val="32"/>
          <w:szCs w:val="32"/>
        </w:rPr>
        <w:t>.收集整理相关方反馈</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rPr>
        <w:t>收集整理相关方意见反馈</w:t>
      </w:r>
      <w:r>
        <w:rPr>
          <w:rFonts w:hint="eastAsia" w:ascii="仿宋_GB2312" w:hAnsi="仿宋_GB2312" w:eastAsia="仿宋_GB2312" w:cs="仿宋_GB2312"/>
          <w:color w:val="auto"/>
          <w:sz w:val="32"/>
          <w:szCs w:val="32"/>
          <w:lang w:eastAsia="zh-CN"/>
        </w:rPr>
        <w:t>，包括</w:t>
      </w:r>
      <w:r>
        <w:rPr>
          <w:rFonts w:hint="eastAsia" w:ascii="仿宋_GB2312" w:hAnsi="仿宋_GB2312" w:eastAsia="仿宋_GB2312" w:cs="仿宋_GB2312"/>
          <w:color w:val="auto"/>
          <w:sz w:val="32"/>
          <w:szCs w:val="32"/>
        </w:rPr>
        <w:t>街道购买方</w:t>
      </w:r>
      <w:r>
        <w:rPr>
          <w:rFonts w:hint="eastAsia" w:ascii="仿宋_GB2312" w:hAnsi="仿宋_GB2312" w:eastAsia="仿宋_GB2312" w:cs="仿宋_GB2312"/>
          <w:color w:val="auto"/>
          <w:sz w:val="32"/>
          <w:szCs w:val="32"/>
          <w:lang w:eastAsia="zh-CN"/>
        </w:rPr>
        <w:t>对社工站项目作用发挥情况的综合评价</w:t>
      </w:r>
      <w:r>
        <w:rPr>
          <w:rFonts w:hint="eastAsia" w:ascii="仿宋_GB2312" w:hAnsi="仿宋_GB2312" w:eastAsia="仿宋_GB2312" w:cs="仿宋_GB2312"/>
          <w:color w:val="auto"/>
          <w:sz w:val="32"/>
          <w:szCs w:val="32"/>
        </w:rPr>
        <w:t>，监督方番禺区民政局</w:t>
      </w:r>
      <w:r>
        <w:rPr>
          <w:rFonts w:hint="eastAsia" w:ascii="仿宋_GB2312" w:hAnsi="仿宋_GB2312" w:eastAsia="仿宋_GB2312" w:cs="仿宋_GB2312"/>
          <w:color w:val="auto"/>
          <w:sz w:val="32"/>
          <w:szCs w:val="32"/>
          <w:lang w:eastAsia="zh-CN"/>
        </w:rPr>
        <w:t>对社工站项目的自查自纠检查情况、督查整改落实情况的综合评价，以及</w:t>
      </w:r>
      <w:r>
        <w:rPr>
          <w:rFonts w:hint="eastAsia" w:ascii="仿宋_GB2312" w:hAnsi="仿宋_GB2312" w:eastAsia="仿宋_GB2312" w:cs="仿宋_GB2312"/>
          <w:color w:val="auto"/>
          <w:sz w:val="32"/>
          <w:szCs w:val="32"/>
        </w:rPr>
        <w:t>督导中心</w:t>
      </w:r>
      <w:r>
        <w:rPr>
          <w:rFonts w:hint="eastAsia" w:ascii="仿宋_GB2312" w:hAnsi="仿宋_GB2312" w:eastAsia="仿宋_GB2312" w:cs="仿宋_GB2312"/>
          <w:color w:val="auto"/>
          <w:sz w:val="32"/>
          <w:szCs w:val="32"/>
          <w:lang w:eastAsia="zh-CN"/>
        </w:rPr>
        <w:t>对服务质量保障方面情况的综合评价。</w:t>
      </w:r>
    </w:p>
    <w:p>
      <w:pPr>
        <w:pStyle w:val="13"/>
        <w:keepNext w:val="0"/>
        <w:keepLines w:val="0"/>
        <w:pageBreakBefore w:val="0"/>
        <w:widowControl w:val="0"/>
        <w:kinsoku/>
        <w:wordWrap/>
        <w:overflowPunct/>
        <w:topLinePunct w:val="0"/>
        <w:autoSpaceDE/>
        <w:autoSpaceDN/>
        <w:bidi w:val="0"/>
        <w:adjustRightInd/>
        <w:snapToGrid/>
        <w:spacing w:after="0" w:line="560" w:lineRule="exact"/>
        <w:ind w:left="480" w:leftChars="200" w:firstLine="0"/>
        <w:jc w:val="both"/>
        <w:textAlignment w:val="auto"/>
        <w:rPr>
          <w:rFonts w:ascii="仿宋_GB2312" w:eastAsia="仿宋_GB2312"/>
          <w:b/>
          <w:sz w:val="32"/>
          <w:szCs w:val="32"/>
        </w:rPr>
      </w:pPr>
      <w:r>
        <w:rPr>
          <w:rFonts w:hint="eastAsia" w:ascii="仿宋_GB2312" w:eastAsia="仿宋_GB2312"/>
          <w:b/>
          <w:sz w:val="32"/>
          <w:szCs w:val="32"/>
          <w:lang w:eastAsia="zh-CN"/>
        </w:rPr>
        <w:t>（五）</w:t>
      </w:r>
      <w:r>
        <w:rPr>
          <w:rFonts w:hint="eastAsia" w:ascii="仿宋_GB2312" w:eastAsia="仿宋_GB2312"/>
          <w:b/>
          <w:sz w:val="32"/>
          <w:szCs w:val="32"/>
        </w:rPr>
        <w:t>评估结果说明</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社工站项目评估分值由四方评估分数的总和确定。其中，第三方评估机构评估分值占比55％、督导中心评估分值占比15％、镇人民政府（街道办事处）评估分值占比20％、区民政部门评估分值占比10％。评估等级分为优秀、良好、合格、不合格四个等级，90分以上为优秀，80分至90分（不含90分）为良好</w:t>
      </w:r>
      <w:r>
        <w:rPr>
          <w:rFonts w:hint="eastAsia" w:ascii="仿宋_GB2312" w:eastAsia="仿宋_GB2312"/>
          <w:sz w:val="32"/>
          <w:szCs w:val="32"/>
          <w:lang w:eastAsia="zh-CN"/>
        </w:rPr>
        <w:t>，</w:t>
      </w:r>
      <w:r>
        <w:rPr>
          <w:rFonts w:hint="eastAsia" w:ascii="仿宋_GB2312" w:eastAsia="仿宋_GB2312"/>
          <w:sz w:val="32"/>
          <w:szCs w:val="32"/>
        </w:rPr>
        <w:t>60分至80分（不含80分）为合格，60分以下（不含60分）为不合格。评估中若发现有下列情形之一的，评估结果也定为不合格：</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保洁</w:t>
      </w:r>
      <w:r>
        <w:rPr>
          <w:rFonts w:hint="eastAsia" w:ascii="仿宋_GB2312" w:eastAsia="仿宋_GB2312"/>
          <w:sz w:val="32"/>
          <w:szCs w:val="32"/>
          <w:lang w:eastAsia="zh-CN"/>
        </w:rPr>
        <w:t>、</w:t>
      </w:r>
      <w:r>
        <w:rPr>
          <w:rFonts w:hint="eastAsia" w:ascii="仿宋_GB2312" w:eastAsia="仿宋_GB2312"/>
          <w:sz w:val="32"/>
          <w:szCs w:val="32"/>
        </w:rPr>
        <w:t>安保等人员占用社工名额的；</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社工人员配备不足的，其中</w:t>
      </w:r>
      <w:r>
        <w:rPr>
          <w:rFonts w:hint="eastAsia" w:ascii="仿宋_GB2312" w:eastAsia="仿宋_GB2312"/>
          <w:sz w:val="32"/>
          <w:szCs w:val="32"/>
          <w:lang w:eastAsia="zh-CN"/>
        </w:rPr>
        <w:t>中期</w:t>
      </w:r>
      <w:r>
        <w:rPr>
          <w:rFonts w:hint="eastAsia" w:ascii="仿宋_GB2312" w:eastAsia="仿宋_GB2312"/>
          <w:sz w:val="32"/>
          <w:szCs w:val="32"/>
        </w:rPr>
        <w:t>评估累计缺少5人次或以上，末期评估累计缺少10人次或以上；</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持证社工比例不达标的，其中</w:t>
      </w:r>
      <w:r>
        <w:rPr>
          <w:rFonts w:hint="eastAsia" w:ascii="仿宋_GB2312" w:eastAsia="仿宋_GB2312"/>
          <w:sz w:val="32"/>
          <w:szCs w:val="32"/>
          <w:lang w:eastAsia="zh-CN"/>
        </w:rPr>
        <w:t>中期</w:t>
      </w:r>
      <w:r>
        <w:rPr>
          <w:rFonts w:hint="eastAsia" w:ascii="仿宋_GB2312" w:eastAsia="仿宋_GB2312"/>
          <w:sz w:val="32"/>
          <w:szCs w:val="32"/>
        </w:rPr>
        <w:t>评估累计缺少3人次或以上，末期评估累计缺少6人次或以上；</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年度服务期内人员费用支出比例低于80%的；</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限期内整改不及时、不到位的；</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专业评估结果为不合格的；</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七</w:t>
      </w:r>
      <w:r>
        <w:rPr>
          <w:rFonts w:hint="eastAsia" w:ascii="仿宋_GB2312" w:eastAsia="仿宋_GB2312"/>
          <w:sz w:val="32"/>
          <w:szCs w:val="32"/>
          <w:lang w:eastAsia="zh-CN"/>
        </w:rPr>
        <w:t>）</w:t>
      </w:r>
      <w:r>
        <w:rPr>
          <w:rFonts w:hint="eastAsia" w:ascii="仿宋_GB2312" w:eastAsia="仿宋_GB2312"/>
          <w:sz w:val="32"/>
          <w:szCs w:val="32"/>
        </w:rPr>
        <w:t>财务评估结果为不合格的；</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sz w:val="32"/>
          <w:szCs w:val="32"/>
        </w:rPr>
      </w:pPr>
      <w:r>
        <w:rPr>
          <w:rFonts w:hint="eastAsia" w:ascii="仿宋_GB2312" w:eastAsia="仿宋_GB2312"/>
          <w:sz w:val="32"/>
          <w:szCs w:val="32"/>
          <w:lang w:eastAsia="zh-CN"/>
        </w:rPr>
        <w:t>（</w:t>
      </w:r>
      <w:r>
        <w:rPr>
          <w:rFonts w:hint="eastAsia" w:ascii="仿宋_GB2312" w:eastAsia="仿宋_GB2312"/>
          <w:sz w:val="32"/>
          <w:szCs w:val="32"/>
        </w:rPr>
        <w:t>八</w:t>
      </w:r>
      <w:r>
        <w:rPr>
          <w:rFonts w:hint="eastAsia" w:ascii="仿宋_GB2312" w:eastAsia="仿宋_GB2312"/>
          <w:sz w:val="32"/>
          <w:szCs w:val="32"/>
          <w:lang w:eastAsia="zh-CN"/>
        </w:rPr>
        <w:t>）</w:t>
      </w:r>
      <w:r>
        <w:rPr>
          <w:rFonts w:hint="eastAsia" w:ascii="仿宋_GB2312" w:eastAsia="仿宋_GB2312"/>
          <w:sz w:val="32"/>
          <w:szCs w:val="32"/>
        </w:rPr>
        <w:t>违反国家法律法规及有关规定的其他情形，情节严重的。</w:t>
      </w:r>
    </w:p>
    <w:p>
      <w:pPr>
        <w:pStyle w:val="11"/>
        <w:keepNext/>
        <w:keepLines/>
        <w:pageBreakBefore w:val="0"/>
        <w:widowControl w:val="0"/>
        <w:kinsoku/>
        <w:wordWrap/>
        <w:overflowPunct/>
        <w:topLinePunct w:val="0"/>
        <w:autoSpaceDE/>
        <w:autoSpaceDN/>
        <w:bidi w:val="0"/>
        <w:adjustRightInd/>
        <w:snapToGrid/>
        <w:spacing w:before="0" w:after="0" w:line="56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二、评估总结</w:t>
      </w:r>
    </w:p>
    <w:p>
      <w:pPr>
        <w:pStyle w:val="13"/>
        <w:pageBreakBefore w:val="0"/>
        <w:widowControl w:val="0"/>
        <w:kinsoku/>
        <w:wordWrap/>
        <w:overflowPunct/>
        <w:topLinePunct w:val="0"/>
        <w:autoSpaceDE/>
        <w:autoSpaceDN/>
        <w:bidi w:val="0"/>
        <w:adjustRightInd/>
        <w:snapToGrid/>
        <w:spacing w:after="0" w:line="560" w:lineRule="exact"/>
        <w:ind w:firstLine="743"/>
        <w:jc w:val="both"/>
        <w:textAlignment w:val="auto"/>
        <w:rPr>
          <w:rFonts w:ascii="仿宋_GB2312" w:eastAsia="仿宋_GB2312"/>
          <w:b/>
          <w:color w:val="auto"/>
          <w:sz w:val="32"/>
          <w:szCs w:val="32"/>
        </w:rPr>
      </w:pPr>
      <w:r>
        <w:rPr>
          <w:rFonts w:hint="eastAsia" w:ascii="仿宋_GB2312" w:eastAsia="仿宋_GB2312"/>
          <w:b/>
          <w:color w:val="auto"/>
          <w:sz w:val="32"/>
          <w:szCs w:val="32"/>
        </w:rPr>
        <w:t>（―）社工站基本情况</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highlight w:val="yellow"/>
          <w:lang w:eastAsia="zh-CN"/>
        </w:rPr>
      </w:pPr>
      <w:r>
        <w:rPr>
          <w:rFonts w:hint="eastAsia" w:ascii="仿宋_GB2312" w:eastAsia="仿宋_GB2312"/>
          <w:color w:val="auto"/>
          <w:sz w:val="32"/>
          <w:szCs w:val="32"/>
          <w:lang w:eastAsia="zh-CN"/>
        </w:rPr>
        <w:t>沙头街</w:t>
      </w:r>
      <w:r>
        <w:rPr>
          <w:rFonts w:hint="eastAsia" w:ascii="仿宋_GB2312" w:eastAsia="仿宋_GB2312"/>
          <w:color w:val="auto"/>
          <w:sz w:val="32"/>
          <w:szCs w:val="32"/>
        </w:rPr>
        <w:t>社工站位于</w:t>
      </w:r>
      <w:r>
        <w:rPr>
          <w:rFonts w:hint="eastAsia" w:ascii="仿宋_GB2312" w:eastAsia="仿宋_GB2312"/>
          <w:color w:val="auto"/>
          <w:sz w:val="32"/>
          <w:szCs w:val="32"/>
          <w:lang w:val="en-US" w:eastAsia="zh-CN"/>
        </w:rPr>
        <w:t>番禺区沙头街东桥大街68号。</w:t>
      </w:r>
      <w:r>
        <w:rPr>
          <w:rFonts w:hint="eastAsia" w:ascii="仿宋_GB2312" w:eastAsia="仿宋_GB2312"/>
          <w:color w:val="auto"/>
          <w:sz w:val="32"/>
          <w:szCs w:val="32"/>
          <w:lang w:eastAsia="zh-CN"/>
        </w:rPr>
        <w:t>沙头街社工服务站成立于2011年11月，自2019年8月20日起，经沙头街道办事处以政府购买服务的形式确定，由广州市黄埔区现代社会工作中心承接运营。</w:t>
      </w:r>
    </w:p>
    <w:p>
      <w:pPr>
        <w:pStyle w:val="13"/>
        <w:pageBreakBefore w:val="0"/>
        <w:widowControl w:val="0"/>
        <w:kinsoku/>
        <w:wordWrap/>
        <w:overflowPunct/>
        <w:topLinePunct w:val="0"/>
        <w:autoSpaceDE/>
        <w:autoSpaceDN/>
        <w:bidi w:val="0"/>
        <w:adjustRightInd/>
        <w:snapToGrid/>
        <w:spacing w:after="0" w:line="560" w:lineRule="exact"/>
        <w:ind w:firstLine="601"/>
        <w:jc w:val="both"/>
        <w:textAlignment w:val="auto"/>
        <w:rPr>
          <w:rFonts w:hint="eastAsia" w:ascii="仿宋_GB2312" w:eastAsia="仿宋_GB2312"/>
          <w:color w:val="auto"/>
          <w:sz w:val="32"/>
          <w:szCs w:val="32"/>
        </w:rPr>
      </w:pPr>
      <w:r>
        <w:rPr>
          <w:rFonts w:hint="eastAsia" w:ascii="仿宋_GB2312" w:eastAsia="仿宋_GB2312"/>
          <w:color w:val="auto"/>
          <w:sz w:val="32"/>
          <w:szCs w:val="32"/>
        </w:rPr>
        <w:t>截至</w:t>
      </w:r>
      <w:r>
        <w:rPr>
          <w:rFonts w:ascii="仿宋_GB2312" w:eastAsia="仿宋_GB2312"/>
          <w:color w:val="auto"/>
          <w:sz w:val="32"/>
          <w:szCs w:val="32"/>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日，</w:t>
      </w:r>
      <w:r>
        <w:rPr>
          <w:rFonts w:hint="eastAsia" w:ascii="仿宋_GB2312" w:eastAsia="仿宋_GB2312"/>
          <w:color w:val="auto"/>
          <w:sz w:val="32"/>
          <w:szCs w:val="32"/>
          <w:highlight w:val="none"/>
        </w:rPr>
        <w:t>社工站配备工作人员</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名，其中社工专业人员</w:t>
      </w: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名（中级社工师资格</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名，助理社工师资格</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名），</w:t>
      </w:r>
      <w:r>
        <w:rPr>
          <w:rFonts w:hint="eastAsia" w:ascii="仿宋_GB2312" w:eastAsia="仿宋_GB2312"/>
          <w:color w:val="auto"/>
          <w:sz w:val="32"/>
          <w:szCs w:val="32"/>
          <w:highlight w:val="none"/>
          <w:lang w:val="en-US" w:eastAsia="zh-CN"/>
        </w:rPr>
        <w:t>非持证人员8名</w:t>
      </w:r>
      <w:r>
        <w:rPr>
          <w:rFonts w:hint="eastAsia" w:ascii="仿宋_GB2312" w:eastAsia="仿宋_GB2312"/>
          <w:color w:val="auto"/>
          <w:sz w:val="32"/>
          <w:szCs w:val="32"/>
        </w:rPr>
        <w:t>。</w:t>
      </w:r>
    </w:p>
    <w:p>
      <w:pPr>
        <w:pStyle w:val="13"/>
        <w:pageBreakBefore w:val="0"/>
        <w:widowControl w:val="0"/>
        <w:kinsoku/>
        <w:wordWrap/>
        <w:overflowPunct/>
        <w:topLinePunct w:val="0"/>
        <w:autoSpaceDE/>
        <w:autoSpaceDN/>
        <w:bidi w:val="0"/>
        <w:adjustRightInd/>
        <w:snapToGrid/>
        <w:spacing w:after="0" w:line="560" w:lineRule="exact"/>
        <w:ind w:firstLine="601"/>
        <w:jc w:val="both"/>
        <w:textAlignment w:val="auto"/>
        <w:rPr>
          <w:rFonts w:ascii="仿宋_GB2312" w:eastAsia="仿宋_GB2312"/>
          <w:color w:val="auto"/>
          <w:sz w:val="32"/>
          <w:szCs w:val="32"/>
        </w:rPr>
      </w:pPr>
      <w:r>
        <w:rPr>
          <w:rFonts w:hint="eastAsia" w:ascii="仿宋_GB2312" w:eastAsia="仿宋_GB2312"/>
          <w:color w:val="auto"/>
          <w:sz w:val="32"/>
          <w:szCs w:val="32"/>
        </w:rPr>
        <w:t>本社工站</w:t>
      </w:r>
      <w:r>
        <w:rPr>
          <w:rFonts w:hint="eastAsia" w:ascii="仿宋_GB2312" w:eastAsia="仿宋_GB2312"/>
          <w:color w:val="auto"/>
          <w:sz w:val="32"/>
          <w:szCs w:val="32"/>
          <w:lang w:val="en-US" w:eastAsia="zh-CN"/>
        </w:rPr>
        <w:t>评估周期</w:t>
      </w:r>
      <w:r>
        <w:rPr>
          <w:rFonts w:hint="eastAsia" w:ascii="仿宋_GB2312" w:eastAsia="仿宋_GB2312"/>
          <w:color w:val="auto"/>
          <w:sz w:val="32"/>
          <w:szCs w:val="32"/>
        </w:rPr>
        <w:t>服务经费为</w:t>
      </w:r>
      <w:r>
        <w:rPr>
          <w:rFonts w:hint="eastAsia" w:ascii="仿宋_GB2312" w:eastAsia="仿宋_GB2312"/>
          <w:color w:val="auto"/>
          <w:sz w:val="32"/>
          <w:szCs w:val="32"/>
          <w:lang w:val="en-US" w:eastAsia="zh-CN"/>
        </w:rPr>
        <w:t>240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评估周期</w:t>
      </w:r>
      <w:r>
        <w:rPr>
          <w:rFonts w:hint="eastAsia" w:ascii="仿宋_GB2312" w:eastAsia="仿宋_GB2312"/>
          <w:color w:val="auto"/>
          <w:sz w:val="32"/>
          <w:szCs w:val="32"/>
        </w:rPr>
        <w:t>项目合同期为202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日至</w:t>
      </w:r>
      <w:r>
        <w:rPr>
          <w:rFonts w:hint="eastAsia" w:ascii="仿宋_GB2312" w:eastAsia="仿宋_GB2312"/>
          <w:color w:val="auto"/>
          <w:sz w:val="32"/>
          <w:szCs w:val="32"/>
          <w:lang w:eastAsia="zh-CN"/>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日。</w:t>
      </w:r>
    </w:p>
    <w:p>
      <w:pPr>
        <w:pStyle w:val="13"/>
        <w:pageBreakBefore w:val="0"/>
        <w:widowControl w:val="0"/>
        <w:kinsoku/>
        <w:wordWrap/>
        <w:overflowPunct/>
        <w:topLinePunct w:val="0"/>
        <w:autoSpaceDE/>
        <w:autoSpaceDN/>
        <w:bidi w:val="0"/>
        <w:adjustRightInd/>
        <w:snapToGrid/>
        <w:spacing w:after="0" w:line="560" w:lineRule="exact"/>
        <w:ind w:firstLine="743"/>
        <w:jc w:val="both"/>
        <w:textAlignment w:val="auto"/>
        <w:rPr>
          <w:rFonts w:ascii="仿宋_GB2312" w:eastAsia="仿宋_GB2312"/>
          <w:b/>
          <w:color w:val="auto"/>
          <w:sz w:val="32"/>
          <w:szCs w:val="32"/>
        </w:rPr>
      </w:pPr>
      <w:r>
        <w:rPr>
          <w:rFonts w:hint="eastAsia" w:ascii="仿宋_GB2312" w:eastAsia="仿宋_GB2312"/>
          <w:b/>
          <w:color w:val="auto"/>
          <w:sz w:val="32"/>
          <w:szCs w:val="32"/>
        </w:rPr>
        <w:t>（二）各项目服务进度情况</w:t>
      </w:r>
    </w:p>
    <w:p>
      <w:pPr>
        <w:pStyle w:val="13"/>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截至2024年7月30日，</w:t>
      </w:r>
      <w:r>
        <w:rPr>
          <w:rFonts w:hint="eastAsia" w:ascii="仿宋_GB2312" w:eastAsia="仿宋_GB2312"/>
          <w:color w:val="auto"/>
          <w:sz w:val="32"/>
          <w:szCs w:val="32"/>
          <w:lang w:val="en-US" w:eastAsia="zh-CN"/>
        </w:rPr>
        <w:t>社工站共完成家访1557户，电访2043户，分别完成协议指标量的204.30%、155.70%；专业个案接案60人，服务节数391节，分别完成指标量100.00%，108.61%。开展小组24个，完成144节，服务1078人次，分别完成指标的100.00%、100.00%、124.77%。完成社区活动94场，服务12954人次，分别完成指标的106.32%和368.01%。发展志愿者105名，培育志愿者队伍3支，培育志愿者骨干22名，分别完成指标量的100.00%、150.00%、100.00%。以上数据由社工站提供。</w:t>
      </w:r>
    </w:p>
    <w:p>
      <w:pPr>
        <w:pStyle w:val="13"/>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从以上数据可知，沙头街社工站服务指标完成情况良好，在服务进度方面整体把握到位。</w:t>
      </w:r>
    </w:p>
    <w:p>
      <w:pPr>
        <w:pStyle w:val="13"/>
        <w:pageBreakBefore w:val="0"/>
        <w:widowControl w:val="0"/>
        <w:kinsoku/>
        <w:wordWrap/>
        <w:overflowPunct/>
        <w:topLinePunct w:val="0"/>
        <w:autoSpaceDE/>
        <w:autoSpaceDN/>
        <w:bidi w:val="0"/>
        <w:adjustRightInd/>
        <w:snapToGrid/>
        <w:spacing w:after="80" w:line="560" w:lineRule="exact"/>
        <w:ind w:firstLine="740"/>
        <w:jc w:val="both"/>
        <w:textAlignment w:val="auto"/>
        <w:rPr>
          <w:rFonts w:ascii="仿宋_GB2312" w:eastAsia="仿宋_GB2312"/>
          <w:color w:val="auto"/>
          <w:sz w:val="32"/>
          <w:szCs w:val="32"/>
        </w:rPr>
      </w:pPr>
      <w:r>
        <w:rPr>
          <w:rFonts w:hint="eastAsia" w:ascii="仿宋_GB2312" w:eastAsia="仿宋_GB2312"/>
          <w:b/>
          <w:bCs/>
          <w:color w:val="auto"/>
          <w:sz w:val="32"/>
          <w:szCs w:val="32"/>
          <w:lang w:eastAsia="zh-CN"/>
        </w:rPr>
        <w:t>（三）</w:t>
      </w:r>
      <w:r>
        <w:rPr>
          <w:rFonts w:hint="eastAsia" w:ascii="仿宋_GB2312" w:eastAsia="仿宋_GB2312"/>
          <w:b/>
          <w:bCs/>
          <w:color w:val="auto"/>
          <w:sz w:val="32"/>
          <w:szCs w:val="32"/>
        </w:rPr>
        <w:t>项目运营管理</w:t>
      </w:r>
    </w:p>
    <w:p>
      <w:pPr>
        <w:pStyle w:val="13"/>
        <w:pageBreakBefore w:val="0"/>
        <w:widowControl w:val="0"/>
        <w:kinsoku/>
        <w:wordWrap/>
        <w:overflowPunct/>
        <w:topLinePunct w:val="0"/>
        <w:autoSpaceDE/>
        <w:autoSpaceDN/>
        <w:bidi w:val="0"/>
        <w:adjustRightInd/>
        <w:snapToGrid/>
        <w:spacing w:after="0" w:line="560" w:lineRule="exact"/>
        <w:ind w:firstLine="601"/>
        <w:jc w:val="both"/>
        <w:textAlignment w:val="auto"/>
        <w:rPr>
          <w:rFonts w:ascii="仿宋_GB2312" w:eastAsia="仿宋_GB2312"/>
          <w:color w:val="auto"/>
          <w:sz w:val="32"/>
          <w:szCs w:val="32"/>
        </w:rPr>
      </w:pPr>
      <w:r>
        <w:rPr>
          <w:rFonts w:hint="eastAsia" w:ascii="仿宋_GB2312" w:eastAsia="仿宋_GB2312"/>
          <w:color w:val="auto"/>
          <w:sz w:val="32"/>
          <w:szCs w:val="32"/>
        </w:rPr>
        <w:t>通过与社工站主任、相关行政人员访谈，查阅相关资料等方式了解社工站运营管理情况，汇总成以下几点：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3"/>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bookmarkStart w:id="28" w:name="bookmark31"/>
      <w:bookmarkEnd w:id="28"/>
      <w:r>
        <w:rPr>
          <w:rFonts w:hint="eastAsia" w:ascii="仿宋_GB2312" w:eastAsia="仿宋_GB2312"/>
          <w:color w:val="auto"/>
          <w:sz w:val="32"/>
          <w:szCs w:val="32"/>
          <w:lang w:val="en-US" w:eastAsia="zh-CN"/>
        </w:rPr>
        <w:t>（1）人员配备方面，截至2024年7月30日，社工站项目共配备社工21人，社工应到230人次，实到232.5人次，其中，持证社工14人，持证社工应到115人次，实到164人次，从业两年以上社工13人，占协议社工总人数的65%，人员基本配备。社工站项目负责人自2016年3月起任职社工，2017年6月取得社会工作师职业水平证书，2023年1月入职本社工站任项目主任，从事社工服务与管理累计年限6年以上，资质和资料符合相关要求。</w:t>
      </w:r>
    </w:p>
    <w:p>
      <w:pPr>
        <w:pStyle w:val="13"/>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建立了基本的服务管理制度。包括整改机制，专业伦理价值规范实践管理制度和服务对象权益保障制度等。能针对上一次中期评估的建议撰写整改报告并作出服务整改；针对专业伦理价值规范和服务对象权益保障，有组织员工开展内部培训和学习、相关知识测试等，在服务质量反馈收集等工作中有一定落实。</w:t>
      </w:r>
    </w:p>
    <w:p>
      <w:pPr>
        <w:pStyle w:val="13"/>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（3）多渠道开展服务宣传工作。站点标识清晰，在网络地图上可搜查。已建立了站点的微信公众号，每月均有服务信息更新。能通过各社区宣传阵地、外展宣传活动传递服务信息。</w:t>
      </w:r>
    </w:p>
    <w:p>
      <w:pPr>
        <w:pStyle w:val="13"/>
        <w:pageBreakBefore w:val="0"/>
        <w:widowControl w:val="0"/>
        <w:tabs>
          <w:tab w:val="left" w:pos="1355"/>
        </w:tabs>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b/>
          <w:bCs/>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bookmarkStart w:id="29" w:name="bookmark39"/>
      <w:bookmarkEnd w:id="29"/>
      <w:bookmarkStart w:id="30" w:name="bookmark37"/>
      <w:bookmarkEnd w:id="30"/>
      <w:bookmarkStart w:id="31" w:name="bookmark36"/>
      <w:bookmarkEnd w:id="31"/>
      <w:bookmarkStart w:id="32" w:name="bookmark38"/>
      <w:bookmarkEnd w:id="32"/>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1</w:t>
      </w:r>
      <w:r>
        <w:rPr>
          <w:rFonts w:hint="eastAsia" w:ascii="仿宋_GB2312" w:eastAsia="仿宋_GB2312"/>
          <w:b w:val="0"/>
          <w:bCs w:val="0"/>
          <w:color w:val="auto"/>
          <w:sz w:val="32"/>
          <w:szCs w:val="32"/>
          <w:lang w:eastAsia="zh-CN"/>
        </w:rPr>
        <w:t>）人员管理有待加强。项目持续在岗14人，稳岗率70%，未达80%的标准要求，建议加强项目团队建设。员工合同不够规范，个别合同协定的工作内容不够清晰，个别合同到期日与续签合同开始日重叠，部分合同期限签订至“项目结束”“项目完成”为标志的表述有歧义，个别员工合同信息改变后未签订补充协议等，建议明确员工合同信息，如有变动应签署补充协议。人事资料归档不完整，现场查阅员工人事档案时，出现归档资料欠缺资质证明、欠缺新签订员工合同、欠缺离职资料、欠缺调入项目证明等情况，建议补充完善。</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2</w:t>
      </w:r>
      <w:r>
        <w:rPr>
          <w:rFonts w:hint="eastAsia" w:ascii="仿宋_GB2312" w:eastAsia="仿宋_GB2312"/>
          <w:b w:val="0"/>
          <w:bCs w:val="0"/>
          <w:color w:val="auto"/>
          <w:sz w:val="32"/>
          <w:szCs w:val="32"/>
          <w:lang w:eastAsia="zh-CN"/>
        </w:rPr>
        <w:t>）服务质量管理制度有待优化。其中，个案及小组工作实际开展时有服务回访的环节，但在专业服务流程图中未设置回访的环节，也没有具体指引，“跟踪回访机制”界定较粗略，建议结合实际工作需要，整合现有个案及小组专业服务流程指引和跟踪回访机制，优化制度的内容。同时，抽查的服务记录档案中，部分工作会议记录的跟进工作留空未填，未成年人个案未有监护人签署服务知情同意，服务文书签署不规范，建议明确会议后的跟进事项，发挥工作会议推进项目服务的作用；加强未成年人个案开展时监护人的知情同意落实；服务文书由服务提供者签名确认，明确服务责任，或在制度说明上明确“制表人”的签署方式和责任。“服务整改提升机制”的内容不够具体，整改小组各人的职责分工不够明确，建议结合实际情况，细化服务整改机制，并将执行落实整改事项的工作资料做好分类归档。</w:t>
      </w:r>
    </w:p>
    <w:p>
      <w:pPr>
        <w:pStyle w:val="13"/>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3</w:t>
      </w:r>
      <w:r>
        <w:rPr>
          <w:rFonts w:hint="eastAsia" w:ascii="仿宋_GB2312" w:eastAsia="仿宋_GB2312"/>
          <w:b w:val="0"/>
          <w:bCs w:val="0"/>
          <w:color w:val="auto"/>
          <w:sz w:val="32"/>
          <w:szCs w:val="32"/>
          <w:lang w:eastAsia="zh-CN"/>
        </w:rPr>
        <w:t>）社工继续教育总时数1569小时，达标率108.95%，但个别调动的社工，月度培训时数未达标。建议做好项目期内社工的继续教育安排，保证每人每月均有相应的培训支持。</w:t>
      </w:r>
    </w:p>
    <w:p>
      <w:pPr>
        <w:pStyle w:val="13"/>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b/>
          <w:bCs/>
          <w:color w:val="auto"/>
          <w:sz w:val="32"/>
          <w:szCs w:val="32"/>
        </w:rPr>
      </w:pPr>
      <w:r>
        <w:rPr>
          <w:rFonts w:hint="eastAsia" w:ascii="仿宋_GB2312" w:eastAsia="仿宋_GB2312"/>
          <w:b/>
          <w:bCs/>
          <w:color w:val="auto"/>
          <w:sz w:val="32"/>
          <w:szCs w:val="32"/>
          <w:lang w:eastAsia="zh-CN"/>
        </w:rPr>
        <w:t>（四）</w:t>
      </w:r>
      <w:r>
        <w:rPr>
          <w:rFonts w:hint="eastAsia" w:ascii="仿宋_GB2312" w:eastAsia="仿宋_GB2312"/>
          <w:b/>
          <w:bCs/>
          <w:color w:val="auto"/>
          <w:sz w:val="32"/>
          <w:szCs w:val="32"/>
        </w:rPr>
        <w:t>服务成效和服务监测情况</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经评委评估分析访谈情况和查阅项目调研、服务方案等各类服务工作痕迹记录资料，项目执行和成效总体情况有以下几方面值得肯定：</w:t>
      </w:r>
      <w:bookmarkStart w:id="33" w:name="bookmark40"/>
      <w:bookmarkEnd w:id="33"/>
    </w:p>
    <w:p>
      <w:pPr>
        <w:pStyle w:val="13"/>
        <w:pageBreakBefore w:val="0"/>
        <w:widowControl w:val="0"/>
        <w:kinsoku/>
        <w:wordWrap/>
        <w:overflowPunct/>
        <w:topLinePunct w:val="0"/>
        <w:autoSpaceDE/>
        <w:autoSpaceDN/>
        <w:bidi w:val="0"/>
        <w:adjustRightInd/>
        <w:snapToGrid/>
        <w:spacing w:after="80" w:line="56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1）社工站坚持党的领导，积极参与街道、村居党组织的各项活动，服务服从于街道的中心工作，践行“党建引领、五社联动”的服务宗旨。对内加强社工站5名党员社工的思想建设，召开了党员社工牵头全体同工参加的“月度政治学习”，评估期内完成了11次主题学习。同时，围绕困难群众和特殊群体，开展“探访慰问、物质帮扶、微心愿和微改造”等服务，通过“先锋领航”“红星汇聚”两个主题搭建“共治网络”，完善社区慈善资源库，培育社区慈善力量，动员共建组织的党员志愿者开展植树、志愿服务集市、学雷锋志愿服务、百千万职工健步行、文化艺术节和“慈善沙头支持”等活动，筹集党建资源33.06万元，党的工作全覆盖情况成效积极。</w:t>
      </w:r>
    </w:p>
    <w:p>
      <w:pPr>
        <w:pStyle w:val="13"/>
        <w:pageBreakBefore w:val="0"/>
        <w:widowControl w:val="0"/>
        <w:kinsoku/>
        <w:wordWrap/>
        <w:overflowPunct/>
        <w:topLinePunct w:val="0"/>
        <w:autoSpaceDE/>
        <w:autoSpaceDN/>
        <w:bidi w:val="0"/>
        <w:adjustRightInd/>
        <w:snapToGrid/>
        <w:spacing w:after="80" w:line="56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2）全面评估了辖区17类困难群众和特殊群体共计732户831人的生存环境、心理健康和社会支持等方面的情况，按要求完成100%建档，实行分级管理，织牢织密了兜底保障网。同时，根据需求调研情况，制定了站点年度服务计划，搭建了以村居基本民生服务和社区问题解决为基础、片区围绕“困难关爱服务计划、民生政策信息支持计划、环保氛围营造计划、社区交通安全治理计划、社区空间活化计划、防诈骗服务计划、文化娱乐服务计划”等主题开展服务，站层面突出“党建引领、五社联动”的服务架构，对新指标体系理解准确，逻辑紧密，层次清晰，特别是社工点服务计划框架详细，值得肯定。</w:t>
      </w:r>
    </w:p>
    <w:p>
      <w:pPr>
        <w:pStyle w:val="13"/>
        <w:pageBreakBefore w:val="0"/>
        <w:widowControl w:val="0"/>
        <w:kinsoku/>
        <w:wordWrap/>
        <w:overflowPunct/>
        <w:topLinePunct w:val="0"/>
        <w:autoSpaceDE/>
        <w:autoSpaceDN/>
        <w:bidi w:val="0"/>
        <w:adjustRightInd/>
        <w:snapToGrid/>
        <w:spacing w:after="80" w:line="56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3）“五社联动”成效方面，丰富了多元主体的参与度，本周期联动17个党组织、11个村居、10个职能部门、11个社会组织、7所学校、13个社区基金（会）、24家爱心企业，参与兜底人群服务和卫生、交通治理，社会参与度高，协助沙头街发展社区慈善资金213.7892万元。社工站有五篇文章发表在《中国社会工作》和《社工观察》杂志，重视服务产出。服务注重案例产出，编印了《成长的足迹》案例集。各类媒体报道34次，服务有较强的总结能力和媒体影响力。同时，社区“三图”绘作精美，经验值得推广。合作方评价度高，值得肯定。通过调查问卷、电访、走访等方式调查满意度，共116人接受调查评价，其中99人满意度95%以上，综合满意度较高。</w:t>
      </w:r>
    </w:p>
    <w:p>
      <w:pPr>
        <w:pStyle w:val="13"/>
        <w:pageBreakBefore w:val="0"/>
        <w:widowControl w:val="0"/>
        <w:kinsoku/>
        <w:wordWrap/>
        <w:overflowPunct/>
        <w:topLinePunct w:val="0"/>
        <w:autoSpaceDE/>
        <w:autoSpaceDN/>
        <w:bidi w:val="0"/>
        <w:adjustRightInd/>
        <w:snapToGrid/>
        <w:spacing w:after="80" w:line="560" w:lineRule="exact"/>
        <w:ind w:firstLine="6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2.需要关注的地方</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经评委评估分析访谈情况和查阅项目调研、服务方案等各类服务工作痕迹记录资料，项目执行和成效总体情况有以下方面需关注：</w:t>
      </w:r>
      <w:bookmarkStart w:id="34" w:name="bookmark44"/>
      <w:bookmarkEnd w:id="34"/>
      <w:bookmarkStart w:id="35" w:name="bookmark43"/>
      <w:bookmarkEnd w:id="35"/>
      <w:bookmarkStart w:id="36" w:name="bookmark45"/>
      <w:bookmarkEnd w:id="36"/>
    </w:p>
    <w:p>
      <w:pPr>
        <w:pStyle w:val="13"/>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党建方面，目前全站有5名党员社工，2名入党积极分子，队伍政治结构优秀，然而社工党员组织关系均不在社工站，也未按要求建立项目党组织，缺少党建共建和开展组织生活的主体。建议按“两个同步”原则，将组织关系和工作关系做同步调整，实现社工党员组织关系和工作关系一致，成立社工站党支部，并按党章要求对党员社工进行教育、管理、监督和服务。同时，党建服务项目文书没有按要求归档整理，没有以项目化的形式呈现，建议按项目要求做好文书资料的梳理，以更好地体现项目逻辑。</w:t>
      </w:r>
    </w:p>
    <w:p>
      <w:pPr>
        <w:pStyle w:val="13"/>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基于村居的社工点调研问卷设计有明显的指向性和引导性，需求评估结论的信度、效度不高，不能全面、客观反映需求现状，建议做补充优化。同时，片区特色亮点不聚焦、不鲜明，不能有效回应片区的共性需求和典型问题，也不能合理解读片区划分的内在逻辑和要求。建议从社区问题视角，以项目化形式打造片区特色亮点服务，更好地体现社工团队的协作关系和更好发挥社会工作的专业性。</w:t>
      </w:r>
    </w:p>
    <w:p>
      <w:pPr>
        <w:pStyle w:val="13"/>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从兜底对象的建档文书可以看出，套表设计在需求评估和服务计划制定方面的不合理性，缺少对服务对象需求和问题的总结陈述内容，服务计划不能体现“工作措施、具体步骤、时间节点、人员分工、保障机制”等内容，建议做调整并完善。同时，兜底对象中，占比较大的残疾人群体和街道人口构成中外来人口占比大的显性问题未在服务中有所体现，建议关注。“五社联动”机制在项目实施和疑难案例解决中的体现也不明晰，建议用好“五社”元素在项目或者疑难案例中发挥相关作用，来体现联动成效。</w:t>
      </w:r>
    </w:p>
    <w:p>
      <w:pPr>
        <w:pStyle w:val="13"/>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）社区培育制度化、实施相关指引及落实情况：社区社会组织备案</w:t>
      </w:r>
      <w:r>
        <w:rPr>
          <w:rFonts w:hint="eastAsia" w:ascii="仿宋_GB2312" w:eastAsia="仿宋_GB2312"/>
          <w:color w:val="auto"/>
          <w:sz w:val="32"/>
          <w:szCs w:val="32"/>
          <w:lang w:val="en-US" w:eastAsia="zh-CN"/>
        </w:rPr>
        <w:t>1个，未达标，且服务区域较窄，建议从镇街层面扩大影响；志愿服务相关指引制度需完善，并明确专人管理负责，目前过程资料较多缺漏、套表较为形式化；志愿者骨干评定标准制度没适配新指标，没体现个人能力、特长，部分缺乏公益服务佐证痕迹；志愿队伍建档未区分新登记、活跃志愿者队伍，服务档案有待完善。</w:t>
      </w:r>
    </w:p>
    <w:p>
      <w:pPr>
        <w:pStyle w:val="13"/>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eastAsia="仿宋_GB2312"/>
          <w:b/>
          <w:bCs/>
          <w:color w:val="auto"/>
          <w:sz w:val="32"/>
          <w:szCs w:val="32"/>
        </w:rPr>
      </w:pPr>
      <w:r>
        <w:rPr>
          <w:rFonts w:hint="eastAsia" w:ascii="仿宋_GB2312" w:eastAsia="仿宋_GB2312"/>
          <w:b/>
          <w:bCs/>
          <w:color w:val="auto"/>
          <w:sz w:val="32"/>
          <w:szCs w:val="32"/>
          <w:lang w:eastAsia="zh-CN"/>
        </w:rPr>
        <w:t>（五）</w:t>
      </w:r>
      <w:r>
        <w:rPr>
          <w:rFonts w:hint="eastAsia" w:ascii="仿宋_GB2312" w:eastAsia="仿宋_GB2312"/>
          <w:b/>
          <w:bCs/>
          <w:color w:val="auto"/>
          <w:sz w:val="32"/>
          <w:szCs w:val="32"/>
        </w:rPr>
        <w:t>服务质量情况</w:t>
      </w:r>
    </w:p>
    <w:p>
      <w:pPr>
        <w:pStyle w:val="13"/>
        <w:pageBreakBefore w:val="0"/>
        <w:widowControl w:val="0"/>
        <w:kinsoku/>
        <w:wordWrap/>
        <w:overflowPunct/>
        <w:topLinePunct w:val="0"/>
        <w:autoSpaceDE/>
        <w:autoSpaceDN/>
        <w:bidi w:val="0"/>
        <w:adjustRightInd/>
        <w:snapToGrid/>
        <w:spacing w:after="80" w:line="560" w:lineRule="exact"/>
        <w:ind w:firstLine="600"/>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第一片区：横江村、南双玉村、汀根村、大平村</w:t>
      </w:r>
    </w:p>
    <w:p>
      <w:pPr>
        <w:pStyle w:val="13"/>
        <w:pageBreakBefore w:val="0"/>
        <w:widowControl w:val="0"/>
        <w:kinsoku/>
        <w:wordWrap/>
        <w:overflowPunct/>
        <w:topLinePunct w:val="0"/>
        <w:autoSpaceDE/>
        <w:autoSpaceDN/>
        <w:bidi w:val="0"/>
        <w:adjustRightInd/>
        <w:snapToGrid/>
        <w:spacing w:after="80" w:line="560" w:lineRule="exact"/>
        <w:ind w:firstLine="6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1.值得肯定的地方</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hint="eastAsia"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经评委评估分析访谈情况和查阅项目调研、服务方案等各类服务工作痕迹记录资料，项目执行和成效总体情况有以下几方面值得肯定：</w:t>
      </w:r>
    </w:p>
    <w:p>
      <w:pPr>
        <w:pStyle w:val="13"/>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color w:val="auto"/>
          <w:sz w:val="32"/>
          <w:szCs w:val="32"/>
          <w:lang w:val="en-US" w:eastAsia="zh-CN"/>
        </w:rPr>
      </w:pPr>
      <w:bookmarkStart w:id="37" w:name="bookmark48"/>
      <w:bookmarkEnd w:id="37"/>
      <w:bookmarkStart w:id="38" w:name="bookmark46"/>
      <w:bookmarkEnd w:id="38"/>
      <w:bookmarkStart w:id="39" w:name="bookmark47"/>
      <w:bookmarkEnd w:id="39"/>
      <w:r>
        <w:rPr>
          <w:rFonts w:hint="eastAsia" w:ascii="仿宋_GB2312" w:eastAsia="仿宋_GB2312"/>
          <w:color w:val="auto"/>
          <w:sz w:val="32"/>
          <w:szCs w:val="32"/>
          <w:lang w:val="en-US" w:eastAsia="zh-CN"/>
        </w:rPr>
        <w:t>（1）通过专业服务介入较好地回应了困难群众和特殊群体在情感支持、物资帮扶、居家环境改造等方面的需求，缓解了其面临的困难，提升了困难群众和特殊群体的获得感。</w:t>
      </w:r>
    </w:p>
    <w:p>
      <w:pPr>
        <w:pStyle w:val="13"/>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（2）社工对“五社联动”模式有相对较清晰的理解，能够发挥该模式在搭建社区参与平台，培养多元主体参与等方面的作用。</w:t>
      </w:r>
    </w:p>
    <w:p>
      <w:pPr>
        <w:pStyle w:val="13"/>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（3）社工能够积极发挥“双工联动”机制的作用，进行民生政策宣传工作，提高困难群众和特殊群体对政策的认知度，促进相关政策落实，有助于政策发挥效能。</w:t>
      </w:r>
    </w:p>
    <w:p>
      <w:pPr>
        <w:pStyle w:val="13"/>
        <w:pageBreakBefore w:val="0"/>
        <w:widowControl w:val="0"/>
        <w:kinsoku/>
        <w:wordWrap/>
        <w:overflowPunct/>
        <w:topLinePunct w:val="0"/>
        <w:autoSpaceDE/>
        <w:autoSpaceDN/>
        <w:bidi w:val="0"/>
        <w:adjustRightInd/>
        <w:snapToGrid/>
        <w:spacing w:after="80" w:line="560" w:lineRule="exact"/>
        <w:ind w:firstLine="642" w:firstLineChars="2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2.需要关注的地方</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hint="eastAsia"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经评委评估分析访谈情况和查阅项目调研、服务方案等各类服务工作痕迹记录资料，项目执行和成效总体情况有以下几方面需关注：</w:t>
      </w:r>
    </w:p>
    <w:p>
      <w:pPr>
        <w:pStyle w:val="13"/>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社工在需求调研方面选用多种方法，力求调研的效度，但还有可进一步提升的空间，建议围绕服务主线、服务重点，合理确定调研对象，有针对性地进行问卷、访谈提纲的内容设计，为需求评估、年度服务计划设计打好基础。</w:t>
      </w:r>
    </w:p>
    <w:p>
      <w:pPr>
        <w:pStyle w:val="13"/>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（2）部分探访记录记载的内容很详细，贴近困难群众和特殊群体的日常生活场景，富有生活气息；但话题转换太快，未深入展开，错过很多将服务推向专业深度的机会。</w:t>
      </w:r>
    </w:p>
    <w:p>
      <w:pPr>
        <w:pStyle w:val="13"/>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（3）社工开展了丰富多彩的小组、社区活动，但主题相对分散，不成系统，没能很好聚焦项目年度计划，影响项目整体成效的呈现。</w:t>
      </w:r>
    </w:p>
    <w:p>
      <w:pPr>
        <w:pStyle w:val="13"/>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第二</w:t>
      </w:r>
      <w:r>
        <w:rPr>
          <w:rFonts w:hint="eastAsia" w:ascii="仿宋_GB2312" w:eastAsia="仿宋_GB2312"/>
          <w:b/>
          <w:bCs/>
          <w:color w:val="auto"/>
          <w:sz w:val="32"/>
          <w:szCs w:val="32"/>
          <w:highlight w:val="none"/>
          <w:lang w:eastAsia="zh-CN"/>
        </w:rPr>
        <w:t>片区：</w:t>
      </w:r>
      <w:r>
        <w:rPr>
          <w:rFonts w:hint="eastAsia" w:ascii="仿宋_GB2312" w:eastAsia="仿宋_GB2312"/>
          <w:b/>
          <w:bCs/>
          <w:color w:val="auto"/>
          <w:sz w:val="32"/>
          <w:szCs w:val="32"/>
          <w:highlight w:val="none"/>
          <w:lang w:val="en-US" w:eastAsia="zh-CN"/>
        </w:rPr>
        <w:t>沙头社区、沙头村、榄山村、小平村</w:t>
      </w:r>
    </w:p>
    <w:p>
      <w:pPr>
        <w:pStyle w:val="13"/>
        <w:pageBreakBefore w:val="0"/>
        <w:widowControl w:val="0"/>
        <w:numPr>
          <w:ilvl w:val="0"/>
          <w:numId w:val="1"/>
        </w:numPr>
        <w:tabs>
          <w:tab w:val="left" w:pos="972"/>
        </w:tabs>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bookmarkStart w:id="40" w:name="bookmark57"/>
      <w:bookmarkEnd w:id="40"/>
      <w:r>
        <w:rPr>
          <w:rFonts w:hint="eastAsia" w:ascii="仿宋_GB2312" w:eastAsia="仿宋_GB2312"/>
          <w:b/>
          <w:bCs/>
          <w:color w:val="auto"/>
          <w:sz w:val="32"/>
          <w:szCs w:val="32"/>
        </w:rPr>
        <w:t>值得肯定的地方</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hint="eastAsia"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经评委评估分析访谈情况和查阅项目调研、家访、个案服务等各类服务工作痕迹记录资料，该项目以下几方面值得肯定：</w:t>
      </w:r>
      <w:bookmarkStart w:id="41" w:name="bookmark58"/>
      <w:bookmarkEnd w:id="41"/>
      <w:bookmarkStart w:id="42" w:name="bookmark59"/>
      <w:bookmarkEnd w:id="42"/>
    </w:p>
    <w:p>
      <w:pPr>
        <w:pStyle w:val="13"/>
        <w:pageBreakBefore w:val="0"/>
        <w:widowControl w:val="0"/>
        <w:numPr>
          <w:ilvl w:val="0"/>
          <w:numId w:val="2"/>
        </w:numPr>
        <w:tabs>
          <w:tab w:val="left" w:pos="986"/>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bookmarkStart w:id="43" w:name="bookmark60"/>
      <w:bookmarkEnd w:id="43"/>
      <w:r>
        <w:rPr>
          <w:rFonts w:hint="eastAsia" w:ascii="仿宋_GB2312" w:eastAsia="仿宋_GB2312"/>
          <w:color w:val="auto"/>
          <w:sz w:val="32"/>
          <w:szCs w:val="32"/>
          <w:lang w:val="en-US" w:eastAsia="zh-CN"/>
        </w:rPr>
        <w:t>在摸清问题上面，沙头街片区二的四个村（社区）社工站均重视调查研究，通过访谈法、观察法、问卷调查法和既往资料查阅等多样化方式，深入村居，与村民建立良好的关系，绘制了《社区资产地图》《社区问题地图》，清晰地呈现了社区资源、存在问题和需求，以及社区资源、社区服务情况，可视化强。在建立档案方面，摸清了困难群众和特殊群体底数，能够为各类困境服务对象分类建档，困难群众和特殊群体建档率达到了100%，做到了“一户一档”。</w:t>
      </w:r>
    </w:p>
    <w:p>
      <w:pPr>
        <w:pStyle w:val="13"/>
        <w:pageBreakBefore w:val="0"/>
        <w:widowControl w:val="0"/>
        <w:numPr>
          <w:ilvl w:val="0"/>
          <w:numId w:val="2"/>
        </w:numPr>
        <w:tabs>
          <w:tab w:val="left" w:pos="986"/>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在协助落实政策方面，开展了民生政策宣传，宣传各项惠民政策，增强村民对惠民政策的知晓度，协助落实了有关兜底民生服务政策。在探访服务方面，根据实际情况进行等级评估，并按照等级对应的跟进频率进行上门探访和电访。</w:t>
      </w:r>
    </w:p>
    <w:p>
      <w:pPr>
        <w:pStyle w:val="13"/>
        <w:pageBreakBefore w:val="0"/>
        <w:widowControl w:val="0"/>
        <w:numPr>
          <w:ilvl w:val="0"/>
          <w:numId w:val="2"/>
        </w:numPr>
        <w:tabs>
          <w:tab w:val="left" w:pos="986"/>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在服务执行与产出方面，积极落实项目服务计划和服务对象具体服务计划，按要求完成服务产出。项目产出中有个案、小组、社区活动的指标产出，也有案例产出，案例具有一定的专业水平。针对沙头街片区二的村（社区）的实际，积极打造防骗特色服务项目，取得较好成效。</w:t>
      </w:r>
    </w:p>
    <w:p>
      <w:pPr>
        <w:pStyle w:val="13"/>
        <w:pageBreakBefore w:val="0"/>
        <w:widowControl w:val="0"/>
        <w:numPr>
          <w:ilvl w:val="0"/>
          <w:numId w:val="2"/>
        </w:numPr>
        <w:tabs>
          <w:tab w:val="left" w:pos="986"/>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在跟踪回访机制方面，结合“一社区一社工”服务机制及“红棉守护热线”服务，社工站联动村工作人员，根据分级分类定期开展入户探访、电访、回访服务，动态跟进服务对象情况及需求。重视活动的记录，特别是沙头社区的大型活动记录较完整，目标充分达成，社工的心得体会较深。</w:t>
      </w:r>
    </w:p>
    <w:p>
      <w:pPr>
        <w:pStyle w:val="13"/>
        <w:pageBreakBefore w:val="0"/>
        <w:widowControl w:val="0"/>
        <w:tabs>
          <w:tab w:val="left" w:pos="986"/>
        </w:tabs>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color w:val="auto"/>
          <w:sz w:val="32"/>
          <w:szCs w:val="32"/>
        </w:rPr>
      </w:pPr>
      <w:r>
        <w:rPr>
          <w:rFonts w:hint="eastAsia" w:ascii="仿宋_GB2312" w:eastAsia="仿宋_GB2312"/>
          <w:b/>
          <w:bCs/>
          <w:color w:val="auto"/>
          <w:sz w:val="32"/>
          <w:szCs w:val="32"/>
          <w:lang w:val="en-US" w:eastAsia="zh-CN"/>
        </w:rPr>
        <w:t>2.</w:t>
      </w:r>
      <w:r>
        <w:rPr>
          <w:rFonts w:hint="eastAsia" w:ascii="仿宋_GB2312" w:eastAsia="仿宋_GB2312"/>
          <w:b/>
          <w:bCs/>
          <w:color w:val="auto"/>
          <w:sz w:val="32"/>
          <w:szCs w:val="32"/>
        </w:rPr>
        <w:t>需要关注的地方</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hint="eastAsia"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经评委评估分析访谈情况和查阅项目调研、家访、个案服务等各类服务工作痕迹记录资料，该项目以下方面需关注：</w:t>
      </w:r>
    </w:p>
    <w:p>
      <w:pPr>
        <w:pStyle w:val="13"/>
        <w:pageBreakBefore w:val="0"/>
        <w:widowControl w:val="0"/>
        <w:numPr>
          <w:ilvl w:val="0"/>
          <w:numId w:val="3"/>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val="0"/>
          <w:color w:val="auto"/>
          <w:sz w:val="32"/>
          <w:szCs w:val="32"/>
          <w:lang w:val="en-US" w:eastAsia="zh-CN"/>
        </w:rPr>
      </w:pPr>
      <w:bookmarkStart w:id="44" w:name="bookmark61"/>
      <w:bookmarkEnd w:id="44"/>
      <w:bookmarkStart w:id="45" w:name="bookmark62"/>
      <w:bookmarkEnd w:id="45"/>
      <w:r>
        <w:rPr>
          <w:rFonts w:hint="eastAsia" w:ascii="仿宋_GB2312" w:eastAsia="仿宋_GB2312"/>
          <w:b w:val="0"/>
          <w:bCs w:val="0"/>
          <w:color w:val="auto"/>
          <w:sz w:val="32"/>
          <w:szCs w:val="32"/>
          <w:lang w:val="en-US" w:eastAsia="zh-CN"/>
        </w:rPr>
        <w:t>调查问卷的设计存在问题。四个村（社区）的需求问卷是一样的，建议服务对象的真实需求主要源自访谈、既往资料和服务经历，而非仅依靠问卷，建议完善调查问卷。同时，服务计划目标的清晰度不足。比如在目标的描述中提到了要缓解困难、提升生活品质和进行情感支持等等，但具体缓解、提升和改善到什么程度，要尽可能量化描述。</w:t>
      </w:r>
    </w:p>
    <w:p>
      <w:pPr>
        <w:pStyle w:val="13"/>
        <w:pageBreakBefore w:val="0"/>
        <w:widowControl w:val="0"/>
        <w:numPr>
          <w:ilvl w:val="0"/>
          <w:numId w:val="3"/>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服务案例的专业性有待提升。服务案例的数量较多，但案例质量有待提升。案例在服务目标、计划进度、具体实施、成效评估和专业反思方面均存在不足。服务目标的清晰度、实施进度的逻辑递进感、具体实施的客观实际和原来计划的差异对比、成效评估的科学性和专业反思的高度与深度均需要提升。</w:t>
      </w:r>
    </w:p>
    <w:p>
      <w:pPr>
        <w:pStyle w:val="13"/>
        <w:pageBreakBefore w:val="0"/>
        <w:widowControl w:val="0"/>
        <w:numPr>
          <w:ilvl w:val="0"/>
          <w:numId w:val="3"/>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对困难群众和特殊群体的服务及其记录不完善。对困难群众和特殊群体的服务记录档案全部为上门探访，探访后仅仅是发现了问题，并没有后续对问题的深度发掘并从根本上解决问题。建议既要有发现问题的意识，也要有解决问题的意识，还要有发挥优势的意识，避免采用孤立、静止、单一的思维方式。</w:t>
      </w:r>
    </w:p>
    <w:p>
      <w:pPr>
        <w:pStyle w:val="13"/>
        <w:pageBreakBefore w:val="0"/>
        <w:widowControl w:val="0"/>
        <w:numPr>
          <w:ilvl w:val="0"/>
          <w:numId w:val="3"/>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成效评估的科学性不足，需要完善。在各种类型的服务中，其成效评估不能仅靠观察或满意度调查。小组工作的评价要注意量化和对比，比如志愿者成长小组，建议对志愿者的知识、能力和素养进行清晰的前后对比。在个案服务中，对于案主情感的支持，建议用规范的心理量表进行前后测，根据前后对比来确认支持效果，而非简单文字描述。</w:t>
      </w:r>
    </w:p>
    <w:p>
      <w:pPr>
        <w:pStyle w:val="13"/>
        <w:pageBreakBefore w:val="0"/>
        <w:widowControl w:val="0"/>
        <w:kinsoku/>
        <w:wordWrap/>
        <w:overflowPunct/>
        <w:topLinePunct w:val="0"/>
        <w:autoSpaceDE/>
        <w:autoSpaceDN/>
        <w:bidi w:val="0"/>
        <w:adjustRightInd/>
        <w:snapToGrid/>
        <w:spacing w:after="0" w:line="560" w:lineRule="exact"/>
        <w:ind w:left="0" w:leftChars="0" w:firstLine="642" w:firstLineChars="200"/>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第三</w:t>
      </w:r>
      <w:r>
        <w:rPr>
          <w:rFonts w:hint="eastAsia" w:ascii="仿宋_GB2312" w:eastAsia="仿宋_GB2312"/>
          <w:b/>
          <w:bCs/>
          <w:color w:val="auto"/>
          <w:sz w:val="32"/>
          <w:szCs w:val="32"/>
          <w:lang w:eastAsia="zh-CN"/>
        </w:rPr>
        <w:t>片区：</w:t>
      </w:r>
      <w:r>
        <w:rPr>
          <w:rFonts w:hint="eastAsia" w:ascii="仿宋_GB2312" w:eastAsia="仿宋_GB2312"/>
          <w:b/>
          <w:bCs/>
          <w:color w:val="auto"/>
          <w:sz w:val="32"/>
          <w:szCs w:val="32"/>
          <w:lang w:val="en-US" w:eastAsia="zh-CN"/>
        </w:rPr>
        <w:t>骏兴社区、大罗村、小罗村</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经评委评估分析访谈情况和查阅项目调研、家访、个案服务等各类服务工作痕迹记录资料，该项目以下几方面值得肯定：</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color w:val="auto"/>
          <w:sz w:val="32"/>
          <w:szCs w:val="32"/>
          <w:lang w:val="en-US" w:eastAsia="zh-CN"/>
        </w:rPr>
      </w:pPr>
      <w:bookmarkStart w:id="46" w:name="bookmark65"/>
      <w:bookmarkEnd w:id="46"/>
      <w:bookmarkStart w:id="47" w:name="bookmark63"/>
      <w:bookmarkEnd w:id="47"/>
      <w:bookmarkStart w:id="48" w:name="bookmark64"/>
      <w:bookmarkEnd w:id="48"/>
      <w:bookmarkStart w:id="49" w:name="bookmark66"/>
      <w:bookmarkEnd w:id="49"/>
      <w:r>
        <w:rPr>
          <w:rFonts w:hint="eastAsia" w:ascii="仿宋_GB2312" w:eastAsia="仿宋_GB2312"/>
          <w:color w:val="auto"/>
          <w:sz w:val="32"/>
          <w:szCs w:val="32"/>
          <w:lang w:val="en-US" w:eastAsia="zh-CN"/>
        </w:rPr>
        <w:t>（1）片区与服务点服务设计相对规范。社工团队对骏兴、大罗村、小罗村三个社区（村）通过社区走访、问卷调查、文献查阅等方式开展了需求调研，形成了需求调研报告，并设计相应的服务计划与服务内容，服务设计有一定的针对性。</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片区已实现对辖区17类困难群众和特殊群体完成建档，以探访、电访等方式实现服务全覆盖，做到了“一户一档”。片区完成了“三图一表”的制作，即《社区资产地图》《社区问题地图》《服务对象社区分布图》及《服务对象家庭信息汇总表》，基本信息具备，为后续服务开展提供了依据。</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（3）社工团队能对片区的困难群众和特殊群体进行了需求梳理，集中于情感支持、多元化生活帮扶和社会支持网络拓展等方面，能按项目服务计划推进各项工作，各项指标完成情况均达到100%。</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经评委评估分析访谈情况和查阅项目调研、家访、个案服务等各类服务工作痕迹记录资料，该项目以下几方面需关注：</w:t>
      </w:r>
    </w:p>
    <w:p>
      <w:pPr>
        <w:pStyle w:val="13"/>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color w:val="auto"/>
          <w:sz w:val="32"/>
          <w:szCs w:val="32"/>
          <w:lang w:eastAsia="zh-CN"/>
        </w:rPr>
      </w:pPr>
      <w:bookmarkStart w:id="50" w:name="bookmark67"/>
      <w:bookmarkEnd w:id="50"/>
      <w:bookmarkStart w:id="51" w:name="bookmark68"/>
      <w:bookmarkEnd w:id="51"/>
      <w:bookmarkStart w:id="52" w:name="bookmark69"/>
      <w:bookmarkEnd w:id="52"/>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片区的困难群众和特殊群体的数量并不太多，前期社工也已经有了一定的服务基础，专业关系正逐步建立。建议进一步增加兜底服务的针对性、专业性，持续推动服务精细化水平的提升。社工通过制定具有针对性的服务计划、持续开展社区走访与入户探访，进一步加强对困难群众和特殊群体个性化需求的精准把握，积极协调、整合各类资源，为他们提供更加全面、适切的支持。</w:t>
      </w:r>
    </w:p>
    <w:p>
      <w:pPr>
        <w:pStyle w:val="13"/>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）建议片区进一步加强完善对于困难群众和特殊群体的分级跟进的建档工作，关注建档信息的完整性及准确性，做好“一人一案”的信息收集、问题评估及服务计划等工作，为服务对象提供更专业的社工服务。</w:t>
      </w:r>
    </w:p>
    <w:p>
      <w:pPr>
        <w:pStyle w:val="13"/>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）建议片区对已有服务的特色亮点和疑难案例解决部分进行设计和提炼，以更好地对社工服务成效进行宣传与推广。</w:t>
      </w:r>
    </w:p>
    <w:p>
      <w:pPr>
        <w:pStyle w:val="13"/>
        <w:pageBreakBefore w:val="0"/>
        <w:widowControl w:val="0"/>
        <w:kinsoku/>
        <w:wordWrap/>
        <w:overflowPunct/>
        <w:topLinePunct w:val="0"/>
        <w:autoSpaceDE/>
        <w:autoSpaceDN/>
        <w:bidi w:val="0"/>
        <w:adjustRightInd/>
        <w:snapToGrid/>
        <w:spacing w:after="0" w:line="560" w:lineRule="exact"/>
        <w:ind w:firstLine="740"/>
        <w:jc w:val="both"/>
        <w:textAlignment w:val="auto"/>
        <w:rPr>
          <w:rFonts w:ascii="仿宋_GB2312" w:eastAsia="仿宋_GB2312"/>
          <w:b/>
          <w:bCs/>
          <w:color w:val="auto"/>
          <w:sz w:val="32"/>
          <w:szCs w:val="32"/>
        </w:rPr>
      </w:pPr>
      <w:r>
        <w:rPr>
          <w:rFonts w:hint="eastAsia" w:ascii="仿宋_GB2312" w:eastAsia="仿宋_GB2312"/>
          <w:b/>
          <w:bCs/>
          <w:color w:val="auto"/>
          <w:sz w:val="32"/>
          <w:szCs w:val="32"/>
          <w:lang w:eastAsia="zh-CN"/>
        </w:rPr>
        <w:t>（六）</w:t>
      </w:r>
      <w:r>
        <w:rPr>
          <w:rFonts w:hint="eastAsia" w:ascii="仿宋_GB2312" w:eastAsia="仿宋_GB2312"/>
          <w:b/>
          <w:bCs/>
          <w:color w:val="auto"/>
          <w:sz w:val="32"/>
          <w:szCs w:val="32"/>
        </w:rPr>
        <w:t>购买方反馈情况</w:t>
      </w:r>
    </w:p>
    <w:p>
      <w:pPr>
        <w:pStyle w:val="13"/>
        <w:pageBreakBefore w:val="0"/>
        <w:widowControl w:val="0"/>
        <w:kinsoku/>
        <w:wordWrap/>
        <w:overflowPunct/>
        <w:topLinePunct w:val="0"/>
        <w:autoSpaceDE/>
        <w:autoSpaceDN/>
        <w:bidi w:val="0"/>
        <w:adjustRightInd/>
        <w:snapToGrid/>
        <w:spacing w:after="80" w:line="560" w:lineRule="exact"/>
        <w:ind w:firstLine="740"/>
        <w:jc w:val="both"/>
        <w:textAlignment w:val="auto"/>
        <w:rPr>
          <w:rFonts w:ascii="仿宋_GB2312" w:eastAsia="仿宋_GB2312"/>
          <w:b/>
          <w:bCs/>
          <w:color w:val="auto"/>
          <w:sz w:val="32"/>
          <w:szCs w:val="32"/>
        </w:rPr>
      </w:pPr>
      <w:r>
        <w:rPr>
          <w:rFonts w:hint="eastAsia" w:ascii="仿宋_GB2312" w:eastAsia="仿宋_GB2312"/>
          <w:b/>
          <w:bCs/>
          <w:color w:val="auto"/>
          <w:sz w:val="32"/>
          <w:szCs w:val="32"/>
        </w:rPr>
        <w:t>1.值得肯定的地方</w:t>
      </w:r>
    </w:p>
    <w:p>
      <w:pPr>
        <w:pStyle w:val="13"/>
        <w:pageBreakBefore w:val="0"/>
        <w:widowControl w:val="0"/>
        <w:kinsoku/>
        <w:wordWrap/>
        <w:overflowPunct/>
        <w:topLinePunct w:val="0"/>
        <w:autoSpaceDE/>
        <w:autoSpaceDN/>
        <w:bidi w:val="0"/>
        <w:adjustRightInd/>
        <w:snapToGrid/>
        <w:spacing w:after="0" w:line="560" w:lineRule="exact"/>
        <w:ind w:firstLine="578"/>
        <w:jc w:val="both"/>
        <w:textAlignment w:val="auto"/>
        <w:rPr>
          <w:rFonts w:hint="default" w:ascii="仿宋_GB2312" w:eastAsia="仿宋_GB2312" w:hAnsiTheme="minorEastAsia"/>
          <w:color w:val="auto"/>
          <w:sz w:val="32"/>
          <w:szCs w:val="32"/>
          <w:lang w:val="en-US" w:eastAsia="zh-CN"/>
        </w:rPr>
      </w:pPr>
      <w:r>
        <w:rPr>
          <w:rFonts w:hint="eastAsia" w:ascii="仿宋_GB2312" w:eastAsia="仿宋_GB2312"/>
          <w:color w:val="auto"/>
          <w:sz w:val="32"/>
          <w:szCs w:val="32"/>
        </w:rPr>
        <w:t>购买方（</w:t>
      </w:r>
      <w:r>
        <w:rPr>
          <w:rFonts w:hint="eastAsia" w:ascii="仿宋_GB2312" w:eastAsia="仿宋_GB2312"/>
          <w:color w:val="auto"/>
          <w:sz w:val="32"/>
          <w:szCs w:val="32"/>
          <w:lang w:val="en-US" w:eastAsia="zh-CN"/>
        </w:rPr>
        <w:t>沙头街道办事处</w:t>
      </w:r>
      <w:r>
        <w:rPr>
          <w:rFonts w:hint="eastAsia" w:ascii="仿宋_GB2312" w:eastAsia="仿宋_GB2312"/>
          <w:color w:val="auto"/>
          <w:sz w:val="32"/>
          <w:szCs w:val="32"/>
        </w:rPr>
        <w:t>）认为，</w:t>
      </w:r>
      <w:r>
        <w:rPr>
          <w:rFonts w:hint="eastAsia" w:ascii="仿宋_GB2312" w:eastAsia="仿宋_GB2312"/>
          <w:color w:val="auto"/>
          <w:sz w:val="32"/>
          <w:szCs w:val="32"/>
          <w:lang w:eastAsia="zh-CN"/>
        </w:rPr>
        <w:t>社工站在开展“五社联动”工作方面，能积极链接引入多元慈善力量服务群众，包括培育和活跃志愿者骨干和社区社会组织、协助村居筹集和申请使用社区基金等，为困难群众进行居家改造、解决社区环境卫生、交通安全等方面的问题，成效较好。在服务成效方面，社工站积极发动社工总结服务经验，撰写服务案例，踊跃投稿，目前已有</w:t>
      </w:r>
      <w:r>
        <w:rPr>
          <w:rFonts w:hint="eastAsia" w:ascii="仿宋_GB2312" w:eastAsia="仿宋_GB2312"/>
          <w:color w:val="auto"/>
          <w:sz w:val="32"/>
          <w:szCs w:val="32"/>
          <w:lang w:val="en-US" w:eastAsia="zh-CN"/>
        </w:rPr>
        <w:t>2篇国家级专业文章发表。在配合镇街工作和工作支援方面，社工站积极协助沙头街各部门和村居开展志愿者表彰、文化艺术节、健步行、防溺水宣传、垃圾分类和群防共治、幸福村创建、城乡活动以及其他紧急事件。</w:t>
      </w:r>
    </w:p>
    <w:p>
      <w:pPr>
        <w:pStyle w:val="13"/>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p>
    <w:p>
      <w:pPr>
        <w:pStyle w:val="13"/>
        <w:pageBreakBefore w:val="0"/>
        <w:widowControl w:val="0"/>
        <w:kinsoku/>
        <w:wordWrap/>
        <w:overflowPunct/>
        <w:topLinePunct w:val="0"/>
        <w:autoSpaceDE/>
        <w:autoSpaceDN/>
        <w:bidi w:val="0"/>
        <w:adjustRightInd/>
        <w:snapToGrid/>
        <w:spacing w:after="0" w:line="560" w:lineRule="exact"/>
        <w:ind w:firstLine="740"/>
        <w:jc w:val="both"/>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购买方（</w:t>
      </w:r>
      <w:r>
        <w:rPr>
          <w:rFonts w:hint="eastAsia" w:ascii="仿宋_GB2312" w:eastAsia="仿宋_GB2312"/>
          <w:color w:val="auto"/>
          <w:sz w:val="32"/>
          <w:szCs w:val="32"/>
          <w:lang w:val="en-US" w:eastAsia="zh-CN"/>
        </w:rPr>
        <w:t>沙头街道办事处</w:t>
      </w:r>
      <w:r>
        <w:rPr>
          <w:rFonts w:hint="eastAsia" w:ascii="仿宋_GB2312" w:eastAsia="仿宋_GB2312"/>
          <w:color w:val="auto"/>
          <w:sz w:val="32"/>
          <w:szCs w:val="32"/>
        </w:rPr>
        <w:t>）认为，社工站</w:t>
      </w:r>
      <w:r>
        <w:rPr>
          <w:rFonts w:hint="eastAsia" w:ascii="仿宋_GB2312" w:eastAsia="仿宋_GB2312"/>
          <w:color w:val="auto"/>
          <w:sz w:val="32"/>
          <w:szCs w:val="32"/>
          <w:lang w:val="en-US" w:eastAsia="zh-CN"/>
        </w:rPr>
        <w:t>需继续完善17类群体建档资料，希望能打造出属于沙头街的有影响力的品牌。</w:t>
      </w:r>
    </w:p>
    <w:p>
      <w:pPr>
        <w:pStyle w:val="13"/>
        <w:keepNext w:val="0"/>
        <w:keepLines w:val="0"/>
        <w:pageBreakBefore w:val="0"/>
        <w:widowControl w:val="0"/>
        <w:numPr>
          <w:ilvl w:val="0"/>
          <w:numId w:val="4"/>
        </w:numPr>
        <w:kinsoku/>
        <w:wordWrap/>
        <w:overflowPunct/>
        <w:topLinePunct w:val="0"/>
        <w:autoSpaceDE/>
        <w:autoSpaceDN/>
        <w:bidi w:val="0"/>
        <w:adjustRightInd/>
        <w:snapToGrid/>
        <w:spacing w:after="120" w:line="560" w:lineRule="exact"/>
        <w:ind w:firstLine="642" w:firstLineChars="200"/>
        <w:jc w:val="both"/>
        <w:textAlignment w:val="auto"/>
        <w:rPr>
          <w:rFonts w:hint="eastAsia" w:ascii="仿宋_GB2312" w:eastAsia="仿宋_GB2312"/>
          <w:b/>
          <w:bCs/>
          <w:sz w:val="32"/>
          <w:szCs w:val="32"/>
          <w:highlight w:val="none"/>
        </w:rPr>
      </w:pPr>
      <w:r>
        <w:rPr>
          <w:rFonts w:hint="eastAsia" w:ascii="仿宋_GB2312" w:eastAsia="仿宋_GB2312"/>
          <w:b/>
          <w:bCs/>
          <w:sz w:val="32"/>
          <w:szCs w:val="32"/>
          <w:highlight w:val="none"/>
        </w:rPr>
        <w:t>市督导中心反馈</w:t>
      </w:r>
    </w:p>
    <w:p>
      <w:pPr>
        <w:pStyle w:val="13"/>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p>
    <w:p>
      <w:pPr>
        <w:pStyle w:val="13"/>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（1）</w:t>
      </w:r>
      <w:r>
        <w:rPr>
          <w:rFonts w:hint="default" w:ascii="仿宋_GB2312" w:eastAsia="仿宋_GB2312" w:hAnsiTheme="minorEastAsia"/>
          <w:color w:val="auto"/>
          <w:sz w:val="32"/>
          <w:szCs w:val="32"/>
          <w:lang w:val="en-US" w:eastAsia="zh-CN"/>
        </w:rPr>
        <w:t>项目团队能结合中期评估意见完善社工专业能力提升工作。一方面，项目团队优化专业能力提升规划，配置内部督导，加大了对社工成长发展的支持力度；另一方面，完善了能力提升的成效总结工作，收集社工的评价与反馈，定期检视社工团队成长情况，值得肯定。</w:t>
      </w:r>
    </w:p>
    <w:p>
      <w:pPr>
        <w:pStyle w:val="13"/>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（2）</w:t>
      </w:r>
      <w:r>
        <w:rPr>
          <w:rFonts w:hint="default" w:ascii="仿宋_GB2312" w:eastAsia="仿宋_GB2312" w:hAnsiTheme="minorEastAsia"/>
          <w:color w:val="auto"/>
          <w:sz w:val="32"/>
          <w:szCs w:val="32"/>
          <w:lang w:val="en-US" w:eastAsia="zh-CN"/>
        </w:rPr>
        <w:t>项目信息公开工作能够做到及时且动态更新，定期公示资源链接情况和服务对象受益情况；安全管理制度、机制、流程清晰规范，有落实，定期组织安全演练及安全生产隐患自检等。</w:t>
      </w:r>
    </w:p>
    <w:p>
      <w:pPr>
        <w:pStyle w:val="13"/>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（3）</w:t>
      </w:r>
      <w:r>
        <w:rPr>
          <w:rFonts w:hint="default" w:ascii="仿宋_GB2312" w:eastAsia="仿宋_GB2312" w:hAnsiTheme="minorEastAsia"/>
          <w:color w:val="auto"/>
          <w:sz w:val="32"/>
          <w:szCs w:val="32"/>
          <w:lang w:val="en-US" w:eastAsia="zh-CN"/>
        </w:rPr>
        <w:t>研究成果较中期评估时有突破。项目能鼓励社工积极撰写案例，汇编成服务案例集，项目管理团队能带头梳理督导经验，《社工怎样在开展活动中体现专业性》一文刊登在《中国社会工作》2024年第555期（5月下）督导答疑栏。</w:t>
      </w:r>
    </w:p>
    <w:p>
      <w:pPr>
        <w:pStyle w:val="13"/>
        <w:pageBreakBefore w:val="0"/>
        <w:widowControl w:val="0"/>
        <w:kinsoku/>
        <w:wordWrap/>
        <w:overflowPunct/>
        <w:topLinePunct w:val="0"/>
        <w:autoSpaceDE/>
        <w:autoSpaceDN/>
        <w:bidi w:val="0"/>
        <w:adjustRightInd/>
        <w:snapToGrid/>
        <w:spacing w:after="0" w:line="560" w:lineRule="exact"/>
        <w:ind w:left="0" w:leftChars="0" w:firstLine="642" w:firstLineChars="200"/>
        <w:jc w:val="both"/>
        <w:textAlignment w:val="auto"/>
        <w:rPr>
          <w:rFonts w:ascii="仿宋_GB2312" w:hAnsi="Times New Roman" w:eastAsia="仿宋_GB2312" w:cs="Times New Roman"/>
          <w:b/>
          <w:bCs/>
          <w:color w:val="auto"/>
          <w:sz w:val="32"/>
          <w:szCs w:val="32"/>
          <w:lang w:val="zh-CN" w:eastAsia="zh-CN" w:bidi="zh-CN"/>
        </w:rPr>
      </w:pPr>
      <w:r>
        <w:rPr>
          <w:rFonts w:hint="eastAsia" w:ascii="仿宋_GB2312" w:hAnsi="Times New Roman" w:eastAsia="仿宋_GB2312" w:cs="Times New Roman"/>
          <w:b/>
          <w:bCs/>
          <w:color w:val="auto"/>
          <w:sz w:val="32"/>
          <w:szCs w:val="32"/>
          <w:lang w:val="zh-CN" w:eastAsia="zh-CN" w:bidi="zh-CN"/>
        </w:rPr>
        <w:t>2</w:t>
      </w:r>
      <w:r>
        <w:rPr>
          <w:rFonts w:ascii="仿宋_GB2312" w:hAnsi="Times New Roman" w:eastAsia="仿宋_GB2312" w:cs="Times New Roman"/>
          <w:b/>
          <w:bCs/>
          <w:color w:val="auto"/>
          <w:sz w:val="32"/>
          <w:szCs w:val="32"/>
          <w:lang w:val="zh-CN" w:eastAsia="zh-CN" w:bidi="zh-CN"/>
        </w:rPr>
        <w:t>.需要关注的地方</w:t>
      </w:r>
    </w:p>
    <w:p>
      <w:pPr>
        <w:pStyle w:val="13"/>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hAnsiTheme="minorEastAsia"/>
          <w:color w:val="auto"/>
          <w:sz w:val="32"/>
          <w:szCs w:val="32"/>
          <w:lang w:eastAsia="zh-CN"/>
        </w:rPr>
      </w:pPr>
      <w:r>
        <w:rPr>
          <w:rFonts w:hint="eastAsia" w:ascii="仿宋_GB2312" w:eastAsia="仿宋_GB2312" w:hAnsiTheme="minorEastAsia"/>
          <w:color w:val="auto"/>
          <w:sz w:val="32"/>
          <w:szCs w:val="32"/>
          <w:lang w:eastAsia="zh-CN"/>
        </w:rPr>
        <w:t>经评委评估分析访谈情况和查阅项目调研、家访、个案服务等各类服务工作痕迹记录资料，该项目以下几方面需关注：</w:t>
      </w:r>
    </w:p>
    <w:p>
      <w:pPr>
        <w:pStyle w:val="1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lang w:val="en-US" w:eastAsia="zh-CN"/>
        </w:rPr>
        <w:t>1</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lang w:val="en-US" w:eastAsia="zh-CN"/>
        </w:rPr>
        <w:t>建议项目团队进一步探索完善双工联动机制，结合街情，进一步丰富协同内容，加强协同力度，共同落实兜底民生服务。</w:t>
      </w:r>
    </w:p>
    <w:p>
      <w:pPr>
        <w:pStyle w:val="13"/>
        <w:keepNext w:val="0"/>
        <w:keepLines w:val="0"/>
        <w:pageBreakBefore w:val="0"/>
        <w:widowControl w:val="0"/>
        <w:numPr>
          <w:ilvl w:val="-1"/>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2）建议项目团队不断优化服务监控工作，依照要求向业务主管科室备案项目情况，做好新开个案、完成小组及社区服务的汇报备案工作，定期及时向购买方报告专业服务情况及相关工作的问题，积极听取购买方的意见和建议，以便争取相关各方支持，确保项目服务顺利推进和落实。</w:t>
      </w:r>
    </w:p>
    <w:p>
      <w:pPr>
        <w:pStyle w:val="1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（3）同中期评估意见，建议项目团队制定更具操作性宣传计划，不断拓展宣传与推广平台，加强项目服务在市级以上媒体平台的常态化宣传工作，不断扩大项目服务的影响力。</w:t>
      </w:r>
    </w:p>
    <w:p>
      <w:pPr>
        <w:pStyle w:val="11"/>
        <w:keepNext/>
        <w:keepLines/>
        <w:pageBreakBefore w:val="0"/>
        <w:widowControl w:val="0"/>
        <w:kinsoku/>
        <w:wordWrap/>
        <w:overflowPunct/>
        <w:topLinePunct w:val="0"/>
        <w:autoSpaceDE/>
        <w:autoSpaceDN/>
        <w:bidi w:val="0"/>
        <w:adjustRightInd/>
        <w:snapToGrid/>
        <w:spacing w:before="0" w:after="0" w:line="600" w:lineRule="exact"/>
        <w:ind w:firstLine="642"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三、评估反馈</w:t>
      </w:r>
    </w:p>
    <w:p>
      <w:pPr>
        <w:pStyle w:val="13"/>
        <w:pageBreakBefore w:val="0"/>
        <w:widowControl w:val="0"/>
        <w:kinsoku/>
        <w:wordWrap/>
        <w:overflowPunct/>
        <w:topLinePunct w:val="0"/>
        <w:autoSpaceDE/>
        <w:autoSpaceDN/>
        <w:bidi w:val="0"/>
        <w:adjustRightInd/>
        <w:snapToGrid/>
        <w:spacing w:after="120" w:line="600" w:lineRule="exact"/>
        <w:ind w:firstLine="640"/>
        <w:jc w:val="both"/>
        <w:textAlignment w:val="auto"/>
        <w:rPr>
          <w:rFonts w:ascii="仿宋_GB2312" w:eastAsia="仿宋_GB2312"/>
          <w:color w:val="auto"/>
          <w:sz w:val="32"/>
          <w:szCs w:val="32"/>
        </w:rPr>
      </w:pPr>
      <w:r>
        <w:rPr>
          <w:rFonts w:hint="eastAsia" w:ascii="仿宋_GB2312" w:eastAsia="仿宋_GB2312"/>
          <w:color w:val="auto"/>
          <w:sz w:val="32"/>
          <w:szCs w:val="32"/>
        </w:rPr>
        <w:t>评估反馈主要分为两大环节，一是现场反馈环节，二是对评估报告初稿的意见反馈环节。本次</w:t>
      </w:r>
      <w:r>
        <w:rPr>
          <w:rFonts w:hint="eastAsia" w:ascii="仿宋_GB2312" w:eastAsia="仿宋_GB2312"/>
          <w:color w:val="auto"/>
          <w:sz w:val="32"/>
          <w:szCs w:val="32"/>
          <w:lang w:val="en-US" w:eastAsia="zh-CN"/>
        </w:rPr>
        <w:t>沙头街</w:t>
      </w:r>
      <w:r>
        <w:rPr>
          <w:rFonts w:hint="eastAsia" w:ascii="仿宋_GB2312" w:eastAsia="仿宋_GB2312"/>
          <w:color w:val="auto"/>
          <w:sz w:val="32"/>
          <w:szCs w:val="32"/>
        </w:rPr>
        <w:t>社工站的反馈如下：</w:t>
      </w:r>
      <w:bookmarkStart w:id="53" w:name="bookmark85"/>
      <w:bookmarkEnd w:id="53"/>
    </w:p>
    <w:p>
      <w:pPr>
        <w:pStyle w:val="13"/>
        <w:pageBreakBefore w:val="0"/>
        <w:widowControl w:val="0"/>
        <w:kinsoku/>
        <w:wordWrap/>
        <w:overflowPunct/>
        <w:topLinePunct w:val="0"/>
        <w:autoSpaceDE/>
        <w:autoSpaceDN/>
        <w:bidi w:val="0"/>
        <w:adjustRightInd/>
        <w:snapToGrid/>
        <w:spacing w:after="0" w:line="600" w:lineRule="exact"/>
        <w:ind w:firstLine="720"/>
        <w:jc w:val="both"/>
        <w:textAlignment w:val="auto"/>
        <w:rPr>
          <w:rFonts w:ascii="仿宋_GB2312" w:eastAsia="仿宋_GB2312" w:hAnsiTheme="minorEastAsia"/>
          <w:color w:val="auto"/>
          <w:sz w:val="32"/>
          <w:szCs w:val="32"/>
          <w:lang w:eastAsia="zh-CN"/>
        </w:rPr>
      </w:pPr>
      <w:r>
        <w:rPr>
          <w:rFonts w:hint="eastAsia" w:ascii="仿宋_GB2312" w:eastAsia="仿宋_GB2312" w:hAnsiTheme="minorEastAsia"/>
          <w:b/>
          <w:color w:val="auto"/>
          <w:sz w:val="32"/>
          <w:szCs w:val="32"/>
          <w:lang w:eastAsia="zh-CN"/>
        </w:rPr>
        <w:t>1.现场反馈：</w:t>
      </w:r>
      <w:r>
        <w:rPr>
          <w:rFonts w:hint="eastAsia" w:ascii="仿宋_GB2312" w:eastAsia="仿宋_GB2312" w:hAnsiTheme="minorEastAsia"/>
          <w:color w:val="auto"/>
          <w:sz w:val="32"/>
          <w:szCs w:val="32"/>
          <w:lang w:eastAsia="zh-CN"/>
        </w:rPr>
        <w:t>经过为期一天的评估，评委针对</w:t>
      </w:r>
      <w:r>
        <w:rPr>
          <w:rFonts w:hint="eastAsia" w:ascii="仿宋_GB2312" w:eastAsia="仿宋_GB2312" w:hAnsiTheme="minorEastAsia"/>
          <w:color w:val="auto"/>
          <w:sz w:val="32"/>
          <w:szCs w:val="32"/>
          <w:lang w:val="en-US" w:eastAsia="zh-CN"/>
        </w:rPr>
        <w:t>沙头街</w:t>
      </w:r>
      <w:r>
        <w:rPr>
          <w:rFonts w:hint="eastAsia" w:ascii="仿宋_GB2312" w:eastAsia="仿宋_GB2312" w:hAnsiTheme="minorEastAsia"/>
          <w:color w:val="auto"/>
          <w:sz w:val="32"/>
          <w:szCs w:val="32"/>
          <w:lang w:eastAsia="zh-CN"/>
        </w:rPr>
        <w:t>社工站的情况，进行了现场总结反馈，在总结反馈环节，</w:t>
      </w:r>
      <w:r>
        <w:rPr>
          <w:rFonts w:hint="eastAsia" w:ascii="仿宋_GB2312" w:eastAsia="仿宋_GB2312" w:hAnsiTheme="minorEastAsia"/>
          <w:color w:val="auto"/>
          <w:sz w:val="32"/>
          <w:szCs w:val="32"/>
          <w:lang w:val="en-US" w:eastAsia="zh-CN"/>
        </w:rPr>
        <w:t>沙头街</w:t>
      </w:r>
      <w:r>
        <w:rPr>
          <w:rFonts w:hint="eastAsia" w:ascii="仿宋_GB2312" w:eastAsia="仿宋_GB2312" w:hAnsiTheme="minorEastAsia"/>
          <w:color w:val="auto"/>
          <w:sz w:val="32"/>
          <w:szCs w:val="32"/>
          <w:lang w:eastAsia="zh-CN"/>
        </w:rPr>
        <w:t>社工站表示对评委们提出的意见和建议无异议。</w:t>
      </w:r>
    </w:p>
    <w:p>
      <w:pPr>
        <w:pStyle w:val="13"/>
        <w:pageBreakBefore w:val="0"/>
        <w:widowControl w:val="0"/>
        <w:kinsoku/>
        <w:wordWrap/>
        <w:overflowPunct/>
        <w:topLinePunct w:val="0"/>
        <w:autoSpaceDE/>
        <w:autoSpaceDN/>
        <w:bidi w:val="0"/>
        <w:adjustRightInd/>
        <w:snapToGrid/>
        <w:spacing w:after="0" w:line="600" w:lineRule="exact"/>
        <w:ind w:firstLine="720"/>
        <w:jc w:val="both"/>
        <w:textAlignment w:val="auto"/>
        <w:rPr>
          <w:rFonts w:ascii="仿宋_GB2312" w:eastAsia="仿宋_GB2312" w:hAnsiTheme="minorEastAsia"/>
          <w:color w:val="auto"/>
          <w:sz w:val="32"/>
          <w:szCs w:val="32"/>
          <w:lang w:eastAsia="zh-CN"/>
        </w:rPr>
      </w:pPr>
      <w:r>
        <w:rPr>
          <w:rFonts w:hint="eastAsia" w:ascii="仿宋_GB2312" w:eastAsia="仿宋_GB2312" w:hAnsiTheme="minorEastAsia"/>
          <w:b/>
          <w:color w:val="auto"/>
          <w:sz w:val="32"/>
          <w:szCs w:val="32"/>
          <w:lang w:eastAsia="zh-CN"/>
        </w:rPr>
        <w:t>2.对评估报告初稿的反馈：</w:t>
      </w:r>
      <w:r>
        <w:rPr>
          <w:rFonts w:hint="eastAsia" w:ascii="仿宋_GB2312" w:eastAsia="仿宋_GB2312" w:hAnsiTheme="minorEastAsia"/>
          <w:color w:val="auto"/>
          <w:sz w:val="32"/>
          <w:szCs w:val="32"/>
          <w:lang w:eastAsia="zh-CN"/>
        </w:rPr>
        <w:t>番禺区民政局、</w:t>
      </w:r>
      <w:r>
        <w:rPr>
          <w:rFonts w:hint="eastAsia" w:ascii="仿宋_GB2312" w:eastAsia="仿宋_GB2312" w:hAnsiTheme="minorEastAsia"/>
          <w:color w:val="auto"/>
          <w:sz w:val="32"/>
          <w:szCs w:val="32"/>
          <w:lang w:val="en-US" w:eastAsia="zh-CN"/>
        </w:rPr>
        <w:t>沙头街道办事处</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lang w:val="en-US" w:eastAsia="zh-CN"/>
        </w:rPr>
        <w:t>沙头街</w:t>
      </w:r>
      <w:r>
        <w:rPr>
          <w:rFonts w:hint="eastAsia" w:ascii="仿宋_GB2312" w:eastAsia="仿宋_GB2312" w:hAnsiTheme="minorEastAsia"/>
          <w:color w:val="auto"/>
          <w:sz w:val="32"/>
          <w:szCs w:val="32"/>
          <w:lang w:eastAsia="zh-CN"/>
        </w:rPr>
        <w:t>社工站对评估报告初稿无异议。</w:t>
      </w:r>
    </w:p>
    <w:p>
      <w:pPr>
        <w:pStyle w:val="11"/>
        <w:keepNext/>
        <w:keepLines/>
        <w:pageBreakBefore w:val="0"/>
        <w:widowControl w:val="0"/>
        <w:kinsoku/>
        <w:wordWrap/>
        <w:overflowPunct/>
        <w:topLinePunct w:val="0"/>
        <w:autoSpaceDE/>
        <w:autoSpaceDN/>
        <w:bidi w:val="0"/>
        <w:adjustRightInd/>
        <w:snapToGrid/>
        <w:spacing w:before="0" w:after="0" w:line="600" w:lineRule="exact"/>
        <w:ind w:firstLine="642" w:firstLineChars="200"/>
        <w:jc w:val="both"/>
        <w:textAlignment w:val="auto"/>
        <w:rPr>
          <w:rFonts w:ascii="方正小标宋简体" w:eastAsia="方正小标宋简体"/>
          <w:b/>
          <w:bCs/>
          <w:color w:val="auto"/>
          <w:sz w:val="32"/>
          <w:szCs w:val="28"/>
          <w:lang w:val="en-US"/>
        </w:rPr>
      </w:pPr>
      <w:bookmarkStart w:id="54" w:name="bookmark86"/>
      <w:r>
        <w:rPr>
          <w:rFonts w:hint="eastAsia" w:ascii="方正小标宋简体" w:eastAsia="方正小标宋简体"/>
          <w:b/>
          <w:bCs/>
          <w:color w:val="auto"/>
          <w:sz w:val="32"/>
          <w:szCs w:val="28"/>
          <w:lang w:val="en-US"/>
        </w:rPr>
        <w:t>四</w:t>
      </w:r>
      <w:bookmarkEnd w:id="54"/>
      <w:r>
        <w:rPr>
          <w:rFonts w:hint="eastAsia" w:ascii="方正小标宋简体" w:eastAsia="方正小标宋简体"/>
          <w:b/>
          <w:bCs/>
          <w:color w:val="auto"/>
          <w:sz w:val="32"/>
          <w:szCs w:val="28"/>
          <w:lang w:val="en-US"/>
        </w:rPr>
        <w:t>、评估等级</w:t>
      </w:r>
    </w:p>
    <w:p>
      <w:pPr>
        <w:pStyle w:val="13"/>
        <w:pageBreakBefore w:val="0"/>
        <w:widowControl w:val="0"/>
        <w:kinsoku/>
        <w:wordWrap/>
        <w:overflowPunct/>
        <w:topLinePunct w:val="0"/>
        <w:autoSpaceDE/>
        <w:autoSpaceDN/>
        <w:bidi w:val="0"/>
        <w:adjustRightInd/>
        <w:snapToGrid/>
        <w:spacing w:after="120" w:line="600"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评估总分为100分，其中，第三方评估机构占比55%、街道办事处（镇人民政府）占比20%、市督导中心占15%、区民政局占比10%。评估结果由四方评估分数的总和确定。评估等级分为优秀、良好、合格、不合格四个等级，90分以上为优秀，80分至90分（不含90分）为良好， 60分至80分（不含80分）为合格，60分以下（不含60分）为不合格。</w:t>
      </w:r>
    </w:p>
    <w:p>
      <w:pPr>
        <w:pStyle w:val="13"/>
        <w:pageBreakBefore w:val="0"/>
        <w:widowControl w:val="0"/>
        <w:kinsoku/>
        <w:wordWrap/>
        <w:overflowPunct/>
        <w:topLinePunct w:val="0"/>
        <w:autoSpaceDE/>
        <w:autoSpaceDN/>
        <w:bidi w:val="0"/>
        <w:adjustRightInd/>
        <w:snapToGrid/>
        <w:spacing w:after="120" w:line="600" w:lineRule="exact"/>
        <w:ind w:firstLine="640"/>
        <w:jc w:val="both"/>
        <w:textAlignment w:val="auto"/>
        <w:rPr>
          <w:rFonts w:ascii="仿宋_GB2312" w:eastAsia="PMingLiU"/>
          <w:color w:val="auto"/>
          <w:sz w:val="32"/>
          <w:szCs w:val="32"/>
          <w:highlight w:val="none"/>
        </w:rPr>
      </w:pPr>
      <w:r>
        <w:rPr>
          <w:rFonts w:hint="eastAsia" w:ascii="仿宋_GB2312" w:eastAsia="仿宋_GB2312"/>
          <w:color w:val="auto"/>
          <w:sz w:val="32"/>
          <w:szCs w:val="32"/>
        </w:rPr>
        <w:t>经过评估</w:t>
      </w:r>
      <w:r>
        <w:rPr>
          <w:rFonts w:hint="eastAsia" w:ascii="仿宋_GB2312" w:eastAsia="仿宋_GB2312"/>
          <w:color w:val="auto"/>
          <w:sz w:val="32"/>
          <w:szCs w:val="32"/>
          <w:lang w:eastAsia="zh-CN"/>
        </w:rPr>
        <w:t>，</w:t>
      </w:r>
      <w:r>
        <w:rPr>
          <w:rFonts w:hint="eastAsia" w:ascii="仿宋_GB2312" w:eastAsia="仿宋_GB2312" w:hAnsiTheme="minorEastAsia"/>
          <w:color w:val="auto"/>
          <w:sz w:val="32"/>
          <w:szCs w:val="32"/>
          <w:lang w:val="en-US" w:eastAsia="zh-CN"/>
        </w:rPr>
        <w:t>沙头街</w:t>
      </w:r>
      <w:r>
        <w:rPr>
          <w:rFonts w:hint="eastAsia" w:ascii="仿宋_GB2312" w:eastAsia="仿宋_GB2312"/>
          <w:color w:val="auto"/>
          <w:sz w:val="32"/>
          <w:szCs w:val="32"/>
        </w:rPr>
        <w:t>社工站本次</w:t>
      </w:r>
      <w:r>
        <w:rPr>
          <w:rFonts w:hint="eastAsia" w:ascii="仿宋_GB2312" w:eastAsia="仿宋_GB2312"/>
          <w:color w:val="auto"/>
          <w:sz w:val="32"/>
          <w:szCs w:val="32"/>
          <w:lang w:eastAsia="zh-CN"/>
        </w:rPr>
        <w:t>末期</w:t>
      </w:r>
      <w:r>
        <w:rPr>
          <w:rFonts w:hint="eastAsia" w:ascii="仿宋_GB2312" w:eastAsia="仿宋_GB2312"/>
          <w:color w:val="auto"/>
          <w:sz w:val="32"/>
          <w:szCs w:val="32"/>
        </w:rPr>
        <w:t>评估的等级为</w:t>
      </w:r>
      <w:r>
        <w:rPr>
          <w:rFonts w:hint="eastAsia" w:ascii="仿宋_GB2312" w:eastAsia="仿宋_GB2312"/>
          <w:b/>
          <w:color w:val="auto"/>
          <w:sz w:val="32"/>
          <w:szCs w:val="32"/>
          <w:highlight w:val="none"/>
        </w:rPr>
        <w:t>“</w:t>
      </w:r>
      <w:r>
        <w:rPr>
          <w:rFonts w:hint="eastAsia" w:ascii="仿宋_GB2312" w:eastAsia="仿宋_GB2312"/>
          <w:b/>
          <w:color w:val="auto"/>
          <w:sz w:val="32"/>
          <w:szCs w:val="32"/>
          <w:highlight w:val="none"/>
          <w:lang w:val="en-US" w:eastAsia="zh-CN"/>
        </w:rPr>
        <w:t>良好</w:t>
      </w:r>
      <w:r>
        <w:rPr>
          <w:rFonts w:hint="eastAsia" w:ascii="仿宋_GB2312" w:eastAsia="仿宋_GB2312"/>
          <w:b/>
          <w:color w:val="auto"/>
          <w:sz w:val="32"/>
          <w:szCs w:val="32"/>
          <w:highlight w:val="none"/>
        </w:rPr>
        <w:t>”</w:t>
      </w:r>
      <w:r>
        <w:rPr>
          <w:rFonts w:hint="eastAsia" w:ascii="仿宋_GB2312" w:eastAsia="仿宋_GB2312"/>
          <w:b/>
          <w:color w:val="auto"/>
          <w:sz w:val="32"/>
          <w:szCs w:val="32"/>
          <w:highlight w:val="none"/>
          <w:lang w:eastAsia="zh-CN"/>
        </w:rPr>
        <w:t>（</w:t>
      </w:r>
      <w:r>
        <w:rPr>
          <w:rFonts w:hint="eastAsia" w:ascii="仿宋_GB2312" w:eastAsia="仿宋_GB2312"/>
          <w:b/>
          <w:color w:val="auto"/>
          <w:sz w:val="32"/>
          <w:szCs w:val="32"/>
          <w:highlight w:val="none"/>
          <w:lang w:val="en-US" w:eastAsia="zh-CN"/>
        </w:rPr>
        <w:t>84.42</w:t>
      </w:r>
      <w:r>
        <w:rPr>
          <w:rFonts w:ascii="仿宋_GB2312" w:eastAsia="仿宋_GB2312"/>
          <w:b/>
          <w:sz w:val="32"/>
          <w:szCs w:val="32"/>
          <w:highlight w:val="none"/>
          <w:lang w:val="en-US" w:eastAsia="zh-CN"/>
        </w:rPr>
        <w:t>分</w:t>
      </w:r>
      <w:r>
        <w:rPr>
          <w:rFonts w:hint="eastAsia" w:ascii="仿宋_GB2312" w:eastAsia="仿宋_GB2312"/>
          <w:b/>
          <w:color w:val="auto"/>
          <w:sz w:val="32"/>
          <w:szCs w:val="32"/>
          <w:highlight w:val="none"/>
          <w:lang w:eastAsia="zh-CN"/>
        </w:rPr>
        <w:t>）</w:t>
      </w:r>
      <w:r>
        <w:rPr>
          <w:rFonts w:hint="eastAsia" w:ascii="仿宋_GB2312" w:eastAsia="仿宋_GB2312"/>
          <w:color w:val="auto"/>
          <w:sz w:val="32"/>
          <w:szCs w:val="32"/>
          <w:highlight w:val="none"/>
        </w:rPr>
        <w:t>。</w:t>
      </w:r>
    </w:p>
    <w:p>
      <w:pPr>
        <w:pStyle w:val="13"/>
        <w:pageBreakBefore w:val="0"/>
        <w:widowControl w:val="0"/>
        <w:kinsoku/>
        <w:wordWrap/>
        <w:overflowPunct/>
        <w:topLinePunct w:val="0"/>
        <w:autoSpaceDE/>
        <w:autoSpaceDN/>
        <w:bidi w:val="0"/>
        <w:adjustRightInd/>
        <w:snapToGrid/>
        <w:spacing w:after="0" w:line="600" w:lineRule="exact"/>
        <w:ind w:firstLine="0"/>
        <w:jc w:val="both"/>
        <w:textAlignment w:val="auto"/>
        <w:rPr>
          <w:rFonts w:ascii="仿宋_GB2312" w:eastAsia="仿宋_GB2312"/>
          <w:sz w:val="32"/>
          <w:szCs w:val="32"/>
          <w:lang w:val="en-US" w:eastAsia="zh-CN"/>
        </w:rPr>
      </w:pPr>
      <w:r>
        <w:rPr>
          <w:rFonts w:hint="eastAsia" w:ascii="仿宋_GB2312" w:eastAsia="仿宋_GB2312"/>
          <w:sz w:val="32"/>
          <w:szCs w:val="32"/>
          <w:lang w:val="en-US" w:eastAsia="zh-CN"/>
        </w:rPr>
        <w:t>以下是详细的评分情况：</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6"/>
        <w:gridCol w:w="1508"/>
        <w:gridCol w:w="1514"/>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pStyle w:val="13"/>
              <w:spacing w:after="0" w:line="600" w:lineRule="exact"/>
              <w:jc w:val="center"/>
              <w:rPr>
                <w:rFonts w:ascii="仿宋_GB2312" w:hAnsi="仿宋_GB2312" w:eastAsia="仿宋_GB2312" w:cs="仿宋_GB2312"/>
                <w:b/>
                <w:bCs/>
                <w:lang w:val="en-US" w:eastAsia="zh-CN"/>
              </w:rPr>
            </w:pPr>
            <w:bookmarkStart w:id="55" w:name="bookmark87"/>
            <w:r>
              <w:rPr>
                <w:rFonts w:hint="eastAsia" w:ascii="仿宋_GB2312" w:hAnsi="仿宋_GB2312" w:eastAsia="仿宋_GB2312" w:cs="仿宋_GB2312"/>
                <w:b/>
                <w:bCs/>
                <w:lang w:val="en-US" w:eastAsia="zh-CN"/>
              </w:rPr>
              <w:t>评估内容</w:t>
            </w:r>
          </w:p>
        </w:tc>
        <w:tc>
          <w:tcPr>
            <w:tcW w:w="728" w:type="pct"/>
            <w:noWrap w:val="0"/>
            <w:vAlign w:val="center"/>
          </w:tcPr>
          <w:p>
            <w:pPr>
              <w:pStyle w:val="13"/>
              <w:spacing w:after="0" w:line="600" w:lineRule="exact"/>
              <w:ind w:firstLine="0"/>
              <w:jc w:val="center"/>
              <w:rPr>
                <w:rFonts w:ascii="仿宋_GB2312" w:eastAsia="仿宋_GB2312"/>
                <w:b/>
                <w:bCs/>
                <w:lang w:val="en-US" w:eastAsia="zh-CN"/>
              </w:rPr>
            </w:pPr>
            <w:r>
              <w:rPr>
                <w:rFonts w:hint="eastAsia" w:ascii="仿宋_GB2312" w:eastAsia="仿宋_GB2312"/>
                <w:b/>
                <w:bCs/>
                <w:lang w:val="en-US" w:eastAsia="zh-CN"/>
              </w:rPr>
              <w:t>标准分</w:t>
            </w:r>
          </w:p>
        </w:tc>
        <w:tc>
          <w:tcPr>
            <w:tcW w:w="731" w:type="pct"/>
            <w:noWrap w:val="0"/>
            <w:vAlign w:val="center"/>
          </w:tcPr>
          <w:p>
            <w:pPr>
              <w:pStyle w:val="13"/>
              <w:spacing w:after="0" w:line="600" w:lineRule="exact"/>
              <w:ind w:firstLine="0"/>
              <w:jc w:val="center"/>
              <w:rPr>
                <w:rFonts w:ascii="仿宋_GB2312" w:eastAsia="仿宋_GB2312"/>
                <w:b/>
                <w:bCs/>
                <w:lang w:val="en-US" w:eastAsia="zh-CN"/>
              </w:rPr>
            </w:pPr>
            <w:r>
              <w:rPr>
                <w:rFonts w:hint="eastAsia" w:ascii="仿宋_GB2312" w:eastAsia="仿宋_GB2312"/>
                <w:b/>
                <w:bCs/>
                <w:lang w:val="en-US" w:eastAsia="zh-CN"/>
              </w:rPr>
              <w:t>评分</w:t>
            </w:r>
          </w:p>
        </w:tc>
        <w:tc>
          <w:tcPr>
            <w:tcW w:w="848" w:type="pct"/>
            <w:noWrap w:val="0"/>
            <w:vAlign w:val="center"/>
          </w:tcPr>
          <w:p>
            <w:pPr>
              <w:pStyle w:val="13"/>
              <w:spacing w:after="0" w:line="600" w:lineRule="exact"/>
              <w:ind w:firstLine="0"/>
              <w:jc w:val="center"/>
              <w:rPr>
                <w:rFonts w:ascii="仿宋_GB2312" w:eastAsia="仿宋_GB2312"/>
                <w:b/>
                <w:bCs/>
                <w:lang w:val="en-US" w:eastAsia="zh-CN"/>
              </w:rPr>
            </w:pPr>
            <w:r>
              <w:rPr>
                <w:rFonts w:hint="eastAsia" w:ascii="仿宋_GB2312" w:eastAsia="仿宋_GB2312"/>
                <w:b/>
                <w:bCs/>
                <w:lang w:val="en-US" w:eastAsia="zh-CN"/>
              </w:rPr>
              <w:t>折算分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spacing w:line="600" w:lineRule="exact"/>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服务监测</w:t>
            </w:r>
          </w:p>
        </w:tc>
        <w:tc>
          <w:tcPr>
            <w:tcW w:w="728" w:type="pct"/>
            <w:noWrap w:val="0"/>
            <w:vAlign w:val="center"/>
          </w:tcPr>
          <w:p>
            <w:pPr>
              <w:widowControl/>
              <w:spacing w:line="600" w:lineRule="exact"/>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spacing w:line="600" w:lineRule="exact"/>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8.2</w:t>
            </w:r>
          </w:p>
        </w:tc>
        <w:tc>
          <w:tcPr>
            <w:tcW w:w="848" w:type="pct"/>
            <w:noWrap w:val="0"/>
            <w:vAlign w:val="center"/>
          </w:tcPr>
          <w:p>
            <w:pPr>
              <w:widowControl/>
              <w:spacing w:line="600" w:lineRule="exact"/>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spacing w:line="600" w:lineRule="exact"/>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服务成效</w:t>
            </w:r>
          </w:p>
        </w:tc>
        <w:tc>
          <w:tcPr>
            <w:tcW w:w="728" w:type="pct"/>
            <w:noWrap w:val="0"/>
            <w:vAlign w:val="center"/>
          </w:tcPr>
          <w:p>
            <w:pPr>
              <w:widowControl/>
              <w:spacing w:line="600" w:lineRule="exact"/>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noWrap w:val="0"/>
            <w:vAlign w:val="center"/>
          </w:tcPr>
          <w:p>
            <w:pPr>
              <w:widowControl/>
              <w:spacing w:line="600" w:lineRule="exact"/>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11.3</w:t>
            </w:r>
          </w:p>
        </w:tc>
        <w:tc>
          <w:tcPr>
            <w:tcW w:w="848" w:type="pct"/>
            <w:noWrap w:val="0"/>
            <w:vAlign w:val="center"/>
          </w:tcPr>
          <w:p>
            <w:pPr>
              <w:widowControl/>
              <w:spacing w:line="600" w:lineRule="exact"/>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spacing w:line="600" w:lineRule="exact"/>
              <w:jc w:val="center"/>
              <w:textAlignment w:val="center"/>
              <w:rPr>
                <w:rFonts w:ascii="仿宋_GB2312" w:hAnsi="仿宋_GB2312" w:eastAsia="仿宋_GB2312" w:cs="仿宋_GB2312"/>
                <w:sz w:val="28"/>
                <w:szCs w:val="28"/>
                <w:lang w:eastAsia="zh-CN" w:bidi="ar"/>
              </w:rPr>
            </w:pPr>
            <w:r>
              <w:rPr>
                <w:rStyle w:val="32"/>
                <w:rFonts w:hint="default" w:ascii="仿宋_GB2312" w:hAnsi="仿宋_GB2312" w:eastAsia="仿宋_GB2312" w:cs="仿宋_GB2312"/>
                <w:sz w:val="28"/>
                <w:szCs w:val="28"/>
                <w:lang w:eastAsia="zh-CN" w:bidi="ar"/>
              </w:rPr>
              <w:t>运营管理</w:t>
            </w:r>
          </w:p>
        </w:tc>
        <w:tc>
          <w:tcPr>
            <w:tcW w:w="728" w:type="pct"/>
            <w:noWrap w:val="0"/>
            <w:vAlign w:val="center"/>
          </w:tcPr>
          <w:p>
            <w:pPr>
              <w:widowControl/>
              <w:spacing w:line="600" w:lineRule="exact"/>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spacing w:line="600" w:lineRule="exact"/>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8.2</w:t>
            </w:r>
          </w:p>
        </w:tc>
        <w:tc>
          <w:tcPr>
            <w:tcW w:w="848" w:type="pct"/>
            <w:noWrap w:val="0"/>
            <w:vAlign w:val="center"/>
          </w:tcPr>
          <w:p>
            <w:pPr>
              <w:widowControl/>
              <w:spacing w:line="600" w:lineRule="exact"/>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spacing w:line="600" w:lineRule="exact"/>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w:t>
            </w:r>
            <w:r>
              <w:rPr>
                <w:rFonts w:hint="eastAsia" w:ascii="仿宋_GB2312" w:hAnsi="仿宋_GB2312" w:eastAsia="仿宋_GB2312" w:cs="仿宋_GB2312"/>
                <w:sz w:val="28"/>
                <w:szCs w:val="28"/>
                <w:lang w:val="en-US" w:eastAsia="zh-CN" w:bidi="ar"/>
              </w:rPr>
              <w:t>第一</w:t>
            </w:r>
            <w:r>
              <w:rPr>
                <w:rFonts w:hint="eastAsia" w:ascii="仿宋_GB2312" w:hAnsi="仿宋_GB2312" w:eastAsia="仿宋_GB2312" w:cs="仿宋_GB2312"/>
                <w:sz w:val="28"/>
                <w:szCs w:val="28"/>
                <w:lang w:eastAsia="zh-CN" w:bidi="ar"/>
              </w:rPr>
              <w:t>片区）</w:t>
            </w:r>
          </w:p>
        </w:tc>
        <w:tc>
          <w:tcPr>
            <w:tcW w:w="728" w:type="pct"/>
            <w:noWrap w:val="0"/>
            <w:vAlign w:val="center"/>
          </w:tcPr>
          <w:p>
            <w:pPr>
              <w:widowControl/>
              <w:spacing w:line="600" w:lineRule="exact"/>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spacing w:line="600" w:lineRule="exact"/>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16.6</w:t>
            </w:r>
          </w:p>
        </w:tc>
        <w:tc>
          <w:tcPr>
            <w:tcW w:w="848" w:type="pct"/>
            <w:vMerge w:val="restart"/>
            <w:noWrap w:val="0"/>
            <w:vAlign w:val="center"/>
          </w:tcPr>
          <w:p>
            <w:pPr>
              <w:widowControl/>
              <w:spacing w:line="600" w:lineRule="exact"/>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spacing w:line="600" w:lineRule="exact"/>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w:t>
            </w:r>
            <w:r>
              <w:rPr>
                <w:rFonts w:hint="eastAsia" w:ascii="仿宋_GB2312" w:hAnsi="仿宋_GB2312" w:eastAsia="仿宋_GB2312" w:cs="仿宋_GB2312"/>
                <w:sz w:val="28"/>
                <w:szCs w:val="28"/>
                <w:lang w:val="en-US" w:eastAsia="zh-CN" w:bidi="ar"/>
              </w:rPr>
              <w:t>第二</w:t>
            </w:r>
            <w:r>
              <w:rPr>
                <w:rFonts w:hint="eastAsia" w:ascii="仿宋_GB2312" w:hAnsi="仿宋_GB2312" w:eastAsia="仿宋_GB2312" w:cs="仿宋_GB2312"/>
                <w:sz w:val="28"/>
                <w:szCs w:val="28"/>
                <w:lang w:eastAsia="zh-CN" w:bidi="ar"/>
              </w:rPr>
              <w:t>片区）</w:t>
            </w:r>
          </w:p>
        </w:tc>
        <w:tc>
          <w:tcPr>
            <w:tcW w:w="728" w:type="pct"/>
            <w:noWrap w:val="0"/>
            <w:vAlign w:val="center"/>
          </w:tcPr>
          <w:p>
            <w:pPr>
              <w:widowControl/>
              <w:spacing w:line="600" w:lineRule="exact"/>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spacing w:line="600" w:lineRule="exact"/>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15</w:t>
            </w:r>
          </w:p>
        </w:tc>
        <w:tc>
          <w:tcPr>
            <w:tcW w:w="848" w:type="pct"/>
            <w:vMerge w:val="continue"/>
            <w:noWrap w:val="0"/>
            <w:vAlign w:val="center"/>
          </w:tcPr>
          <w:p>
            <w:pPr>
              <w:widowControl/>
              <w:spacing w:line="600" w:lineRule="exact"/>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spacing w:line="600" w:lineRule="exact"/>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w:t>
            </w:r>
            <w:r>
              <w:rPr>
                <w:rFonts w:hint="eastAsia" w:ascii="仿宋_GB2312" w:hAnsi="仿宋_GB2312" w:eastAsia="仿宋_GB2312" w:cs="仿宋_GB2312"/>
                <w:sz w:val="28"/>
                <w:szCs w:val="28"/>
                <w:lang w:val="en-US" w:eastAsia="zh-CN" w:bidi="ar"/>
              </w:rPr>
              <w:t>第三</w:t>
            </w:r>
            <w:r>
              <w:rPr>
                <w:rFonts w:hint="eastAsia" w:ascii="仿宋_GB2312" w:hAnsi="仿宋_GB2312" w:eastAsia="仿宋_GB2312" w:cs="仿宋_GB2312"/>
                <w:sz w:val="28"/>
                <w:szCs w:val="28"/>
                <w:lang w:eastAsia="zh-CN" w:bidi="ar"/>
              </w:rPr>
              <w:t>片区）</w:t>
            </w:r>
          </w:p>
        </w:tc>
        <w:tc>
          <w:tcPr>
            <w:tcW w:w="728" w:type="pct"/>
            <w:noWrap w:val="0"/>
            <w:vAlign w:val="center"/>
          </w:tcPr>
          <w:p>
            <w:pPr>
              <w:widowControl/>
              <w:spacing w:line="600" w:lineRule="exact"/>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spacing w:line="600" w:lineRule="exact"/>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16</w:t>
            </w:r>
          </w:p>
        </w:tc>
        <w:tc>
          <w:tcPr>
            <w:tcW w:w="848" w:type="pct"/>
            <w:vMerge w:val="continue"/>
            <w:noWrap w:val="0"/>
            <w:vAlign w:val="center"/>
          </w:tcPr>
          <w:p>
            <w:pPr>
              <w:widowControl/>
              <w:spacing w:line="600" w:lineRule="exact"/>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spacing w:line="600" w:lineRule="exact"/>
              <w:jc w:val="center"/>
              <w:textAlignment w:val="center"/>
              <w:rPr>
                <w:rFonts w:ascii="仿宋_GB2312" w:hAnsi="仿宋_GB2312" w:eastAsia="仿宋_GB2312" w:cs="仿宋_GB2312"/>
                <w:sz w:val="28"/>
                <w:szCs w:val="28"/>
                <w:lang w:eastAsia="zh-CN" w:bidi="ar"/>
              </w:rPr>
            </w:pPr>
            <w:r>
              <w:rPr>
                <w:rStyle w:val="32"/>
                <w:rFonts w:hint="default" w:ascii="仿宋_GB2312" w:hAnsi="仿宋_GB2312" w:eastAsia="仿宋_GB2312" w:cs="仿宋_GB2312"/>
                <w:sz w:val="28"/>
                <w:szCs w:val="28"/>
                <w:lang w:eastAsia="zh-CN" w:bidi="ar"/>
              </w:rPr>
              <w:t>购买方</w:t>
            </w:r>
          </w:p>
        </w:tc>
        <w:tc>
          <w:tcPr>
            <w:tcW w:w="728" w:type="pct"/>
            <w:noWrap w:val="0"/>
            <w:vAlign w:val="center"/>
          </w:tcPr>
          <w:p>
            <w:pPr>
              <w:widowControl/>
              <w:spacing w:line="600" w:lineRule="exact"/>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spacing w:line="600" w:lineRule="exact"/>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18</w:t>
            </w:r>
          </w:p>
        </w:tc>
        <w:tc>
          <w:tcPr>
            <w:tcW w:w="848" w:type="pct"/>
            <w:noWrap w:val="0"/>
            <w:vAlign w:val="center"/>
          </w:tcPr>
          <w:p>
            <w:pPr>
              <w:widowControl/>
              <w:spacing w:line="600" w:lineRule="exact"/>
              <w:jc w:val="center"/>
              <w:textAlignment w:val="center"/>
              <w:rPr>
                <w:rFonts w:hint="default"/>
                <w:lang w:val="en-US" w:eastAsia="zh-CN"/>
              </w:rPr>
            </w:pPr>
            <w:r>
              <w:rPr>
                <w:rFonts w:hint="eastAsia" w:ascii="仿宋_GB2312" w:hAnsi="仿宋_GB2312" w:eastAsia="仿宋_GB2312" w:cs="仿宋_GB2312"/>
                <w:sz w:val="28"/>
                <w:szCs w:val="28"/>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spacing w:line="600" w:lineRule="exact"/>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highlight w:val="none"/>
                <w:lang w:eastAsia="zh-CN" w:bidi="ar"/>
              </w:rPr>
              <w:t>督导中心</w:t>
            </w:r>
          </w:p>
        </w:tc>
        <w:tc>
          <w:tcPr>
            <w:tcW w:w="728" w:type="pct"/>
            <w:noWrap w:val="0"/>
            <w:vAlign w:val="center"/>
          </w:tcPr>
          <w:p>
            <w:pPr>
              <w:widowControl/>
              <w:spacing w:line="600" w:lineRule="exact"/>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noWrap w:val="0"/>
            <w:vAlign w:val="center"/>
          </w:tcPr>
          <w:p>
            <w:pPr>
              <w:widowControl/>
              <w:spacing w:line="600" w:lineRule="exact"/>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14.35</w:t>
            </w:r>
          </w:p>
        </w:tc>
        <w:tc>
          <w:tcPr>
            <w:tcW w:w="848" w:type="pct"/>
            <w:noWrap w:val="0"/>
            <w:vAlign w:val="center"/>
          </w:tcPr>
          <w:p>
            <w:pPr>
              <w:spacing w:line="6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spacing w:line="600" w:lineRule="exact"/>
              <w:jc w:val="center"/>
              <w:textAlignment w:val="center"/>
              <w:rPr>
                <w:rFonts w:ascii="仿宋_GB2312" w:hAnsi="仿宋_GB2312" w:eastAsia="仿宋_GB2312" w:cs="仿宋_GB2312"/>
                <w:sz w:val="28"/>
                <w:szCs w:val="28"/>
                <w:highlight w:val="yellow"/>
                <w:lang w:eastAsia="zh-CN" w:bidi="ar"/>
              </w:rPr>
            </w:pPr>
            <w:r>
              <w:rPr>
                <w:rFonts w:hint="default" w:ascii="仿宋_GB2312" w:hAnsi="仿宋_GB2312" w:eastAsia="仿宋_GB2312" w:cs="仿宋_GB2312"/>
                <w:sz w:val="28"/>
                <w:szCs w:val="28"/>
                <w:lang w:eastAsia="zh-CN" w:bidi="ar"/>
              </w:rPr>
              <w:t>监督方</w:t>
            </w:r>
          </w:p>
        </w:tc>
        <w:tc>
          <w:tcPr>
            <w:tcW w:w="728" w:type="pct"/>
            <w:noWrap w:val="0"/>
            <w:vAlign w:val="center"/>
          </w:tcPr>
          <w:p>
            <w:pPr>
              <w:widowControl/>
              <w:spacing w:line="600" w:lineRule="exact"/>
              <w:jc w:val="center"/>
              <w:textAlignment w:val="center"/>
              <w:rPr>
                <w:rFonts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spacing w:line="600" w:lineRule="exact"/>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8.5</w:t>
            </w:r>
          </w:p>
        </w:tc>
        <w:tc>
          <w:tcPr>
            <w:tcW w:w="848" w:type="pct"/>
            <w:noWrap w:val="0"/>
            <w:vAlign w:val="center"/>
          </w:tcPr>
          <w:p>
            <w:pPr>
              <w:spacing w:line="6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1" w:type="pct"/>
            <w:gridSpan w:val="3"/>
            <w:noWrap w:val="0"/>
            <w:vAlign w:val="center"/>
          </w:tcPr>
          <w:p>
            <w:pPr>
              <w:pStyle w:val="13"/>
              <w:spacing w:after="0" w:line="600" w:lineRule="exact"/>
              <w:ind w:firstLine="0"/>
              <w:jc w:val="center"/>
              <w:rPr>
                <w:rFonts w:ascii="仿宋_GB2312" w:eastAsia="仿宋_GB2312"/>
                <w:b/>
                <w:lang w:val="en-US" w:eastAsia="zh-CN"/>
              </w:rPr>
            </w:pPr>
            <w:r>
              <w:rPr>
                <w:rFonts w:hint="eastAsia" w:ascii="仿宋_GB2312" w:eastAsia="仿宋_GB2312"/>
                <w:b/>
                <w:lang w:val="en-US" w:eastAsia="zh-CN"/>
              </w:rPr>
              <w:t>总分</w:t>
            </w:r>
          </w:p>
        </w:tc>
        <w:tc>
          <w:tcPr>
            <w:tcW w:w="848" w:type="pct"/>
            <w:noWrap w:val="0"/>
            <w:vAlign w:val="center"/>
          </w:tcPr>
          <w:p>
            <w:pPr>
              <w:widowControl/>
              <w:spacing w:line="600" w:lineRule="exact"/>
              <w:jc w:val="center"/>
              <w:textAlignment w:val="center"/>
              <w:rPr>
                <w:rFonts w:hint="default" w:ascii="仿宋_GB2312" w:hAnsi="仿宋_GB2312" w:eastAsia="仿宋_GB2312" w:cs="仿宋_GB2312"/>
                <w:b/>
                <w:sz w:val="28"/>
                <w:szCs w:val="28"/>
                <w:lang w:val="en-US" w:eastAsia="zh-CN" w:bidi="ar"/>
              </w:rPr>
            </w:pPr>
            <w:r>
              <w:rPr>
                <w:rFonts w:hint="eastAsia" w:ascii="仿宋_GB2312" w:hAnsi="仿宋_GB2312" w:eastAsia="仿宋_GB2312" w:cs="仿宋_GB2312"/>
                <w:b/>
                <w:sz w:val="28"/>
                <w:szCs w:val="28"/>
                <w:lang w:val="en-US" w:eastAsia="zh-CN" w:bidi="ar"/>
              </w:rPr>
              <w:t>84.42</w:t>
            </w:r>
          </w:p>
        </w:tc>
      </w:tr>
    </w:tbl>
    <w:p>
      <w:pPr>
        <w:pStyle w:val="11"/>
        <w:keepNext/>
        <w:keepLines/>
        <w:spacing w:before="0" w:after="0" w:line="600" w:lineRule="exact"/>
        <w:ind w:firstLine="642" w:firstLineChars="200"/>
        <w:jc w:val="both"/>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五</w:t>
      </w:r>
      <w:bookmarkEnd w:id="55"/>
      <w:r>
        <w:rPr>
          <w:rFonts w:hint="eastAsia" w:ascii="方正小标宋简体" w:eastAsia="方正小标宋简体"/>
          <w:b/>
          <w:bCs/>
          <w:color w:val="auto"/>
          <w:sz w:val="32"/>
          <w:szCs w:val="28"/>
          <w:lang w:val="en-US"/>
        </w:rPr>
        <w:t>、结语</w:t>
      </w:r>
    </w:p>
    <w:p>
      <w:pPr>
        <w:pStyle w:val="13"/>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仿宋_GB2312" w:eastAsia="仿宋_GB2312"/>
          <w:color w:val="auto"/>
          <w:sz w:val="32"/>
          <w:szCs w:val="32"/>
          <w:lang w:val="en-US" w:eastAsia="zh-CN"/>
        </w:rPr>
      </w:pPr>
      <w:r>
        <w:rPr>
          <w:rFonts w:hint="eastAsia" w:ascii="仿宋_GB2312" w:eastAsia="仿宋_GB2312" w:hAnsiTheme="minorEastAsia"/>
          <w:color w:val="auto"/>
          <w:sz w:val="32"/>
          <w:szCs w:val="32"/>
          <w:lang w:val="en-US" w:eastAsia="zh-CN"/>
        </w:rPr>
        <w:t>沙头街</w:t>
      </w:r>
      <w:r>
        <w:rPr>
          <w:rFonts w:hint="eastAsia" w:ascii="仿宋_GB2312" w:eastAsia="仿宋_GB2312"/>
          <w:color w:val="auto"/>
          <w:sz w:val="32"/>
          <w:szCs w:val="32"/>
        </w:rPr>
        <w:t>社工服务站在番禺区民政局、</w:t>
      </w:r>
      <w:r>
        <w:rPr>
          <w:rFonts w:hint="eastAsia" w:ascii="仿宋_GB2312" w:eastAsia="仿宋_GB2312"/>
          <w:color w:val="auto"/>
          <w:sz w:val="32"/>
          <w:szCs w:val="32"/>
          <w:lang w:val="en-US" w:eastAsia="zh-CN"/>
        </w:rPr>
        <w:t>沙头街党工委</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沙头街道办事处</w:t>
      </w:r>
      <w:r>
        <w:rPr>
          <w:rFonts w:hint="eastAsia" w:ascii="仿宋_GB2312" w:eastAsia="仿宋_GB2312"/>
          <w:color w:val="auto"/>
          <w:sz w:val="32"/>
          <w:szCs w:val="32"/>
        </w:rPr>
        <w:t>的大力支持下，在</w:t>
      </w:r>
      <w:r>
        <w:rPr>
          <w:rFonts w:hint="eastAsia" w:ascii="仿宋_GB2312" w:eastAsia="仿宋_GB2312"/>
          <w:color w:val="auto"/>
          <w:sz w:val="32"/>
          <w:szCs w:val="32"/>
          <w:lang w:val="en-US" w:eastAsia="zh-CN"/>
        </w:rPr>
        <w:t>广州市黄埔区现代社会工作服务中心</w:t>
      </w:r>
      <w:r>
        <w:rPr>
          <w:rFonts w:hint="eastAsia" w:ascii="仿宋_GB2312" w:eastAsia="仿宋_GB2312"/>
          <w:color w:val="auto"/>
          <w:sz w:val="32"/>
          <w:szCs w:val="32"/>
        </w:rPr>
        <w:t>的努力下，</w:t>
      </w:r>
      <w:r>
        <w:rPr>
          <w:rFonts w:hint="eastAsia" w:ascii="仿宋_GB2312" w:eastAsia="仿宋_GB2312"/>
          <w:color w:val="auto"/>
          <w:sz w:val="32"/>
          <w:szCs w:val="32"/>
          <w:lang w:val="en-US" w:eastAsia="zh-CN"/>
        </w:rPr>
        <w:t>社工站坚持党的领导，积极参与街道、村居党组织的各项活动，服务服从于街道的中心工作，践行“党建引领、五社联动”的服务宗旨；社工能够积极发挥“双工联动”机制的作用，进行民生政策宣传工作，提高困难群众和特殊群体对政策的认知度；已实现对辖区17类困难群众和特殊群体完成建档，以探访、电访服务全覆盖，做到了“一户一档”；项目宣传渠道较多样化；积极联动辖区爱心企业、社区社会组织、村居进行资源链接与社区基金募集，完成沙头街社区基金全覆盖。</w:t>
      </w:r>
    </w:p>
    <w:p>
      <w:pPr>
        <w:pStyle w:val="13"/>
        <w:spacing w:after="160" w:line="600" w:lineRule="exact"/>
        <w:ind w:firstLine="640"/>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建议建议按“两个同步”原则，将组织关系和工作关系做同步调整，实现社工党员组织关系和工作关系一致，成立社工站党支部，并按党章要求对党员社工进行教育、管理、监督和服务；片区进一步加强完善对于困难群众和特殊群体的分级跟进的建档工作，关注建档信息的完整性及准确性 ，做好“ 一人一案 ”的信息收集、问题评估及服务计划等工作，为服务对象提供更专业的社工服务；建议进一步完善宣传计划，有意识、有计划拓展宣传渠道和平台，争取在更多市级及以上等有影响力的电视、网站、刊物上推广工作经验，同时，需要加强服务经验和典型案例梳理、总结、提炼，强化项目经验的推广宣传，助推社工站服务高质量发展。</w:t>
      </w:r>
    </w:p>
    <w:p>
      <w:pPr>
        <w:tabs>
          <w:tab w:val="left" w:pos="7330"/>
        </w:tabs>
        <w:spacing w:line="600" w:lineRule="exact"/>
        <w:ind w:firstLine="5120" w:firstLineChars="1600"/>
        <w:jc w:val="both"/>
        <w:rPr>
          <w:rFonts w:hint="eastAsia" w:ascii="仿宋_GB2312" w:hAnsi="仿宋_GB2312" w:eastAsia="仿宋_GB2312" w:cs="仿宋_GB2312"/>
          <w:color w:val="auto"/>
          <w:sz w:val="32"/>
          <w:szCs w:val="32"/>
          <w:lang w:eastAsia="zh-CN"/>
        </w:rPr>
      </w:pPr>
    </w:p>
    <w:p>
      <w:pPr>
        <w:tabs>
          <w:tab w:val="left" w:pos="7330"/>
        </w:tabs>
        <w:spacing w:line="600" w:lineRule="exact"/>
        <w:ind w:firstLine="5120" w:firstLineChars="1600"/>
        <w:jc w:val="both"/>
        <w:rPr>
          <w:rFonts w:hint="eastAsia" w:ascii="仿宋_GB2312" w:hAnsi="仿宋_GB2312" w:eastAsia="仿宋_GB2312" w:cs="仿宋_GB2312"/>
          <w:color w:val="auto"/>
          <w:sz w:val="32"/>
          <w:szCs w:val="32"/>
          <w:lang w:eastAsia="zh-CN"/>
        </w:rPr>
      </w:pPr>
    </w:p>
    <w:p>
      <w:pPr>
        <w:tabs>
          <w:tab w:val="left" w:pos="7330"/>
        </w:tabs>
        <w:spacing w:line="600" w:lineRule="exact"/>
        <w:ind w:firstLine="5120" w:firstLineChars="1600"/>
        <w:jc w:val="both"/>
        <w:rPr>
          <w:rFonts w:hint="eastAsia" w:ascii="仿宋_GB2312" w:hAnsi="仿宋_GB2312" w:eastAsia="仿宋_GB2312" w:cs="仿宋_GB2312"/>
          <w:color w:val="auto"/>
          <w:sz w:val="32"/>
          <w:szCs w:val="32"/>
          <w:lang w:eastAsia="zh-CN"/>
        </w:rPr>
      </w:pPr>
    </w:p>
    <w:p>
      <w:pPr>
        <w:tabs>
          <w:tab w:val="left" w:pos="7330"/>
        </w:tabs>
        <w:spacing w:line="600" w:lineRule="exact"/>
        <w:ind w:firstLine="5120" w:firstLineChars="16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广州市番禺区社会组织联合会</w:t>
      </w:r>
    </w:p>
    <w:p>
      <w:pPr>
        <w:tabs>
          <w:tab w:val="left" w:pos="7330"/>
        </w:tabs>
        <w:spacing w:before="0" w:after="0" w:line="600" w:lineRule="exact"/>
        <w:ind w:firstLine="8000" w:firstLineChars="2500"/>
        <w:jc w:val="both"/>
        <w:rPr>
          <w:lang w:val="en-US" w:eastAsia="zh-CN"/>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23日</w:t>
      </w:r>
    </w:p>
    <w:sectPr>
      <w:footerReference r:id="rId3" w:type="default"/>
      <w:footerReference r:id="rId4" w:type="even"/>
      <w:pgSz w:w="11900" w:h="16840"/>
      <w:pgMar w:top="1301" w:right="876" w:bottom="1373" w:left="885" w:header="457" w:footer="44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PMingLiU">
    <w:altName w:val="Droid Sans Fallback"/>
    <w:panose1 w:val="02020500000000000000"/>
    <w:charset w:val="88"/>
    <w:family w:val="auto"/>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Am1VpzKgIAAFUEAAAOAAAAAAAAAAEAIAAAADUBAABkcnMv&#10;ZTJvRG9jLnhtbFBLBQYAAAAABgAGAFkBAADR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67EC6"/>
    <w:multiLevelType w:val="singleLevel"/>
    <w:tmpl w:val="C7167EC6"/>
    <w:lvl w:ilvl="0" w:tentative="0">
      <w:start w:val="7"/>
      <w:numFmt w:val="chineseCounting"/>
      <w:suff w:val="nothing"/>
      <w:lvlText w:val="（%1）"/>
      <w:lvlJc w:val="left"/>
      <w:rPr>
        <w:rFonts w:hint="eastAsia"/>
      </w:rPr>
    </w:lvl>
  </w:abstractNum>
  <w:abstractNum w:abstractNumId="1">
    <w:nsid w:val="00000004"/>
    <w:multiLevelType w:val="singleLevel"/>
    <w:tmpl w:val="00000004"/>
    <w:lvl w:ilvl="0" w:tentative="0">
      <w:start w:val="1"/>
      <w:numFmt w:val="decimal"/>
      <w:lvlText w:val="%1."/>
      <w:lvlJc w:val="left"/>
      <w:rPr>
        <w:rFonts w:ascii="Times New Roman" w:hAnsi="Times New Roman" w:eastAsia="Times New Roman" w:cs="Times New Roman"/>
        <w:b/>
        <w:bCs/>
        <w:i w:val="0"/>
        <w:iCs w:val="0"/>
        <w:smallCaps w:val="0"/>
        <w:color w:val="000000"/>
        <w:spacing w:val="0"/>
        <w:w w:val="100"/>
        <w:position w:val="0"/>
        <w:sz w:val="30"/>
        <w:szCs w:val="30"/>
        <w:u w:val="none"/>
        <w:shd w:val="clear" w:color="auto" w:fill="auto"/>
        <w:lang w:val="zh-TW" w:eastAsia="zh-TW" w:bidi="zh-TW"/>
      </w:rPr>
    </w:lvl>
  </w:abstractNum>
  <w:abstractNum w:abstractNumId="2">
    <w:nsid w:val="0453C150"/>
    <w:multiLevelType w:val="singleLevel"/>
    <w:tmpl w:val="0453C150"/>
    <w:lvl w:ilvl="0" w:tentative="0">
      <w:start w:val="1"/>
      <w:numFmt w:val="decimal"/>
      <w:suff w:val="nothing"/>
      <w:lvlText w:val="（%1）"/>
      <w:lvlJc w:val="left"/>
      <w:rPr>
        <w:rFonts w:hint="default" w:ascii="仿宋_GB2312" w:hAnsi="仿宋_GB2312" w:eastAsia="仿宋_GB2312" w:cs="仿宋_GB2312"/>
      </w:rPr>
    </w:lvl>
  </w:abstractNum>
  <w:abstractNum w:abstractNumId="3">
    <w:nsid w:val="04B10F75"/>
    <w:multiLevelType w:val="singleLevel"/>
    <w:tmpl w:val="04B10F75"/>
    <w:lvl w:ilvl="0" w:tentative="0">
      <w:start w:val="1"/>
      <w:numFmt w:val="decimal"/>
      <w:suff w:val="nothing"/>
      <w:lvlText w:val="（%1）"/>
      <w:lvlJc w:val="left"/>
      <w:rPr>
        <w:rFonts w:hint="default" w:ascii="仿宋_GB2312" w:hAnsi="仿宋_GB2312" w:eastAsia="仿宋_GB2312" w:cs="仿宋_GB2312"/>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evenAndOddHeaders w:val="1"/>
  <w:drawingGridHorizontalSpacing w:val="181"/>
  <w:drawingGridVerticalSpacing w:val="181"/>
  <w:displayHorizontalDrawingGridEvery w:val="1"/>
  <w:displayVerticalDrawingGridEvery w:val="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hZGYwNTVjNmEwZDlmYmM0M2UzYmUxZTMyY2ZhNTgifQ=="/>
  </w:docVars>
  <w:rsids>
    <w:rsidRoot w:val="0040785D"/>
    <w:rsid w:val="000628D7"/>
    <w:rsid w:val="000653D4"/>
    <w:rsid w:val="000669A8"/>
    <w:rsid w:val="000707EC"/>
    <w:rsid w:val="00153735"/>
    <w:rsid w:val="001543BA"/>
    <w:rsid w:val="001D6D30"/>
    <w:rsid w:val="002C77AF"/>
    <w:rsid w:val="0031205B"/>
    <w:rsid w:val="003261A9"/>
    <w:rsid w:val="00346C72"/>
    <w:rsid w:val="00347385"/>
    <w:rsid w:val="003878B8"/>
    <w:rsid w:val="003B4EB3"/>
    <w:rsid w:val="003D31DC"/>
    <w:rsid w:val="003E34FA"/>
    <w:rsid w:val="0040785D"/>
    <w:rsid w:val="0046241A"/>
    <w:rsid w:val="004A7570"/>
    <w:rsid w:val="004B3BEE"/>
    <w:rsid w:val="004C2DF8"/>
    <w:rsid w:val="004D431C"/>
    <w:rsid w:val="004F3EE1"/>
    <w:rsid w:val="004F7E29"/>
    <w:rsid w:val="00567037"/>
    <w:rsid w:val="00584628"/>
    <w:rsid w:val="00587928"/>
    <w:rsid w:val="005A2068"/>
    <w:rsid w:val="005D4F1A"/>
    <w:rsid w:val="00614C46"/>
    <w:rsid w:val="0062173D"/>
    <w:rsid w:val="006275E1"/>
    <w:rsid w:val="006538C0"/>
    <w:rsid w:val="006A0A99"/>
    <w:rsid w:val="006D594E"/>
    <w:rsid w:val="00710916"/>
    <w:rsid w:val="00714A48"/>
    <w:rsid w:val="00741C47"/>
    <w:rsid w:val="00775F46"/>
    <w:rsid w:val="00780069"/>
    <w:rsid w:val="007D05BA"/>
    <w:rsid w:val="008216CC"/>
    <w:rsid w:val="00840E3F"/>
    <w:rsid w:val="00873946"/>
    <w:rsid w:val="00893F1F"/>
    <w:rsid w:val="008D7F4E"/>
    <w:rsid w:val="008E6CB5"/>
    <w:rsid w:val="00922FBC"/>
    <w:rsid w:val="00923280"/>
    <w:rsid w:val="0092338A"/>
    <w:rsid w:val="00941150"/>
    <w:rsid w:val="0097122E"/>
    <w:rsid w:val="00981EBA"/>
    <w:rsid w:val="00991B02"/>
    <w:rsid w:val="009B278D"/>
    <w:rsid w:val="00A053E1"/>
    <w:rsid w:val="00A30B74"/>
    <w:rsid w:val="00A909D6"/>
    <w:rsid w:val="00A94F7B"/>
    <w:rsid w:val="00B46E65"/>
    <w:rsid w:val="00B519CD"/>
    <w:rsid w:val="00B63718"/>
    <w:rsid w:val="00B723D6"/>
    <w:rsid w:val="00B72C15"/>
    <w:rsid w:val="00B910E4"/>
    <w:rsid w:val="00B963AF"/>
    <w:rsid w:val="00BD3AE1"/>
    <w:rsid w:val="00C1200D"/>
    <w:rsid w:val="00C25A91"/>
    <w:rsid w:val="00C43B75"/>
    <w:rsid w:val="00C473FF"/>
    <w:rsid w:val="00C504C0"/>
    <w:rsid w:val="00C56F8F"/>
    <w:rsid w:val="00C80652"/>
    <w:rsid w:val="00C95142"/>
    <w:rsid w:val="00C97B30"/>
    <w:rsid w:val="00CD36BA"/>
    <w:rsid w:val="00CD7A0E"/>
    <w:rsid w:val="00CE0DC3"/>
    <w:rsid w:val="00D24F5D"/>
    <w:rsid w:val="00D930C4"/>
    <w:rsid w:val="00D95067"/>
    <w:rsid w:val="00DB425A"/>
    <w:rsid w:val="00DD2355"/>
    <w:rsid w:val="00DD5901"/>
    <w:rsid w:val="00DE4F4A"/>
    <w:rsid w:val="00E1379F"/>
    <w:rsid w:val="00E96C76"/>
    <w:rsid w:val="00EB23CE"/>
    <w:rsid w:val="00EF786E"/>
    <w:rsid w:val="00F00D84"/>
    <w:rsid w:val="00F03905"/>
    <w:rsid w:val="00F621C4"/>
    <w:rsid w:val="00F74221"/>
    <w:rsid w:val="00F7505A"/>
    <w:rsid w:val="00FA40E6"/>
    <w:rsid w:val="00FE6AC9"/>
    <w:rsid w:val="016941A0"/>
    <w:rsid w:val="03EA48BD"/>
    <w:rsid w:val="043B2EAD"/>
    <w:rsid w:val="05CD061E"/>
    <w:rsid w:val="07A04328"/>
    <w:rsid w:val="09BA0A50"/>
    <w:rsid w:val="0BA416F5"/>
    <w:rsid w:val="0C9E6121"/>
    <w:rsid w:val="0CED1904"/>
    <w:rsid w:val="1007471B"/>
    <w:rsid w:val="1083680B"/>
    <w:rsid w:val="122C2101"/>
    <w:rsid w:val="123F26A2"/>
    <w:rsid w:val="12473866"/>
    <w:rsid w:val="1351449B"/>
    <w:rsid w:val="138C2E16"/>
    <w:rsid w:val="17034184"/>
    <w:rsid w:val="18846779"/>
    <w:rsid w:val="19F45A67"/>
    <w:rsid w:val="1BFE495E"/>
    <w:rsid w:val="1CA73D07"/>
    <w:rsid w:val="1CDD6D9F"/>
    <w:rsid w:val="1D815004"/>
    <w:rsid w:val="1E4716B0"/>
    <w:rsid w:val="1FED2130"/>
    <w:rsid w:val="203465A3"/>
    <w:rsid w:val="20F37C9C"/>
    <w:rsid w:val="21635C00"/>
    <w:rsid w:val="22032E04"/>
    <w:rsid w:val="231B319B"/>
    <w:rsid w:val="24B16286"/>
    <w:rsid w:val="273D4A27"/>
    <w:rsid w:val="27F063EA"/>
    <w:rsid w:val="2B366E94"/>
    <w:rsid w:val="2DB3100A"/>
    <w:rsid w:val="32794A1C"/>
    <w:rsid w:val="338F274A"/>
    <w:rsid w:val="34C21DA4"/>
    <w:rsid w:val="36106889"/>
    <w:rsid w:val="38421BB8"/>
    <w:rsid w:val="399FE1E1"/>
    <w:rsid w:val="3AEE06D4"/>
    <w:rsid w:val="3BB47C7C"/>
    <w:rsid w:val="3BC44428"/>
    <w:rsid w:val="3C734681"/>
    <w:rsid w:val="3CDB7FC2"/>
    <w:rsid w:val="3CEF4B2F"/>
    <w:rsid w:val="3D0E630E"/>
    <w:rsid w:val="3DE87C02"/>
    <w:rsid w:val="3FB42E8D"/>
    <w:rsid w:val="42AE24C0"/>
    <w:rsid w:val="46CD7A34"/>
    <w:rsid w:val="486B7B50"/>
    <w:rsid w:val="4A246FC0"/>
    <w:rsid w:val="4A3D3E09"/>
    <w:rsid w:val="4CF338F1"/>
    <w:rsid w:val="4D7C5695"/>
    <w:rsid w:val="4ECA5D66"/>
    <w:rsid w:val="501A5ADD"/>
    <w:rsid w:val="508067FB"/>
    <w:rsid w:val="50892358"/>
    <w:rsid w:val="50A43895"/>
    <w:rsid w:val="519F6888"/>
    <w:rsid w:val="52DD6CAC"/>
    <w:rsid w:val="53FF84B0"/>
    <w:rsid w:val="56A40CE5"/>
    <w:rsid w:val="577CFB02"/>
    <w:rsid w:val="578D66F1"/>
    <w:rsid w:val="57C86C54"/>
    <w:rsid w:val="580E29F4"/>
    <w:rsid w:val="5A4A08C9"/>
    <w:rsid w:val="5C627366"/>
    <w:rsid w:val="5CE67A24"/>
    <w:rsid w:val="614D1449"/>
    <w:rsid w:val="63FC70D8"/>
    <w:rsid w:val="64494D15"/>
    <w:rsid w:val="66390FD2"/>
    <w:rsid w:val="68E464EF"/>
    <w:rsid w:val="69557DDE"/>
    <w:rsid w:val="69726A9D"/>
    <w:rsid w:val="6AE91623"/>
    <w:rsid w:val="6B251937"/>
    <w:rsid w:val="6B855236"/>
    <w:rsid w:val="6BEFE6D3"/>
    <w:rsid w:val="6EA83A3B"/>
    <w:rsid w:val="700C6F8E"/>
    <w:rsid w:val="70657DB3"/>
    <w:rsid w:val="75864A53"/>
    <w:rsid w:val="76BAEBDB"/>
    <w:rsid w:val="77F79DBF"/>
    <w:rsid w:val="7A6D0E82"/>
    <w:rsid w:val="7A8C614A"/>
    <w:rsid w:val="7B065502"/>
    <w:rsid w:val="7B4C229B"/>
    <w:rsid w:val="7BEC1388"/>
    <w:rsid w:val="7CBD0A66"/>
    <w:rsid w:val="7D284F5A"/>
    <w:rsid w:val="7D8F646F"/>
    <w:rsid w:val="7DAC4138"/>
    <w:rsid w:val="7E76499E"/>
    <w:rsid w:val="7FFD49FF"/>
    <w:rsid w:val="9EFBDD8B"/>
    <w:rsid w:val="BFEF7639"/>
    <w:rsid w:val="C7399103"/>
    <w:rsid w:val="DFEE5870"/>
    <w:rsid w:val="E7BAAC14"/>
    <w:rsid w:val="E8F771D8"/>
    <w:rsid w:val="EBBCB813"/>
    <w:rsid w:val="EFEFC99B"/>
    <w:rsid w:val="F7FE47F2"/>
    <w:rsid w:val="FF7F8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2"/>
    <w:basedOn w:val="1"/>
    <w:next w:val="1"/>
    <w:qFormat/>
    <w:uiPriority w:val="0"/>
    <w:pPr>
      <w:keepNext/>
      <w:keepLines/>
      <w:spacing w:before="260" w:after="260" w:line="413" w:lineRule="auto"/>
      <w:outlineLvl w:val="1"/>
    </w:pPr>
    <w:rPr>
      <w:rFonts w:ascii="Arial" w:hAnsi="Arial" w:eastAsia="宋体"/>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31"/>
    <w:qFormat/>
    <w:uiPriority w:val="0"/>
    <w:pPr>
      <w:spacing w:after="120"/>
    </w:pPr>
  </w:style>
  <w:style w:type="paragraph" w:styleId="5">
    <w:name w:val="footer"/>
    <w:basedOn w:val="1"/>
    <w:link w:val="29"/>
    <w:qFormat/>
    <w:uiPriority w:val="0"/>
    <w:pPr>
      <w:tabs>
        <w:tab w:val="center" w:pos="4153"/>
        <w:tab w:val="right" w:pos="8306"/>
      </w:tabs>
      <w:snapToGrid w:val="0"/>
    </w:pPr>
    <w:rPr>
      <w:sz w:val="18"/>
      <w:szCs w:val="18"/>
    </w:rPr>
  </w:style>
  <w:style w:type="paragraph" w:styleId="6">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Heading #1|1_"/>
    <w:basedOn w:val="9"/>
    <w:link w:val="11"/>
    <w:qFormat/>
    <w:uiPriority w:val="0"/>
    <w:rPr>
      <w:rFonts w:ascii="宋体" w:hAnsi="宋体" w:eastAsia="宋体" w:cs="宋体"/>
      <w:sz w:val="40"/>
      <w:szCs w:val="40"/>
      <w:u w:val="none"/>
      <w:shd w:val="clear" w:color="auto" w:fill="auto"/>
      <w:lang w:val="zh-TW" w:eastAsia="zh-TW" w:bidi="zh-TW"/>
    </w:rPr>
  </w:style>
  <w:style w:type="paragraph" w:customStyle="1" w:styleId="11">
    <w:name w:val="Heading #1|1"/>
    <w:basedOn w:val="1"/>
    <w:link w:val="10"/>
    <w:qFormat/>
    <w:uiPriority w:val="0"/>
    <w:pPr>
      <w:spacing w:before="320" w:after="4320" w:line="541" w:lineRule="exact"/>
      <w:jc w:val="center"/>
      <w:outlineLvl w:val="0"/>
    </w:pPr>
    <w:rPr>
      <w:rFonts w:ascii="宋体" w:hAnsi="宋体" w:eastAsia="宋体" w:cs="宋体"/>
      <w:sz w:val="40"/>
      <w:szCs w:val="40"/>
      <w:lang w:val="zh-TW" w:eastAsia="zh-TW" w:bidi="zh-TW"/>
    </w:rPr>
  </w:style>
  <w:style w:type="character" w:customStyle="1" w:styleId="12">
    <w:name w:val="Body text|1_"/>
    <w:basedOn w:val="9"/>
    <w:link w:val="13"/>
    <w:qFormat/>
    <w:uiPriority w:val="0"/>
    <w:rPr>
      <w:rFonts w:ascii="宋体" w:hAnsi="宋体" w:eastAsia="宋体" w:cs="宋体"/>
      <w:sz w:val="28"/>
      <w:szCs w:val="28"/>
      <w:u w:val="none"/>
      <w:shd w:val="clear" w:color="auto" w:fill="auto"/>
      <w:lang w:val="zh-TW" w:eastAsia="zh-TW" w:bidi="zh-TW"/>
    </w:rPr>
  </w:style>
  <w:style w:type="paragraph" w:customStyle="1" w:styleId="13">
    <w:name w:val="Body text|1"/>
    <w:basedOn w:val="1"/>
    <w:link w:val="12"/>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14">
    <w:name w:val="Header or footer|2_"/>
    <w:basedOn w:val="9"/>
    <w:link w:val="15"/>
    <w:qFormat/>
    <w:uiPriority w:val="0"/>
    <w:rPr>
      <w:sz w:val="20"/>
      <w:szCs w:val="20"/>
      <w:u w:val="none"/>
      <w:shd w:val="clear" w:color="auto" w:fill="auto"/>
      <w:lang w:val="zh-TW" w:eastAsia="zh-TW" w:bidi="zh-TW"/>
    </w:rPr>
  </w:style>
  <w:style w:type="paragraph" w:customStyle="1" w:styleId="15">
    <w:name w:val="Header or footer|2"/>
    <w:basedOn w:val="1"/>
    <w:link w:val="14"/>
    <w:qFormat/>
    <w:uiPriority w:val="0"/>
    <w:rPr>
      <w:sz w:val="20"/>
      <w:szCs w:val="20"/>
      <w:lang w:val="zh-TW" w:eastAsia="zh-TW" w:bidi="zh-TW"/>
    </w:rPr>
  </w:style>
  <w:style w:type="character" w:customStyle="1" w:styleId="16">
    <w:name w:val="Header or footer|1_"/>
    <w:basedOn w:val="9"/>
    <w:link w:val="17"/>
    <w:qFormat/>
    <w:uiPriority w:val="0"/>
    <w:rPr>
      <w:rFonts w:ascii="宋体" w:hAnsi="宋体" w:eastAsia="宋体" w:cs="宋体"/>
      <w:sz w:val="26"/>
      <w:szCs w:val="26"/>
      <w:u w:val="none"/>
      <w:shd w:val="clear" w:color="auto" w:fill="auto"/>
      <w:lang w:val="zh-TW" w:eastAsia="zh-TW" w:bidi="zh-TW"/>
    </w:rPr>
  </w:style>
  <w:style w:type="paragraph" w:customStyle="1" w:styleId="17">
    <w:name w:val="Header or footer|1"/>
    <w:basedOn w:val="1"/>
    <w:link w:val="16"/>
    <w:qFormat/>
    <w:uiPriority w:val="0"/>
    <w:rPr>
      <w:rFonts w:ascii="宋体" w:hAnsi="宋体" w:eastAsia="宋体" w:cs="宋体"/>
      <w:sz w:val="26"/>
      <w:szCs w:val="26"/>
      <w:lang w:val="zh-TW" w:eastAsia="zh-TW" w:bidi="zh-TW"/>
    </w:rPr>
  </w:style>
  <w:style w:type="character" w:customStyle="1" w:styleId="18">
    <w:name w:val="Body text|2_"/>
    <w:basedOn w:val="9"/>
    <w:link w:val="19"/>
    <w:qFormat/>
    <w:uiPriority w:val="0"/>
    <w:rPr>
      <w:rFonts w:ascii="宋体" w:hAnsi="宋体" w:eastAsia="宋体" w:cs="宋体"/>
      <w:sz w:val="22"/>
      <w:szCs w:val="22"/>
      <w:u w:val="none"/>
      <w:shd w:val="clear" w:color="auto" w:fill="auto"/>
      <w:lang w:val="zh-TW" w:eastAsia="zh-TW" w:bidi="zh-TW"/>
    </w:rPr>
  </w:style>
  <w:style w:type="paragraph" w:customStyle="1" w:styleId="19">
    <w:name w:val="Body text|2"/>
    <w:basedOn w:val="1"/>
    <w:link w:val="18"/>
    <w:qFormat/>
    <w:uiPriority w:val="0"/>
    <w:pPr>
      <w:spacing w:after="240"/>
    </w:pPr>
    <w:rPr>
      <w:rFonts w:ascii="宋体" w:hAnsi="宋体" w:eastAsia="宋体" w:cs="宋体"/>
      <w:sz w:val="22"/>
      <w:szCs w:val="22"/>
      <w:lang w:val="zh-TW" w:eastAsia="zh-TW" w:bidi="zh-TW"/>
    </w:rPr>
  </w:style>
  <w:style w:type="character" w:customStyle="1" w:styleId="20">
    <w:name w:val="Other|1_"/>
    <w:basedOn w:val="9"/>
    <w:link w:val="21"/>
    <w:qFormat/>
    <w:uiPriority w:val="0"/>
    <w:rPr>
      <w:rFonts w:ascii="宋体" w:hAnsi="宋体" w:eastAsia="宋体" w:cs="宋体"/>
      <w:sz w:val="28"/>
      <w:szCs w:val="28"/>
      <w:u w:val="none"/>
      <w:shd w:val="clear" w:color="auto" w:fill="auto"/>
      <w:lang w:val="zh-TW" w:eastAsia="zh-TW" w:bidi="zh-TW"/>
    </w:rPr>
  </w:style>
  <w:style w:type="paragraph" w:customStyle="1" w:styleId="21">
    <w:name w:val="Other|1"/>
    <w:basedOn w:val="1"/>
    <w:link w:val="20"/>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22">
    <w:name w:val="Other|2_"/>
    <w:basedOn w:val="9"/>
    <w:link w:val="23"/>
    <w:qFormat/>
    <w:uiPriority w:val="0"/>
    <w:rPr>
      <w:rFonts w:ascii="宋体" w:hAnsi="宋体" w:eastAsia="宋体" w:cs="宋体"/>
      <w:sz w:val="15"/>
      <w:szCs w:val="15"/>
      <w:u w:val="none"/>
      <w:shd w:val="clear" w:color="auto" w:fill="auto"/>
      <w:lang w:val="zh-TW" w:eastAsia="zh-TW" w:bidi="zh-TW"/>
    </w:rPr>
  </w:style>
  <w:style w:type="paragraph" w:customStyle="1" w:styleId="23">
    <w:name w:val="Other|2"/>
    <w:basedOn w:val="1"/>
    <w:link w:val="22"/>
    <w:qFormat/>
    <w:uiPriority w:val="0"/>
    <w:pPr>
      <w:spacing w:line="177" w:lineRule="exact"/>
      <w:jc w:val="center"/>
    </w:pPr>
    <w:rPr>
      <w:rFonts w:ascii="宋体" w:hAnsi="宋体" w:eastAsia="宋体" w:cs="宋体"/>
      <w:sz w:val="15"/>
      <w:szCs w:val="15"/>
      <w:lang w:val="zh-TW" w:eastAsia="zh-TW" w:bidi="zh-TW"/>
    </w:rPr>
  </w:style>
  <w:style w:type="character" w:customStyle="1" w:styleId="24">
    <w:name w:val="Body text|3_"/>
    <w:basedOn w:val="9"/>
    <w:link w:val="25"/>
    <w:qFormat/>
    <w:uiPriority w:val="0"/>
    <w:rPr>
      <w:rFonts w:ascii="宋体" w:hAnsi="宋体" w:eastAsia="宋体" w:cs="宋体"/>
      <w:sz w:val="15"/>
      <w:szCs w:val="15"/>
      <w:u w:val="none"/>
      <w:shd w:val="clear" w:color="auto" w:fill="auto"/>
      <w:lang w:val="zh-TW" w:eastAsia="zh-TW" w:bidi="zh-TW"/>
    </w:rPr>
  </w:style>
  <w:style w:type="paragraph" w:customStyle="1" w:styleId="25">
    <w:name w:val="Body text|3"/>
    <w:basedOn w:val="1"/>
    <w:link w:val="24"/>
    <w:qFormat/>
    <w:uiPriority w:val="0"/>
    <w:rPr>
      <w:rFonts w:ascii="宋体" w:hAnsi="宋体" w:eastAsia="宋体" w:cs="宋体"/>
      <w:sz w:val="15"/>
      <w:szCs w:val="15"/>
      <w:lang w:val="zh-TW" w:eastAsia="zh-TW" w:bidi="zh-TW"/>
    </w:rPr>
  </w:style>
  <w:style w:type="character" w:customStyle="1" w:styleId="26">
    <w:name w:val="Picture caption|1_"/>
    <w:basedOn w:val="9"/>
    <w:link w:val="27"/>
    <w:qFormat/>
    <w:uiPriority w:val="0"/>
    <w:rPr>
      <w:rFonts w:ascii="宋体" w:hAnsi="宋体" w:eastAsia="宋体" w:cs="宋体"/>
      <w:sz w:val="20"/>
      <w:szCs w:val="20"/>
      <w:u w:val="none"/>
      <w:shd w:val="clear" w:color="auto" w:fill="auto"/>
      <w:lang w:val="zh-TW" w:eastAsia="zh-TW" w:bidi="zh-TW"/>
    </w:rPr>
  </w:style>
  <w:style w:type="paragraph" w:customStyle="1" w:styleId="27">
    <w:name w:val="Picture caption|1"/>
    <w:basedOn w:val="1"/>
    <w:link w:val="26"/>
    <w:qFormat/>
    <w:uiPriority w:val="0"/>
    <w:pPr>
      <w:jc w:val="center"/>
    </w:pPr>
    <w:rPr>
      <w:rFonts w:ascii="宋体" w:hAnsi="宋体" w:eastAsia="宋体" w:cs="宋体"/>
      <w:sz w:val="20"/>
      <w:szCs w:val="20"/>
      <w:lang w:val="zh-TW" w:eastAsia="zh-TW" w:bidi="zh-TW"/>
    </w:rPr>
  </w:style>
  <w:style w:type="character" w:customStyle="1" w:styleId="28">
    <w:name w:val="页眉 Char"/>
    <w:basedOn w:val="9"/>
    <w:link w:val="6"/>
    <w:qFormat/>
    <w:uiPriority w:val="0"/>
    <w:rPr>
      <w:rFonts w:eastAsia="Times New Roman"/>
      <w:color w:val="000000"/>
      <w:sz w:val="18"/>
      <w:szCs w:val="18"/>
      <w:lang w:eastAsia="en-US" w:bidi="en-US"/>
    </w:rPr>
  </w:style>
  <w:style w:type="character" w:customStyle="1" w:styleId="29">
    <w:name w:val="页脚 Char"/>
    <w:basedOn w:val="9"/>
    <w:link w:val="5"/>
    <w:qFormat/>
    <w:uiPriority w:val="0"/>
    <w:rPr>
      <w:rFonts w:eastAsia="Times New Roman"/>
      <w:color w:val="000000"/>
      <w:sz w:val="18"/>
      <w:szCs w:val="18"/>
      <w:lang w:eastAsia="en-US" w:bidi="en-US"/>
    </w:rPr>
  </w:style>
  <w:style w:type="paragraph" w:customStyle="1" w:styleId="30">
    <w:name w:val="NOTE_Normal"/>
    <w:basedOn w:val="1"/>
    <w:next w:val="4"/>
    <w:qFormat/>
    <w:uiPriority w:val="0"/>
    <w:pPr>
      <w:spacing w:after="160" w:line="259" w:lineRule="auto"/>
      <w:jc w:val="both"/>
    </w:pPr>
    <w:rPr>
      <w:rFonts w:ascii="Calibri" w:hAnsi="Calibri" w:eastAsia="宋体" w:cs="Arial"/>
      <w:color w:val="auto"/>
      <w:kern w:val="2"/>
      <w:sz w:val="21"/>
      <w:lang w:eastAsia="zh-CN" w:bidi="ar-SA"/>
    </w:rPr>
  </w:style>
  <w:style w:type="character" w:customStyle="1" w:styleId="31">
    <w:name w:val="正文文本 Char"/>
    <w:basedOn w:val="9"/>
    <w:link w:val="4"/>
    <w:qFormat/>
    <w:uiPriority w:val="0"/>
    <w:rPr>
      <w:rFonts w:eastAsia="Times New Roman"/>
      <w:color w:val="000000"/>
      <w:sz w:val="24"/>
      <w:szCs w:val="24"/>
      <w:lang w:eastAsia="en-US" w:bidi="en-US"/>
    </w:rPr>
  </w:style>
  <w:style w:type="character" w:customStyle="1" w:styleId="32">
    <w:name w:val="font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11071</Words>
  <Characters>11447</Characters>
  <Lines>70</Lines>
  <Paragraphs>19</Paragraphs>
  <TotalTime>114</TotalTime>
  <ScaleCrop>false</ScaleCrop>
  <LinksUpToDate>false</LinksUpToDate>
  <CharactersWithSpaces>11458</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2023-08-16T15:15:00Z</dcterms:created>
  <dc:creator>WPS Office</dc:creator>
  <cp:lastModifiedBy>彭裕惠</cp:lastModifiedBy>
  <dcterms:modified xsi:type="dcterms:W3CDTF">2024-09-02T15:03:30Z</dcterms:modified>
  <dc:title>KM_C364e-20200923144555</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7DB9C99B84C34B6C9E746A88120BBB99_13</vt:lpwstr>
  </property>
</Properties>
</file>