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both"/>
        <w:rPr>
          <w:rFonts w:hint="eastAsia" w:ascii="黑体" w:hAnsi="黑体" w:eastAsia="黑体" w:cs="黑体"/>
          <w:b w:val="0"/>
          <w:bCs w:val="0"/>
          <w:sz w:val="32"/>
          <w:szCs w:val="32"/>
          <w:lang w:val="en-US" w:eastAsia="zh-CN"/>
        </w:rPr>
      </w:pPr>
      <w:r>
        <w:rPr>
          <w:rFonts w:hint="eastAsia" w:ascii="黑体" w:hAnsi="黑体" w:eastAsia="黑体" w:cs="黑体"/>
          <w:b w:val="0"/>
          <w:bCs w:val="0"/>
          <w:sz w:val="32"/>
          <w:szCs w:val="32"/>
          <w:lang w:eastAsia="zh-CN"/>
        </w:rPr>
        <w:t>附件</w:t>
      </w:r>
      <w:r>
        <w:rPr>
          <w:rFonts w:hint="eastAsia" w:ascii="黑体" w:hAnsi="黑体" w:eastAsia="黑体" w:cs="黑体"/>
          <w:b w:val="0"/>
          <w:bCs w:val="0"/>
          <w:sz w:val="32"/>
          <w:szCs w:val="32"/>
          <w:lang w:val="en-US" w:eastAsia="zh-CN"/>
        </w:rPr>
        <w:t>1</w:t>
      </w:r>
    </w:p>
    <w:p>
      <w:pPr>
        <w:jc w:val="center"/>
        <w:rPr>
          <w:rFonts w:hint="eastAsia" w:ascii="方正小标宋简体" w:hAnsi="方正小标宋简体" w:eastAsia="方正小标宋简体" w:cs="方正小标宋简体"/>
          <w:b w:val="0"/>
          <w:bCs w:val="0"/>
          <w:sz w:val="44"/>
          <w:szCs w:val="44"/>
        </w:rPr>
      </w:pPr>
      <w:r>
        <w:rPr>
          <w:rFonts w:hint="eastAsia" w:ascii="方正小标宋简体" w:hAnsi="方正小标宋简体" w:eastAsia="方正小标宋简体" w:cs="方正小标宋简体"/>
          <w:b w:val="0"/>
          <w:bCs w:val="0"/>
          <w:sz w:val="44"/>
          <w:szCs w:val="44"/>
        </w:rPr>
        <w:t>广州市番禺区2024年度土地征收</w:t>
      </w:r>
    </w:p>
    <w:p>
      <w:pPr>
        <w:jc w:val="center"/>
        <w:rPr>
          <w:rFonts w:hint="eastAsia" w:ascii="方正小标宋简体" w:hAnsi="方正小标宋简体" w:eastAsia="方正小标宋简体" w:cs="方正小标宋简体"/>
          <w:b w:val="0"/>
          <w:bCs w:val="0"/>
          <w:sz w:val="44"/>
          <w:szCs w:val="44"/>
        </w:rPr>
      </w:pPr>
      <w:r>
        <w:rPr>
          <w:rFonts w:hint="eastAsia" w:ascii="方正小标宋简体" w:hAnsi="方正小标宋简体" w:eastAsia="方正小标宋简体" w:cs="方正小标宋简体"/>
          <w:b w:val="0"/>
          <w:bCs w:val="0"/>
          <w:sz w:val="44"/>
          <w:szCs w:val="44"/>
        </w:rPr>
        <w:t>成片开发方案（第二批）</w:t>
      </w:r>
    </w:p>
    <w:p>
      <w:pPr>
        <w:jc w:val="center"/>
        <w:rPr>
          <w:rFonts w:hint="eastAsia" w:ascii="仿宋_GB2312" w:hAnsi="仿宋_GB2312" w:eastAsia="仿宋_GB2312" w:cs="仿宋_GB2312"/>
          <w:b w:val="0"/>
          <w:bCs w:val="0"/>
          <w:sz w:val="32"/>
          <w:szCs w:val="32"/>
        </w:rPr>
      </w:pPr>
      <w:r>
        <w:rPr>
          <w:rFonts w:hint="eastAsia" w:ascii="仿宋_GB2312" w:hAnsi="仿宋_GB2312" w:eastAsia="仿宋_GB2312" w:cs="仿宋_GB2312"/>
          <w:b w:val="0"/>
          <w:bCs w:val="0"/>
          <w:sz w:val="32"/>
          <w:szCs w:val="32"/>
        </w:rPr>
        <w:t>（公示草案）</w:t>
      </w:r>
      <w:bookmarkStart w:id="1" w:name="_GoBack"/>
      <w:bookmarkEnd w:id="1"/>
    </w:p>
    <w:p>
      <w:pPr>
        <w:adjustRightInd w:val="0"/>
        <w:snapToGrid w:val="0"/>
        <w:spacing w:line="360" w:lineRule="auto"/>
        <w:outlineLvl w:val="0"/>
        <w:rPr>
          <w:rFonts w:ascii="Times New Roman" w:hAnsi="Times New Roman" w:eastAsia="仿宋" w:cs="Times New Roman"/>
          <w:b/>
          <w:bCs/>
          <w:sz w:val="30"/>
          <w:szCs w:val="30"/>
        </w:rPr>
      </w:pPr>
    </w:p>
    <w:p>
      <w:pPr>
        <w:adjustRightInd w:val="0"/>
        <w:snapToGrid w:val="0"/>
        <w:spacing w:line="360" w:lineRule="auto"/>
        <w:outlineLvl w:val="0"/>
        <w:rPr>
          <w:rFonts w:ascii="Times New Roman" w:hAnsi="Times New Roman" w:eastAsia="仿宋" w:cs="Times New Roman"/>
          <w:b/>
          <w:bCs/>
          <w:sz w:val="30"/>
          <w:szCs w:val="30"/>
        </w:rPr>
      </w:pPr>
      <w:r>
        <w:rPr>
          <w:rFonts w:ascii="Times New Roman" w:hAnsi="Times New Roman" w:eastAsia="仿宋" w:cs="Times New Roman"/>
          <w:b/>
          <w:bCs/>
          <w:sz w:val="30"/>
          <w:szCs w:val="30"/>
        </w:rPr>
        <w:t>一、编制依据</w:t>
      </w:r>
    </w:p>
    <w:p>
      <w:pPr>
        <w:adjustRightInd w:val="0"/>
        <w:snapToGrid w:val="0"/>
        <w:spacing w:line="360" w:lineRule="auto"/>
        <w:ind w:firstLine="560" w:firstLineChars="200"/>
        <w:rPr>
          <w:rFonts w:ascii="Times New Roman" w:hAnsi="Times New Roman" w:eastAsia="仿宋" w:cs="Times New Roman"/>
          <w:sz w:val="28"/>
          <w:szCs w:val="22"/>
        </w:rPr>
      </w:pPr>
      <w:r>
        <w:rPr>
          <w:rFonts w:ascii="Times New Roman" w:hAnsi="Times New Roman" w:eastAsia="仿宋" w:cs="Times New Roman"/>
          <w:sz w:val="28"/>
          <w:szCs w:val="22"/>
        </w:rPr>
        <w:t>依据《中华人民共和国土地管理法》（2019年修订）、</w:t>
      </w:r>
      <w:r>
        <w:rPr>
          <w:rFonts w:hint="eastAsia" w:ascii="Times New Roman" w:hAnsi="Times New Roman" w:eastAsia="仿宋" w:cs="Times New Roman"/>
          <w:sz w:val="28"/>
          <w:szCs w:val="22"/>
        </w:rPr>
        <w:t>《自然资源部关于印发&lt;土地征收成片开发标准&gt;的通知》（自然资规〔2023〕7号）</w:t>
      </w:r>
      <w:r>
        <w:rPr>
          <w:rFonts w:ascii="Times New Roman" w:hAnsi="Times New Roman" w:eastAsia="仿宋" w:cs="Times New Roman"/>
          <w:sz w:val="28"/>
          <w:szCs w:val="22"/>
        </w:rPr>
        <w:t>、《广东省自然资源厅关于规范土地征收成片开发工作的通知》（粤自然资发〔2021〕20号）等相关文件，编制《</w:t>
      </w:r>
      <w:bookmarkStart w:id="0" w:name="_Hlk129716212"/>
      <w:r>
        <w:rPr>
          <w:rFonts w:ascii="Times New Roman" w:hAnsi="Times New Roman" w:eastAsia="仿宋" w:cs="Times New Roman"/>
          <w:sz w:val="28"/>
          <w:szCs w:val="22"/>
        </w:rPr>
        <w:t>广州市番禺区2024年度土地征收成片开发方案（第二批）</w:t>
      </w:r>
      <w:bookmarkEnd w:id="0"/>
      <w:r>
        <w:rPr>
          <w:rFonts w:ascii="Times New Roman" w:hAnsi="Times New Roman" w:eastAsia="仿宋" w:cs="Times New Roman"/>
          <w:sz w:val="28"/>
          <w:szCs w:val="22"/>
        </w:rPr>
        <w:t>》。</w:t>
      </w:r>
    </w:p>
    <w:p>
      <w:pPr>
        <w:adjustRightInd w:val="0"/>
        <w:snapToGrid w:val="0"/>
        <w:spacing w:line="360" w:lineRule="auto"/>
        <w:outlineLvl w:val="0"/>
        <w:rPr>
          <w:rFonts w:ascii="Times New Roman" w:hAnsi="Times New Roman" w:eastAsia="仿宋" w:cs="Times New Roman"/>
          <w:b/>
          <w:bCs/>
          <w:sz w:val="30"/>
          <w:szCs w:val="30"/>
        </w:rPr>
      </w:pPr>
      <w:r>
        <w:rPr>
          <w:rFonts w:ascii="Times New Roman" w:hAnsi="Times New Roman" w:eastAsia="仿宋" w:cs="Times New Roman"/>
          <w:b/>
          <w:bCs/>
          <w:sz w:val="30"/>
          <w:szCs w:val="30"/>
        </w:rPr>
        <w:t>二、成片开发范围基本情况</w:t>
      </w:r>
    </w:p>
    <w:p>
      <w:pPr>
        <w:adjustRightInd w:val="0"/>
        <w:snapToGrid w:val="0"/>
        <w:spacing w:line="360" w:lineRule="auto"/>
        <w:ind w:firstLine="560" w:firstLineChars="200"/>
        <w:rPr>
          <w:rFonts w:ascii="Times New Roman" w:hAnsi="Times New Roman" w:eastAsia="仿宋" w:cs="Times New Roman"/>
          <w:sz w:val="28"/>
          <w:szCs w:val="22"/>
        </w:rPr>
      </w:pPr>
      <w:r>
        <w:rPr>
          <w:rFonts w:ascii="Times New Roman" w:hAnsi="Times New Roman" w:eastAsia="仿宋" w:cs="Times New Roman"/>
          <w:sz w:val="28"/>
          <w:szCs w:val="22"/>
        </w:rPr>
        <w:t>本次土地征收成片开发方案编制范围为番禺区行政区划范围内拟进行成片开发的区域。按照用地集约、创新引领、产业升维、品质再造等城市功能提升要求，结合番禺区土地征收工作安排，</w:t>
      </w:r>
      <w:r>
        <w:rPr>
          <w:rFonts w:hint="eastAsia" w:ascii="Times New Roman" w:hAnsi="Times New Roman" w:eastAsia="仿宋" w:cs="Times New Roman"/>
          <w:sz w:val="28"/>
          <w:szCs w:val="22"/>
        </w:rPr>
        <w:t>共划定8个成片开发范围，片区总面积为65.3751公顷</w:t>
      </w:r>
      <w:r>
        <w:rPr>
          <w:rFonts w:ascii="Times New Roman" w:hAnsi="Times New Roman" w:eastAsia="仿宋" w:cs="Times New Roman"/>
          <w:sz w:val="28"/>
          <w:szCs w:val="22"/>
        </w:rPr>
        <w:t>，分别为</w:t>
      </w:r>
      <w:r>
        <w:rPr>
          <w:rFonts w:hint="eastAsia" w:ascii="Times New Roman" w:hAnsi="Times New Roman" w:eastAsia="仿宋" w:cs="Times New Roman"/>
          <w:sz w:val="28"/>
          <w:szCs w:val="22"/>
        </w:rPr>
        <w:t>南村镇里仁洞村片区一~六，石碁镇南浦村片区一、二</w:t>
      </w:r>
      <w:r>
        <w:rPr>
          <w:rFonts w:ascii="Times New Roman" w:hAnsi="Times New Roman" w:eastAsia="仿宋" w:cs="Times New Roman"/>
          <w:sz w:val="28"/>
          <w:szCs w:val="22"/>
        </w:rPr>
        <w:t>；拟安排建设1</w:t>
      </w:r>
      <w:r>
        <w:rPr>
          <w:rFonts w:hint="eastAsia" w:ascii="Times New Roman" w:hAnsi="Times New Roman" w:eastAsia="仿宋" w:cs="Times New Roman"/>
          <w:sz w:val="28"/>
          <w:szCs w:val="22"/>
        </w:rPr>
        <w:t>3</w:t>
      </w:r>
      <w:r>
        <w:rPr>
          <w:rFonts w:ascii="Times New Roman" w:hAnsi="Times New Roman" w:eastAsia="仿宋" w:cs="Times New Roman"/>
          <w:sz w:val="28"/>
          <w:szCs w:val="22"/>
        </w:rPr>
        <w:t>个项目，项目总面积60.2769公顷。拟安排的建设项目占成片开发范围面积的比例满足不低于60%要求。各片区面积、位置，拟安排的建设项目面积等详见下表：</w:t>
      </w:r>
    </w:p>
    <w:p>
      <w:pPr>
        <w:adjustRightInd w:val="0"/>
        <w:snapToGrid w:val="0"/>
        <w:spacing w:line="360" w:lineRule="auto"/>
        <w:jc w:val="center"/>
        <w:rPr>
          <w:rFonts w:ascii="Times New Roman" w:hAnsi="Times New Roman" w:eastAsia="仿宋" w:cs="Times New Roman"/>
          <w:b/>
          <w:sz w:val="28"/>
          <w:szCs w:val="22"/>
        </w:rPr>
      </w:pPr>
      <w:r>
        <w:rPr>
          <w:rFonts w:hint="eastAsia" w:ascii="Times New Roman" w:hAnsi="Times New Roman" w:eastAsia="仿宋" w:cs="Times New Roman"/>
          <w:b/>
          <w:sz w:val="28"/>
          <w:szCs w:val="22"/>
        </w:rPr>
        <w:t>表1：成片开发区基本情况表</w:t>
      </w:r>
    </w:p>
    <w:tbl>
      <w:tblPr>
        <w:tblStyle w:val="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72"/>
        <w:gridCol w:w="1170"/>
        <w:gridCol w:w="816"/>
        <w:gridCol w:w="1615"/>
        <w:gridCol w:w="1125"/>
        <w:gridCol w:w="1116"/>
        <w:gridCol w:w="10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1372" w:type="dxa"/>
            <w:vMerge w:val="restart"/>
            <w:shd w:val="clear" w:color="auto" w:fill="auto"/>
            <w:vAlign w:val="center"/>
          </w:tcPr>
          <w:p>
            <w:pPr>
              <w:widowControl/>
              <w:adjustRightInd w:val="0"/>
              <w:snapToGrid w:val="0"/>
              <w:jc w:val="center"/>
              <w:rPr>
                <w:rFonts w:ascii="仿宋" w:hAnsi="仿宋" w:eastAsia="仿宋" w:cs="宋体"/>
                <w:b/>
                <w:bCs/>
                <w:color w:val="000000"/>
                <w:kern w:val="0"/>
                <w:szCs w:val="21"/>
              </w:rPr>
            </w:pPr>
            <w:r>
              <w:rPr>
                <w:rFonts w:hint="eastAsia" w:ascii="仿宋" w:hAnsi="仿宋" w:eastAsia="仿宋" w:cs="宋体"/>
                <w:b/>
                <w:bCs/>
                <w:color w:val="000000"/>
                <w:kern w:val="0"/>
                <w:szCs w:val="21"/>
              </w:rPr>
              <w:t>片区名称</w:t>
            </w:r>
          </w:p>
        </w:tc>
        <w:tc>
          <w:tcPr>
            <w:tcW w:w="1170" w:type="dxa"/>
            <w:vMerge w:val="restart"/>
            <w:shd w:val="clear" w:color="auto" w:fill="auto"/>
            <w:vAlign w:val="center"/>
          </w:tcPr>
          <w:p>
            <w:pPr>
              <w:widowControl/>
              <w:adjustRightInd w:val="0"/>
              <w:snapToGrid w:val="0"/>
              <w:jc w:val="center"/>
              <w:rPr>
                <w:rFonts w:ascii="仿宋" w:hAnsi="仿宋" w:eastAsia="仿宋" w:cs="宋体"/>
                <w:b/>
                <w:bCs/>
                <w:color w:val="000000"/>
                <w:kern w:val="0"/>
                <w:szCs w:val="21"/>
              </w:rPr>
            </w:pPr>
            <w:r>
              <w:rPr>
                <w:rFonts w:hint="eastAsia" w:ascii="仿宋" w:hAnsi="仿宋" w:eastAsia="仿宋" w:cs="宋体"/>
                <w:b/>
                <w:bCs/>
                <w:color w:val="000000"/>
                <w:kern w:val="0"/>
                <w:szCs w:val="21"/>
              </w:rPr>
              <w:t>成片开发范围面积（公顷）</w:t>
            </w:r>
          </w:p>
        </w:tc>
        <w:tc>
          <w:tcPr>
            <w:tcW w:w="816" w:type="dxa"/>
            <w:vMerge w:val="restart"/>
            <w:shd w:val="clear" w:color="auto" w:fill="auto"/>
            <w:vAlign w:val="center"/>
          </w:tcPr>
          <w:p>
            <w:pPr>
              <w:widowControl/>
              <w:adjustRightInd w:val="0"/>
              <w:snapToGrid w:val="0"/>
              <w:jc w:val="center"/>
              <w:rPr>
                <w:rFonts w:ascii="仿宋" w:hAnsi="仿宋" w:eastAsia="仿宋" w:cs="宋体"/>
                <w:b/>
                <w:bCs/>
                <w:color w:val="000000"/>
                <w:kern w:val="0"/>
                <w:szCs w:val="21"/>
              </w:rPr>
            </w:pPr>
            <w:r>
              <w:rPr>
                <w:rFonts w:hint="eastAsia" w:ascii="仿宋" w:hAnsi="仿宋" w:eastAsia="仿宋" w:cs="宋体"/>
                <w:b/>
                <w:bCs/>
                <w:color w:val="000000"/>
                <w:kern w:val="0"/>
                <w:szCs w:val="21"/>
              </w:rPr>
              <w:t>成片开发范围位置</w:t>
            </w:r>
          </w:p>
        </w:tc>
        <w:tc>
          <w:tcPr>
            <w:tcW w:w="1615" w:type="dxa"/>
            <w:vMerge w:val="restart"/>
            <w:shd w:val="clear" w:color="auto" w:fill="auto"/>
            <w:vAlign w:val="center"/>
          </w:tcPr>
          <w:p>
            <w:pPr>
              <w:widowControl/>
              <w:adjustRightInd w:val="0"/>
              <w:snapToGrid w:val="0"/>
              <w:jc w:val="center"/>
              <w:rPr>
                <w:rFonts w:ascii="仿宋" w:hAnsi="仿宋" w:eastAsia="仿宋" w:cs="宋体"/>
                <w:b/>
                <w:bCs/>
                <w:color w:val="000000"/>
                <w:kern w:val="0"/>
                <w:szCs w:val="21"/>
              </w:rPr>
            </w:pPr>
            <w:r>
              <w:rPr>
                <w:rFonts w:hint="eastAsia" w:ascii="仿宋" w:hAnsi="仿宋" w:eastAsia="仿宋" w:cs="宋体"/>
                <w:b/>
                <w:bCs/>
                <w:color w:val="000000"/>
                <w:kern w:val="0"/>
                <w:szCs w:val="21"/>
              </w:rPr>
              <w:t>拟安排的建设项目名称</w:t>
            </w:r>
          </w:p>
        </w:tc>
        <w:tc>
          <w:tcPr>
            <w:tcW w:w="3313" w:type="dxa"/>
            <w:gridSpan w:val="3"/>
            <w:shd w:val="clear" w:color="auto" w:fill="auto"/>
            <w:vAlign w:val="center"/>
          </w:tcPr>
          <w:p>
            <w:pPr>
              <w:widowControl/>
              <w:adjustRightInd w:val="0"/>
              <w:snapToGrid w:val="0"/>
              <w:jc w:val="center"/>
              <w:rPr>
                <w:rFonts w:ascii="仿宋" w:hAnsi="仿宋" w:eastAsia="仿宋" w:cs="宋体"/>
                <w:b/>
                <w:bCs/>
                <w:color w:val="000000"/>
                <w:kern w:val="0"/>
                <w:szCs w:val="21"/>
              </w:rPr>
            </w:pPr>
            <w:r>
              <w:rPr>
                <w:rFonts w:hint="eastAsia" w:ascii="仿宋" w:hAnsi="仿宋" w:eastAsia="仿宋" w:cs="宋体"/>
                <w:b/>
                <w:bCs/>
                <w:color w:val="000000"/>
                <w:kern w:val="0"/>
                <w:szCs w:val="21"/>
              </w:rPr>
              <w:t>拟安排的建设项目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blHeader/>
        </w:trPr>
        <w:tc>
          <w:tcPr>
            <w:tcW w:w="1372" w:type="dxa"/>
            <w:vMerge w:val="continue"/>
            <w:vAlign w:val="center"/>
          </w:tcPr>
          <w:p>
            <w:pPr>
              <w:widowControl/>
              <w:adjustRightInd w:val="0"/>
              <w:snapToGrid w:val="0"/>
              <w:jc w:val="left"/>
              <w:rPr>
                <w:rFonts w:ascii="仿宋" w:hAnsi="仿宋" w:eastAsia="仿宋" w:cs="宋体"/>
                <w:b/>
                <w:bCs/>
                <w:color w:val="000000"/>
                <w:kern w:val="0"/>
                <w:szCs w:val="21"/>
              </w:rPr>
            </w:pPr>
          </w:p>
        </w:tc>
        <w:tc>
          <w:tcPr>
            <w:tcW w:w="1170" w:type="dxa"/>
            <w:vMerge w:val="continue"/>
            <w:vAlign w:val="center"/>
          </w:tcPr>
          <w:p>
            <w:pPr>
              <w:widowControl/>
              <w:adjustRightInd w:val="0"/>
              <w:snapToGrid w:val="0"/>
              <w:jc w:val="left"/>
              <w:rPr>
                <w:rFonts w:ascii="仿宋" w:hAnsi="仿宋" w:eastAsia="仿宋" w:cs="宋体"/>
                <w:b/>
                <w:bCs/>
                <w:color w:val="000000"/>
                <w:kern w:val="0"/>
                <w:szCs w:val="21"/>
              </w:rPr>
            </w:pPr>
          </w:p>
        </w:tc>
        <w:tc>
          <w:tcPr>
            <w:tcW w:w="816" w:type="dxa"/>
            <w:vMerge w:val="continue"/>
            <w:vAlign w:val="center"/>
          </w:tcPr>
          <w:p>
            <w:pPr>
              <w:widowControl/>
              <w:adjustRightInd w:val="0"/>
              <w:snapToGrid w:val="0"/>
              <w:jc w:val="left"/>
              <w:rPr>
                <w:rFonts w:ascii="仿宋" w:hAnsi="仿宋" w:eastAsia="仿宋" w:cs="宋体"/>
                <w:b/>
                <w:bCs/>
                <w:color w:val="000000"/>
                <w:kern w:val="0"/>
                <w:szCs w:val="21"/>
              </w:rPr>
            </w:pPr>
          </w:p>
        </w:tc>
        <w:tc>
          <w:tcPr>
            <w:tcW w:w="1615" w:type="dxa"/>
            <w:vMerge w:val="continue"/>
            <w:vAlign w:val="center"/>
          </w:tcPr>
          <w:p>
            <w:pPr>
              <w:widowControl/>
              <w:adjustRightInd w:val="0"/>
              <w:snapToGrid w:val="0"/>
              <w:jc w:val="left"/>
              <w:rPr>
                <w:rFonts w:ascii="仿宋" w:hAnsi="仿宋" w:eastAsia="仿宋" w:cs="宋体"/>
                <w:b/>
                <w:bCs/>
                <w:color w:val="000000"/>
                <w:kern w:val="0"/>
                <w:szCs w:val="21"/>
              </w:rPr>
            </w:pPr>
          </w:p>
        </w:tc>
        <w:tc>
          <w:tcPr>
            <w:tcW w:w="1125" w:type="dxa"/>
            <w:vMerge w:val="restart"/>
            <w:shd w:val="clear" w:color="auto" w:fill="auto"/>
            <w:vAlign w:val="center"/>
          </w:tcPr>
          <w:p>
            <w:pPr>
              <w:widowControl/>
              <w:adjustRightInd w:val="0"/>
              <w:snapToGrid w:val="0"/>
              <w:jc w:val="center"/>
              <w:rPr>
                <w:rFonts w:ascii="仿宋" w:hAnsi="仿宋" w:eastAsia="仿宋" w:cs="宋体"/>
                <w:b/>
                <w:bCs/>
                <w:color w:val="000000"/>
                <w:kern w:val="0"/>
                <w:szCs w:val="21"/>
              </w:rPr>
            </w:pPr>
            <w:r>
              <w:rPr>
                <w:rFonts w:hint="eastAsia" w:ascii="仿宋" w:hAnsi="仿宋" w:eastAsia="仿宋" w:cs="宋体"/>
                <w:b/>
                <w:bCs/>
                <w:color w:val="000000"/>
                <w:kern w:val="0"/>
                <w:szCs w:val="21"/>
              </w:rPr>
              <w:t>项目面积（公顷）</w:t>
            </w:r>
          </w:p>
        </w:tc>
        <w:tc>
          <w:tcPr>
            <w:tcW w:w="1116" w:type="dxa"/>
            <w:vMerge w:val="restart"/>
            <w:shd w:val="clear" w:color="auto" w:fill="auto"/>
            <w:vAlign w:val="center"/>
          </w:tcPr>
          <w:p>
            <w:pPr>
              <w:widowControl/>
              <w:adjustRightInd w:val="0"/>
              <w:snapToGrid w:val="0"/>
              <w:jc w:val="center"/>
              <w:rPr>
                <w:rFonts w:ascii="仿宋" w:hAnsi="仿宋" w:eastAsia="仿宋" w:cs="宋体"/>
                <w:b/>
                <w:bCs/>
                <w:color w:val="000000"/>
                <w:kern w:val="0"/>
                <w:szCs w:val="21"/>
              </w:rPr>
            </w:pPr>
            <w:r>
              <w:rPr>
                <w:rFonts w:hint="eastAsia" w:ascii="仿宋" w:hAnsi="仿宋" w:eastAsia="仿宋" w:cs="宋体"/>
                <w:b/>
                <w:bCs/>
                <w:color w:val="000000"/>
                <w:kern w:val="0"/>
                <w:szCs w:val="21"/>
              </w:rPr>
              <w:t>面积</w:t>
            </w:r>
          </w:p>
          <w:p>
            <w:pPr>
              <w:widowControl/>
              <w:adjustRightInd w:val="0"/>
              <w:snapToGrid w:val="0"/>
              <w:jc w:val="center"/>
              <w:rPr>
                <w:rFonts w:ascii="仿宋" w:hAnsi="仿宋" w:eastAsia="仿宋" w:cs="宋体"/>
                <w:b/>
                <w:bCs/>
                <w:color w:val="000000"/>
                <w:kern w:val="0"/>
                <w:szCs w:val="21"/>
              </w:rPr>
            </w:pPr>
            <w:r>
              <w:rPr>
                <w:rFonts w:hint="eastAsia" w:ascii="仿宋" w:hAnsi="仿宋" w:eastAsia="仿宋" w:cs="宋体"/>
                <w:b/>
                <w:bCs/>
                <w:color w:val="000000"/>
                <w:kern w:val="0"/>
                <w:szCs w:val="21"/>
              </w:rPr>
              <w:t>（公顷）</w:t>
            </w:r>
          </w:p>
        </w:tc>
        <w:tc>
          <w:tcPr>
            <w:tcW w:w="1072" w:type="dxa"/>
            <w:vMerge w:val="restart"/>
            <w:shd w:val="clear" w:color="auto" w:fill="auto"/>
            <w:vAlign w:val="center"/>
          </w:tcPr>
          <w:p>
            <w:pPr>
              <w:widowControl/>
              <w:adjustRightInd w:val="0"/>
              <w:snapToGrid w:val="0"/>
              <w:jc w:val="center"/>
              <w:rPr>
                <w:rFonts w:ascii="仿宋" w:hAnsi="仿宋" w:eastAsia="仿宋" w:cs="宋体"/>
                <w:b/>
                <w:bCs/>
                <w:color w:val="000000"/>
                <w:kern w:val="0"/>
                <w:szCs w:val="21"/>
              </w:rPr>
            </w:pPr>
            <w:r>
              <w:rPr>
                <w:rFonts w:hint="eastAsia" w:ascii="仿宋" w:hAnsi="仿宋" w:eastAsia="仿宋" w:cs="宋体"/>
                <w:b/>
                <w:bCs/>
                <w:color w:val="000000"/>
                <w:kern w:val="0"/>
                <w:szCs w:val="21"/>
              </w:rPr>
              <w:t>占成片开发范围面积的比例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blHeader/>
        </w:trPr>
        <w:tc>
          <w:tcPr>
            <w:tcW w:w="1372" w:type="dxa"/>
            <w:vMerge w:val="continue"/>
            <w:vAlign w:val="center"/>
          </w:tcPr>
          <w:p>
            <w:pPr>
              <w:widowControl/>
              <w:adjustRightInd w:val="0"/>
              <w:snapToGrid w:val="0"/>
              <w:jc w:val="left"/>
              <w:rPr>
                <w:rFonts w:ascii="仿宋" w:hAnsi="仿宋" w:eastAsia="仿宋" w:cs="宋体"/>
                <w:b/>
                <w:bCs/>
                <w:color w:val="000000"/>
                <w:kern w:val="0"/>
                <w:szCs w:val="21"/>
              </w:rPr>
            </w:pPr>
          </w:p>
        </w:tc>
        <w:tc>
          <w:tcPr>
            <w:tcW w:w="1170" w:type="dxa"/>
            <w:vMerge w:val="continue"/>
            <w:vAlign w:val="center"/>
          </w:tcPr>
          <w:p>
            <w:pPr>
              <w:widowControl/>
              <w:adjustRightInd w:val="0"/>
              <w:snapToGrid w:val="0"/>
              <w:jc w:val="left"/>
              <w:rPr>
                <w:rFonts w:ascii="仿宋" w:hAnsi="仿宋" w:eastAsia="仿宋" w:cs="宋体"/>
                <w:b/>
                <w:bCs/>
                <w:color w:val="000000"/>
                <w:kern w:val="0"/>
                <w:szCs w:val="21"/>
              </w:rPr>
            </w:pPr>
          </w:p>
        </w:tc>
        <w:tc>
          <w:tcPr>
            <w:tcW w:w="816" w:type="dxa"/>
            <w:vMerge w:val="continue"/>
            <w:vAlign w:val="center"/>
          </w:tcPr>
          <w:p>
            <w:pPr>
              <w:widowControl/>
              <w:adjustRightInd w:val="0"/>
              <w:snapToGrid w:val="0"/>
              <w:jc w:val="left"/>
              <w:rPr>
                <w:rFonts w:ascii="仿宋" w:hAnsi="仿宋" w:eastAsia="仿宋" w:cs="宋体"/>
                <w:b/>
                <w:bCs/>
                <w:color w:val="000000"/>
                <w:kern w:val="0"/>
                <w:szCs w:val="21"/>
              </w:rPr>
            </w:pPr>
          </w:p>
        </w:tc>
        <w:tc>
          <w:tcPr>
            <w:tcW w:w="1615" w:type="dxa"/>
            <w:vMerge w:val="continue"/>
            <w:vAlign w:val="center"/>
          </w:tcPr>
          <w:p>
            <w:pPr>
              <w:widowControl/>
              <w:adjustRightInd w:val="0"/>
              <w:snapToGrid w:val="0"/>
              <w:jc w:val="left"/>
              <w:rPr>
                <w:rFonts w:ascii="仿宋" w:hAnsi="仿宋" w:eastAsia="仿宋" w:cs="宋体"/>
                <w:b/>
                <w:bCs/>
                <w:color w:val="000000"/>
                <w:kern w:val="0"/>
                <w:szCs w:val="21"/>
              </w:rPr>
            </w:pPr>
          </w:p>
        </w:tc>
        <w:tc>
          <w:tcPr>
            <w:tcW w:w="1125" w:type="dxa"/>
            <w:vMerge w:val="continue"/>
            <w:vAlign w:val="center"/>
          </w:tcPr>
          <w:p>
            <w:pPr>
              <w:widowControl/>
              <w:adjustRightInd w:val="0"/>
              <w:snapToGrid w:val="0"/>
              <w:jc w:val="left"/>
              <w:rPr>
                <w:rFonts w:ascii="仿宋" w:hAnsi="仿宋" w:eastAsia="仿宋" w:cs="宋体"/>
                <w:b/>
                <w:bCs/>
                <w:color w:val="000000"/>
                <w:kern w:val="0"/>
                <w:szCs w:val="21"/>
              </w:rPr>
            </w:pPr>
          </w:p>
        </w:tc>
        <w:tc>
          <w:tcPr>
            <w:tcW w:w="1116" w:type="dxa"/>
            <w:vMerge w:val="continue"/>
            <w:vAlign w:val="center"/>
          </w:tcPr>
          <w:p>
            <w:pPr>
              <w:widowControl/>
              <w:adjustRightInd w:val="0"/>
              <w:snapToGrid w:val="0"/>
              <w:jc w:val="left"/>
              <w:rPr>
                <w:rFonts w:ascii="仿宋" w:hAnsi="仿宋" w:eastAsia="仿宋" w:cs="宋体"/>
                <w:b/>
                <w:bCs/>
                <w:color w:val="000000"/>
                <w:kern w:val="0"/>
                <w:szCs w:val="21"/>
              </w:rPr>
            </w:pPr>
          </w:p>
        </w:tc>
        <w:tc>
          <w:tcPr>
            <w:tcW w:w="1072" w:type="dxa"/>
            <w:vMerge w:val="continue"/>
            <w:vAlign w:val="center"/>
          </w:tcPr>
          <w:p>
            <w:pPr>
              <w:widowControl/>
              <w:adjustRightInd w:val="0"/>
              <w:snapToGrid w:val="0"/>
              <w:jc w:val="left"/>
              <w:rPr>
                <w:rFonts w:ascii="仿宋" w:hAnsi="仿宋" w:eastAsia="仿宋" w:cs="宋体"/>
                <w:b/>
                <w:bCs/>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blHeader/>
        </w:trPr>
        <w:tc>
          <w:tcPr>
            <w:tcW w:w="1372" w:type="dxa"/>
            <w:vMerge w:val="continue"/>
            <w:vAlign w:val="center"/>
          </w:tcPr>
          <w:p>
            <w:pPr>
              <w:widowControl/>
              <w:adjustRightInd w:val="0"/>
              <w:snapToGrid w:val="0"/>
              <w:jc w:val="left"/>
              <w:rPr>
                <w:rFonts w:ascii="仿宋" w:hAnsi="仿宋" w:eastAsia="仿宋" w:cs="宋体"/>
                <w:b/>
                <w:bCs/>
                <w:color w:val="000000"/>
                <w:kern w:val="0"/>
                <w:szCs w:val="21"/>
              </w:rPr>
            </w:pPr>
          </w:p>
        </w:tc>
        <w:tc>
          <w:tcPr>
            <w:tcW w:w="1170" w:type="dxa"/>
            <w:vMerge w:val="continue"/>
            <w:vAlign w:val="center"/>
          </w:tcPr>
          <w:p>
            <w:pPr>
              <w:widowControl/>
              <w:adjustRightInd w:val="0"/>
              <w:snapToGrid w:val="0"/>
              <w:jc w:val="left"/>
              <w:rPr>
                <w:rFonts w:ascii="仿宋" w:hAnsi="仿宋" w:eastAsia="仿宋" w:cs="宋体"/>
                <w:b/>
                <w:bCs/>
                <w:color w:val="000000"/>
                <w:kern w:val="0"/>
                <w:szCs w:val="21"/>
              </w:rPr>
            </w:pPr>
          </w:p>
        </w:tc>
        <w:tc>
          <w:tcPr>
            <w:tcW w:w="816" w:type="dxa"/>
            <w:vMerge w:val="continue"/>
            <w:vAlign w:val="center"/>
          </w:tcPr>
          <w:p>
            <w:pPr>
              <w:widowControl/>
              <w:adjustRightInd w:val="0"/>
              <w:snapToGrid w:val="0"/>
              <w:jc w:val="left"/>
              <w:rPr>
                <w:rFonts w:ascii="仿宋" w:hAnsi="仿宋" w:eastAsia="仿宋" w:cs="宋体"/>
                <w:b/>
                <w:bCs/>
                <w:color w:val="000000"/>
                <w:kern w:val="0"/>
                <w:szCs w:val="21"/>
              </w:rPr>
            </w:pPr>
          </w:p>
        </w:tc>
        <w:tc>
          <w:tcPr>
            <w:tcW w:w="1615" w:type="dxa"/>
            <w:vMerge w:val="continue"/>
            <w:vAlign w:val="center"/>
          </w:tcPr>
          <w:p>
            <w:pPr>
              <w:widowControl/>
              <w:adjustRightInd w:val="0"/>
              <w:snapToGrid w:val="0"/>
              <w:jc w:val="left"/>
              <w:rPr>
                <w:rFonts w:ascii="仿宋" w:hAnsi="仿宋" w:eastAsia="仿宋" w:cs="宋体"/>
                <w:b/>
                <w:bCs/>
                <w:color w:val="000000"/>
                <w:kern w:val="0"/>
                <w:szCs w:val="21"/>
              </w:rPr>
            </w:pPr>
          </w:p>
        </w:tc>
        <w:tc>
          <w:tcPr>
            <w:tcW w:w="1125" w:type="dxa"/>
            <w:vMerge w:val="continue"/>
            <w:vAlign w:val="center"/>
          </w:tcPr>
          <w:p>
            <w:pPr>
              <w:widowControl/>
              <w:adjustRightInd w:val="0"/>
              <w:snapToGrid w:val="0"/>
              <w:jc w:val="left"/>
              <w:rPr>
                <w:rFonts w:ascii="仿宋" w:hAnsi="仿宋" w:eastAsia="仿宋" w:cs="宋体"/>
                <w:b/>
                <w:bCs/>
                <w:color w:val="000000"/>
                <w:kern w:val="0"/>
                <w:szCs w:val="21"/>
              </w:rPr>
            </w:pPr>
          </w:p>
        </w:tc>
        <w:tc>
          <w:tcPr>
            <w:tcW w:w="1116" w:type="dxa"/>
            <w:shd w:val="clear" w:color="auto" w:fill="auto"/>
            <w:vAlign w:val="center"/>
          </w:tcPr>
          <w:p>
            <w:pPr>
              <w:widowControl/>
              <w:adjustRightInd w:val="0"/>
              <w:snapToGrid w:val="0"/>
              <w:jc w:val="center"/>
              <w:rPr>
                <w:rFonts w:ascii="仿宋" w:hAnsi="仿宋" w:eastAsia="仿宋" w:cs="宋体"/>
                <w:b/>
                <w:bCs/>
                <w:color w:val="000000"/>
                <w:kern w:val="0"/>
                <w:szCs w:val="21"/>
              </w:rPr>
            </w:pPr>
            <w:r>
              <w:rPr>
                <w:rFonts w:hint="eastAsia" w:ascii="仿宋" w:hAnsi="仿宋" w:eastAsia="仿宋" w:cs="宋体"/>
                <w:b/>
                <w:bCs/>
                <w:color w:val="000000"/>
                <w:kern w:val="0"/>
                <w:szCs w:val="21"/>
              </w:rPr>
              <w:t>小计</w:t>
            </w:r>
          </w:p>
        </w:tc>
        <w:tc>
          <w:tcPr>
            <w:tcW w:w="1072" w:type="dxa"/>
            <w:vMerge w:val="continue"/>
            <w:vAlign w:val="center"/>
          </w:tcPr>
          <w:p>
            <w:pPr>
              <w:widowControl/>
              <w:adjustRightInd w:val="0"/>
              <w:snapToGrid w:val="0"/>
              <w:jc w:val="left"/>
              <w:rPr>
                <w:rFonts w:ascii="仿宋" w:hAnsi="仿宋" w:eastAsia="仿宋" w:cs="宋体"/>
                <w:b/>
                <w:bCs/>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72" w:type="dxa"/>
            <w:vMerge w:val="restart"/>
            <w:shd w:val="clear" w:color="auto" w:fill="auto"/>
            <w:vAlign w:val="center"/>
          </w:tcPr>
          <w:p>
            <w:pPr>
              <w:widowControl/>
              <w:adjustRightInd w:val="0"/>
              <w:snapToGrid w:val="0"/>
              <w:jc w:val="center"/>
              <w:rPr>
                <w:rFonts w:ascii="仿宋" w:hAnsi="仿宋" w:eastAsia="仿宋" w:cs="宋体"/>
                <w:color w:val="000000"/>
                <w:kern w:val="0"/>
                <w:szCs w:val="21"/>
              </w:rPr>
            </w:pPr>
            <w:r>
              <w:rPr>
                <w:rFonts w:hint="eastAsia" w:ascii="仿宋" w:hAnsi="仿宋" w:eastAsia="仿宋" w:cs="宋体"/>
                <w:color w:val="000000"/>
                <w:kern w:val="0"/>
                <w:szCs w:val="21"/>
              </w:rPr>
              <w:t>南村镇里仁洞村片区一</w:t>
            </w:r>
          </w:p>
        </w:tc>
        <w:tc>
          <w:tcPr>
            <w:tcW w:w="1170" w:type="dxa"/>
            <w:vMerge w:val="restart"/>
            <w:shd w:val="clear" w:color="auto" w:fill="auto"/>
            <w:vAlign w:val="center"/>
          </w:tcPr>
          <w:p>
            <w:pPr>
              <w:widowControl/>
              <w:adjustRightInd w:val="0"/>
              <w:snapToGrid w:val="0"/>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28.1725</w:t>
            </w:r>
          </w:p>
        </w:tc>
        <w:tc>
          <w:tcPr>
            <w:tcW w:w="816" w:type="dxa"/>
            <w:vMerge w:val="restart"/>
            <w:shd w:val="clear" w:color="auto" w:fill="auto"/>
            <w:vAlign w:val="center"/>
          </w:tcPr>
          <w:p>
            <w:pPr>
              <w:widowControl/>
              <w:adjustRightInd w:val="0"/>
              <w:snapToGrid w:val="0"/>
              <w:jc w:val="center"/>
              <w:rPr>
                <w:rFonts w:ascii="仿宋" w:hAnsi="仿宋" w:eastAsia="仿宋" w:cs="宋体"/>
                <w:color w:val="000000"/>
                <w:kern w:val="0"/>
                <w:szCs w:val="21"/>
              </w:rPr>
            </w:pPr>
            <w:r>
              <w:rPr>
                <w:rFonts w:hint="eastAsia" w:ascii="仿宋" w:hAnsi="仿宋" w:eastAsia="仿宋" w:cs="宋体"/>
                <w:color w:val="000000"/>
                <w:kern w:val="0"/>
                <w:szCs w:val="21"/>
              </w:rPr>
              <w:t>南村镇里仁洞村</w:t>
            </w:r>
          </w:p>
        </w:tc>
        <w:tc>
          <w:tcPr>
            <w:tcW w:w="1615" w:type="dxa"/>
            <w:shd w:val="clear" w:color="auto" w:fill="auto"/>
            <w:vAlign w:val="center"/>
          </w:tcPr>
          <w:p>
            <w:pPr>
              <w:widowControl/>
              <w:adjustRightInd w:val="0"/>
              <w:snapToGrid w:val="0"/>
              <w:jc w:val="center"/>
              <w:rPr>
                <w:rFonts w:ascii="仿宋" w:hAnsi="仿宋" w:eastAsia="仿宋" w:cs="宋体"/>
                <w:color w:val="000000"/>
                <w:kern w:val="0"/>
                <w:szCs w:val="21"/>
              </w:rPr>
            </w:pPr>
            <w:r>
              <w:rPr>
                <w:rFonts w:hint="eastAsia" w:ascii="仿宋" w:hAnsi="仿宋" w:eastAsia="仿宋" w:cs="宋体"/>
                <w:color w:val="000000"/>
                <w:kern w:val="0"/>
                <w:szCs w:val="21"/>
              </w:rPr>
              <w:t>里仁洞更新改造项目</w:t>
            </w:r>
            <w:r>
              <w:rPr>
                <w:rFonts w:ascii="Times New Roman" w:hAnsi="Times New Roman" w:eastAsia="仿宋" w:cs="Times New Roman"/>
                <w:color w:val="000000"/>
                <w:kern w:val="0"/>
                <w:szCs w:val="21"/>
              </w:rPr>
              <w:t>1</w:t>
            </w:r>
          </w:p>
        </w:tc>
        <w:tc>
          <w:tcPr>
            <w:tcW w:w="1125" w:type="dxa"/>
            <w:shd w:val="clear" w:color="auto" w:fill="auto"/>
            <w:vAlign w:val="center"/>
          </w:tcPr>
          <w:p>
            <w:pPr>
              <w:widowControl/>
              <w:adjustRightInd w:val="0"/>
              <w:snapToGrid w:val="0"/>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8.9746</w:t>
            </w:r>
          </w:p>
        </w:tc>
        <w:tc>
          <w:tcPr>
            <w:tcW w:w="1116" w:type="dxa"/>
            <w:vMerge w:val="restart"/>
            <w:shd w:val="clear" w:color="auto" w:fill="auto"/>
            <w:vAlign w:val="center"/>
          </w:tcPr>
          <w:p>
            <w:pPr>
              <w:widowControl/>
              <w:adjustRightInd w:val="0"/>
              <w:snapToGrid w:val="0"/>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28.1725</w:t>
            </w:r>
          </w:p>
        </w:tc>
        <w:tc>
          <w:tcPr>
            <w:tcW w:w="1072" w:type="dxa"/>
            <w:vMerge w:val="restart"/>
            <w:shd w:val="clear" w:color="auto" w:fill="auto"/>
            <w:vAlign w:val="center"/>
          </w:tcPr>
          <w:p>
            <w:pPr>
              <w:widowControl/>
              <w:adjustRightInd w:val="0"/>
              <w:snapToGrid w:val="0"/>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72" w:type="dxa"/>
            <w:vMerge w:val="continue"/>
            <w:vAlign w:val="center"/>
          </w:tcPr>
          <w:p>
            <w:pPr>
              <w:widowControl/>
              <w:adjustRightInd w:val="0"/>
              <w:snapToGrid w:val="0"/>
              <w:jc w:val="left"/>
              <w:rPr>
                <w:rFonts w:ascii="仿宋" w:hAnsi="仿宋" w:eastAsia="仿宋" w:cs="宋体"/>
                <w:color w:val="000000"/>
                <w:kern w:val="0"/>
                <w:szCs w:val="21"/>
              </w:rPr>
            </w:pPr>
          </w:p>
        </w:tc>
        <w:tc>
          <w:tcPr>
            <w:tcW w:w="1170" w:type="dxa"/>
            <w:vMerge w:val="continue"/>
            <w:vAlign w:val="center"/>
          </w:tcPr>
          <w:p>
            <w:pPr>
              <w:widowControl/>
              <w:adjustRightInd w:val="0"/>
              <w:snapToGrid w:val="0"/>
              <w:jc w:val="left"/>
              <w:rPr>
                <w:rFonts w:ascii="Times New Roman" w:hAnsi="Times New Roman" w:eastAsia="等线" w:cs="Times New Roman"/>
                <w:color w:val="000000"/>
                <w:kern w:val="0"/>
                <w:szCs w:val="21"/>
              </w:rPr>
            </w:pPr>
          </w:p>
        </w:tc>
        <w:tc>
          <w:tcPr>
            <w:tcW w:w="816" w:type="dxa"/>
            <w:vMerge w:val="continue"/>
            <w:vAlign w:val="center"/>
          </w:tcPr>
          <w:p>
            <w:pPr>
              <w:adjustRightInd w:val="0"/>
              <w:snapToGrid w:val="0"/>
              <w:jc w:val="center"/>
              <w:rPr>
                <w:rFonts w:ascii="仿宋" w:hAnsi="仿宋" w:eastAsia="仿宋" w:cs="宋体"/>
                <w:color w:val="000000"/>
                <w:kern w:val="0"/>
                <w:szCs w:val="21"/>
              </w:rPr>
            </w:pPr>
          </w:p>
        </w:tc>
        <w:tc>
          <w:tcPr>
            <w:tcW w:w="1615" w:type="dxa"/>
            <w:shd w:val="clear" w:color="auto" w:fill="auto"/>
            <w:vAlign w:val="center"/>
          </w:tcPr>
          <w:p>
            <w:pPr>
              <w:widowControl/>
              <w:adjustRightInd w:val="0"/>
              <w:snapToGrid w:val="0"/>
              <w:jc w:val="center"/>
              <w:rPr>
                <w:rFonts w:ascii="仿宋" w:hAnsi="仿宋" w:eastAsia="仿宋" w:cs="宋体"/>
                <w:color w:val="000000"/>
                <w:kern w:val="0"/>
                <w:szCs w:val="21"/>
              </w:rPr>
            </w:pPr>
            <w:r>
              <w:rPr>
                <w:rFonts w:hint="eastAsia" w:ascii="仿宋" w:hAnsi="仿宋" w:eastAsia="仿宋" w:cs="宋体"/>
                <w:color w:val="000000"/>
                <w:kern w:val="0"/>
                <w:szCs w:val="21"/>
              </w:rPr>
              <w:t>里仁洞更新改造项目</w:t>
            </w:r>
            <w:r>
              <w:rPr>
                <w:rFonts w:ascii="Times New Roman" w:hAnsi="Times New Roman" w:eastAsia="仿宋" w:cs="Times New Roman"/>
                <w:color w:val="000000"/>
                <w:kern w:val="0"/>
                <w:szCs w:val="21"/>
              </w:rPr>
              <w:t>2</w:t>
            </w:r>
          </w:p>
        </w:tc>
        <w:tc>
          <w:tcPr>
            <w:tcW w:w="1125" w:type="dxa"/>
            <w:shd w:val="clear" w:color="auto" w:fill="auto"/>
            <w:vAlign w:val="center"/>
          </w:tcPr>
          <w:p>
            <w:pPr>
              <w:widowControl/>
              <w:adjustRightInd w:val="0"/>
              <w:snapToGrid w:val="0"/>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13.8288</w:t>
            </w:r>
          </w:p>
        </w:tc>
        <w:tc>
          <w:tcPr>
            <w:tcW w:w="1116" w:type="dxa"/>
            <w:vMerge w:val="continue"/>
            <w:vAlign w:val="center"/>
          </w:tcPr>
          <w:p>
            <w:pPr>
              <w:widowControl/>
              <w:adjustRightInd w:val="0"/>
              <w:snapToGrid w:val="0"/>
              <w:jc w:val="left"/>
              <w:rPr>
                <w:rFonts w:ascii="Times New Roman" w:hAnsi="Times New Roman" w:eastAsia="等线" w:cs="Times New Roman"/>
                <w:color w:val="000000"/>
                <w:kern w:val="0"/>
                <w:szCs w:val="21"/>
              </w:rPr>
            </w:pPr>
          </w:p>
        </w:tc>
        <w:tc>
          <w:tcPr>
            <w:tcW w:w="1072" w:type="dxa"/>
            <w:vMerge w:val="continue"/>
            <w:vAlign w:val="center"/>
          </w:tcPr>
          <w:p>
            <w:pPr>
              <w:widowControl/>
              <w:adjustRightInd w:val="0"/>
              <w:snapToGrid w:val="0"/>
              <w:jc w:val="left"/>
              <w:rPr>
                <w:rFonts w:ascii="Times New Roman" w:hAnsi="Times New Roman" w:eastAsia="等线" w:cs="Times New Roman"/>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72" w:type="dxa"/>
            <w:vMerge w:val="continue"/>
            <w:vAlign w:val="center"/>
          </w:tcPr>
          <w:p>
            <w:pPr>
              <w:widowControl/>
              <w:adjustRightInd w:val="0"/>
              <w:snapToGrid w:val="0"/>
              <w:jc w:val="left"/>
              <w:rPr>
                <w:rFonts w:ascii="仿宋" w:hAnsi="仿宋" w:eastAsia="仿宋" w:cs="宋体"/>
                <w:color w:val="000000"/>
                <w:kern w:val="0"/>
                <w:szCs w:val="21"/>
              </w:rPr>
            </w:pPr>
          </w:p>
        </w:tc>
        <w:tc>
          <w:tcPr>
            <w:tcW w:w="1170" w:type="dxa"/>
            <w:vMerge w:val="continue"/>
            <w:vAlign w:val="center"/>
          </w:tcPr>
          <w:p>
            <w:pPr>
              <w:widowControl/>
              <w:adjustRightInd w:val="0"/>
              <w:snapToGrid w:val="0"/>
              <w:jc w:val="left"/>
              <w:rPr>
                <w:rFonts w:ascii="Times New Roman" w:hAnsi="Times New Roman" w:eastAsia="等线" w:cs="Times New Roman"/>
                <w:color w:val="000000"/>
                <w:kern w:val="0"/>
                <w:szCs w:val="21"/>
              </w:rPr>
            </w:pPr>
          </w:p>
        </w:tc>
        <w:tc>
          <w:tcPr>
            <w:tcW w:w="816" w:type="dxa"/>
            <w:vMerge w:val="continue"/>
            <w:vAlign w:val="center"/>
          </w:tcPr>
          <w:p>
            <w:pPr>
              <w:adjustRightInd w:val="0"/>
              <w:snapToGrid w:val="0"/>
              <w:jc w:val="center"/>
              <w:rPr>
                <w:rFonts w:ascii="仿宋" w:hAnsi="仿宋" w:eastAsia="仿宋" w:cs="宋体"/>
                <w:color w:val="000000"/>
                <w:kern w:val="0"/>
                <w:szCs w:val="21"/>
              </w:rPr>
            </w:pPr>
          </w:p>
        </w:tc>
        <w:tc>
          <w:tcPr>
            <w:tcW w:w="1615" w:type="dxa"/>
            <w:shd w:val="clear" w:color="auto" w:fill="auto"/>
            <w:vAlign w:val="center"/>
          </w:tcPr>
          <w:p>
            <w:pPr>
              <w:widowControl/>
              <w:adjustRightInd w:val="0"/>
              <w:snapToGrid w:val="0"/>
              <w:jc w:val="center"/>
              <w:rPr>
                <w:rFonts w:ascii="仿宋" w:hAnsi="仿宋" w:eastAsia="仿宋" w:cs="宋体"/>
                <w:color w:val="000000"/>
                <w:kern w:val="0"/>
                <w:szCs w:val="21"/>
              </w:rPr>
            </w:pPr>
            <w:r>
              <w:rPr>
                <w:rFonts w:hint="eastAsia" w:ascii="仿宋" w:hAnsi="仿宋" w:eastAsia="仿宋" w:cs="宋体"/>
                <w:color w:val="000000"/>
                <w:kern w:val="0"/>
                <w:szCs w:val="21"/>
              </w:rPr>
              <w:t>里仁洞更新改造项目</w:t>
            </w:r>
            <w:r>
              <w:rPr>
                <w:rFonts w:ascii="Times New Roman" w:hAnsi="Times New Roman" w:eastAsia="仿宋" w:cs="Times New Roman"/>
                <w:color w:val="000000"/>
                <w:kern w:val="0"/>
                <w:szCs w:val="21"/>
              </w:rPr>
              <w:t>3</w:t>
            </w:r>
          </w:p>
        </w:tc>
        <w:tc>
          <w:tcPr>
            <w:tcW w:w="1125" w:type="dxa"/>
            <w:shd w:val="clear" w:color="auto" w:fill="auto"/>
            <w:vAlign w:val="center"/>
          </w:tcPr>
          <w:p>
            <w:pPr>
              <w:widowControl/>
              <w:adjustRightInd w:val="0"/>
              <w:snapToGrid w:val="0"/>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0.954</w:t>
            </w:r>
            <w:r>
              <w:rPr>
                <w:rFonts w:hint="eastAsia" w:ascii="Times New Roman" w:hAnsi="Times New Roman" w:eastAsia="等线" w:cs="Times New Roman"/>
                <w:color w:val="000000"/>
                <w:kern w:val="0"/>
                <w:szCs w:val="21"/>
              </w:rPr>
              <w:t>0</w:t>
            </w:r>
          </w:p>
        </w:tc>
        <w:tc>
          <w:tcPr>
            <w:tcW w:w="1116" w:type="dxa"/>
            <w:vMerge w:val="continue"/>
            <w:vAlign w:val="center"/>
          </w:tcPr>
          <w:p>
            <w:pPr>
              <w:widowControl/>
              <w:adjustRightInd w:val="0"/>
              <w:snapToGrid w:val="0"/>
              <w:jc w:val="left"/>
              <w:rPr>
                <w:rFonts w:ascii="Times New Roman" w:hAnsi="Times New Roman" w:eastAsia="等线" w:cs="Times New Roman"/>
                <w:color w:val="000000"/>
                <w:kern w:val="0"/>
                <w:szCs w:val="21"/>
              </w:rPr>
            </w:pPr>
          </w:p>
        </w:tc>
        <w:tc>
          <w:tcPr>
            <w:tcW w:w="1072" w:type="dxa"/>
            <w:vMerge w:val="continue"/>
            <w:vAlign w:val="center"/>
          </w:tcPr>
          <w:p>
            <w:pPr>
              <w:widowControl/>
              <w:adjustRightInd w:val="0"/>
              <w:snapToGrid w:val="0"/>
              <w:jc w:val="left"/>
              <w:rPr>
                <w:rFonts w:ascii="Times New Roman" w:hAnsi="Times New Roman" w:eastAsia="等线" w:cs="Times New Roman"/>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72" w:type="dxa"/>
            <w:vMerge w:val="continue"/>
            <w:vAlign w:val="center"/>
          </w:tcPr>
          <w:p>
            <w:pPr>
              <w:widowControl/>
              <w:adjustRightInd w:val="0"/>
              <w:snapToGrid w:val="0"/>
              <w:jc w:val="left"/>
              <w:rPr>
                <w:rFonts w:ascii="仿宋" w:hAnsi="仿宋" w:eastAsia="仿宋" w:cs="宋体"/>
                <w:color w:val="000000"/>
                <w:kern w:val="0"/>
                <w:szCs w:val="21"/>
              </w:rPr>
            </w:pPr>
          </w:p>
        </w:tc>
        <w:tc>
          <w:tcPr>
            <w:tcW w:w="1170" w:type="dxa"/>
            <w:vMerge w:val="continue"/>
            <w:vAlign w:val="center"/>
          </w:tcPr>
          <w:p>
            <w:pPr>
              <w:widowControl/>
              <w:adjustRightInd w:val="0"/>
              <w:snapToGrid w:val="0"/>
              <w:jc w:val="left"/>
              <w:rPr>
                <w:rFonts w:ascii="Times New Roman" w:hAnsi="Times New Roman" w:eastAsia="等线" w:cs="Times New Roman"/>
                <w:color w:val="000000"/>
                <w:kern w:val="0"/>
                <w:szCs w:val="21"/>
              </w:rPr>
            </w:pPr>
          </w:p>
        </w:tc>
        <w:tc>
          <w:tcPr>
            <w:tcW w:w="816" w:type="dxa"/>
            <w:vMerge w:val="continue"/>
            <w:vAlign w:val="center"/>
          </w:tcPr>
          <w:p>
            <w:pPr>
              <w:adjustRightInd w:val="0"/>
              <w:snapToGrid w:val="0"/>
              <w:jc w:val="center"/>
              <w:rPr>
                <w:rFonts w:ascii="仿宋" w:hAnsi="仿宋" w:eastAsia="仿宋" w:cs="宋体"/>
                <w:color w:val="000000"/>
                <w:kern w:val="0"/>
                <w:szCs w:val="21"/>
              </w:rPr>
            </w:pPr>
          </w:p>
        </w:tc>
        <w:tc>
          <w:tcPr>
            <w:tcW w:w="1615" w:type="dxa"/>
            <w:shd w:val="clear" w:color="auto" w:fill="auto"/>
            <w:vAlign w:val="center"/>
          </w:tcPr>
          <w:p>
            <w:pPr>
              <w:widowControl/>
              <w:adjustRightInd w:val="0"/>
              <w:snapToGrid w:val="0"/>
              <w:jc w:val="center"/>
              <w:rPr>
                <w:rFonts w:ascii="仿宋" w:hAnsi="仿宋" w:eastAsia="仿宋" w:cs="宋体"/>
                <w:color w:val="000000"/>
                <w:kern w:val="0"/>
                <w:szCs w:val="21"/>
              </w:rPr>
            </w:pPr>
            <w:r>
              <w:rPr>
                <w:rFonts w:hint="eastAsia" w:ascii="仿宋" w:hAnsi="仿宋" w:eastAsia="仿宋" w:cs="宋体"/>
                <w:color w:val="000000"/>
                <w:kern w:val="0"/>
                <w:szCs w:val="21"/>
              </w:rPr>
              <w:t>里仁洞更新改造项目</w:t>
            </w:r>
            <w:r>
              <w:rPr>
                <w:rFonts w:ascii="Times New Roman" w:hAnsi="Times New Roman" w:eastAsia="仿宋" w:cs="Times New Roman"/>
                <w:color w:val="000000"/>
                <w:kern w:val="0"/>
                <w:szCs w:val="21"/>
              </w:rPr>
              <w:t>4</w:t>
            </w:r>
          </w:p>
        </w:tc>
        <w:tc>
          <w:tcPr>
            <w:tcW w:w="1125" w:type="dxa"/>
            <w:shd w:val="clear" w:color="auto" w:fill="auto"/>
            <w:vAlign w:val="center"/>
          </w:tcPr>
          <w:p>
            <w:pPr>
              <w:widowControl/>
              <w:adjustRightInd w:val="0"/>
              <w:snapToGrid w:val="0"/>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4.4151</w:t>
            </w:r>
          </w:p>
        </w:tc>
        <w:tc>
          <w:tcPr>
            <w:tcW w:w="1116" w:type="dxa"/>
            <w:vMerge w:val="continue"/>
            <w:vAlign w:val="center"/>
          </w:tcPr>
          <w:p>
            <w:pPr>
              <w:widowControl/>
              <w:adjustRightInd w:val="0"/>
              <w:snapToGrid w:val="0"/>
              <w:jc w:val="left"/>
              <w:rPr>
                <w:rFonts w:ascii="Times New Roman" w:hAnsi="Times New Roman" w:eastAsia="等线" w:cs="Times New Roman"/>
                <w:color w:val="000000"/>
                <w:kern w:val="0"/>
                <w:szCs w:val="21"/>
              </w:rPr>
            </w:pPr>
          </w:p>
        </w:tc>
        <w:tc>
          <w:tcPr>
            <w:tcW w:w="1072" w:type="dxa"/>
            <w:vMerge w:val="continue"/>
            <w:vAlign w:val="center"/>
          </w:tcPr>
          <w:p>
            <w:pPr>
              <w:widowControl/>
              <w:adjustRightInd w:val="0"/>
              <w:snapToGrid w:val="0"/>
              <w:jc w:val="left"/>
              <w:rPr>
                <w:rFonts w:ascii="Times New Roman" w:hAnsi="Times New Roman" w:eastAsia="等线" w:cs="Times New Roman"/>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72" w:type="dxa"/>
            <w:shd w:val="clear" w:color="auto" w:fill="auto"/>
            <w:vAlign w:val="center"/>
          </w:tcPr>
          <w:p>
            <w:pPr>
              <w:widowControl/>
              <w:adjustRightInd w:val="0"/>
              <w:snapToGrid w:val="0"/>
              <w:jc w:val="center"/>
              <w:rPr>
                <w:rFonts w:ascii="仿宋" w:hAnsi="仿宋" w:eastAsia="仿宋" w:cs="宋体"/>
                <w:color w:val="000000"/>
                <w:kern w:val="0"/>
                <w:szCs w:val="21"/>
              </w:rPr>
            </w:pPr>
            <w:r>
              <w:rPr>
                <w:rFonts w:hint="eastAsia" w:ascii="仿宋" w:hAnsi="仿宋" w:eastAsia="仿宋" w:cs="宋体"/>
                <w:color w:val="000000"/>
                <w:kern w:val="0"/>
                <w:szCs w:val="21"/>
              </w:rPr>
              <w:t>南村镇里仁洞村片区二</w:t>
            </w:r>
          </w:p>
        </w:tc>
        <w:tc>
          <w:tcPr>
            <w:tcW w:w="1170" w:type="dxa"/>
            <w:shd w:val="clear" w:color="auto" w:fill="auto"/>
            <w:vAlign w:val="center"/>
          </w:tcPr>
          <w:p>
            <w:pPr>
              <w:widowControl/>
              <w:adjustRightInd w:val="0"/>
              <w:snapToGrid w:val="0"/>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0.0011</w:t>
            </w:r>
          </w:p>
        </w:tc>
        <w:tc>
          <w:tcPr>
            <w:tcW w:w="816" w:type="dxa"/>
            <w:vMerge w:val="continue"/>
            <w:shd w:val="clear" w:color="auto" w:fill="auto"/>
            <w:vAlign w:val="center"/>
          </w:tcPr>
          <w:p>
            <w:pPr>
              <w:adjustRightInd w:val="0"/>
              <w:snapToGrid w:val="0"/>
              <w:jc w:val="center"/>
              <w:rPr>
                <w:rFonts w:ascii="仿宋" w:hAnsi="仿宋" w:eastAsia="仿宋" w:cs="宋体"/>
                <w:color w:val="000000"/>
                <w:kern w:val="0"/>
                <w:szCs w:val="21"/>
              </w:rPr>
            </w:pPr>
          </w:p>
        </w:tc>
        <w:tc>
          <w:tcPr>
            <w:tcW w:w="1615" w:type="dxa"/>
            <w:shd w:val="clear" w:color="auto" w:fill="auto"/>
            <w:vAlign w:val="center"/>
          </w:tcPr>
          <w:p>
            <w:pPr>
              <w:widowControl/>
              <w:adjustRightInd w:val="0"/>
              <w:snapToGrid w:val="0"/>
              <w:jc w:val="center"/>
              <w:rPr>
                <w:rFonts w:ascii="仿宋" w:hAnsi="仿宋" w:eastAsia="仿宋" w:cs="宋体"/>
                <w:color w:val="000000"/>
                <w:kern w:val="0"/>
                <w:szCs w:val="21"/>
              </w:rPr>
            </w:pPr>
            <w:r>
              <w:rPr>
                <w:rFonts w:hint="eastAsia" w:ascii="仿宋" w:hAnsi="仿宋" w:eastAsia="仿宋" w:cs="宋体"/>
                <w:color w:val="000000"/>
                <w:kern w:val="0"/>
                <w:szCs w:val="21"/>
              </w:rPr>
              <w:t>里仁洞更新改造项目</w:t>
            </w:r>
            <w:r>
              <w:rPr>
                <w:rFonts w:ascii="Times New Roman" w:hAnsi="Times New Roman" w:eastAsia="仿宋" w:cs="Times New Roman"/>
                <w:color w:val="000000"/>
                <w:kern w:val="0"/>
                <w:szCs w:val="21"/>
              </w:rPr>
              <w:t>5</w:t>
            </w:r>
          </w:p>
        </w:tc>
        <w:tc>
          <w:tcPr>
            <w:tcW w:w="1125" w:type="dxa"/>
            <w:shd w:val="clear" w:color="auto" w:fill="auto"/>
            <w:vAlign w:val="center"/>
          </w:tcPr>
          <w:p>
            <w:pPr>
              <w:widowControl/>
              <w:adjustRightInd w:val="0"/>
              <w:snapToGrid w:val="0"/>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0.0011</w:t>
            </w:r>
          </w:p>
        </w:tc>
        <w:tc>
          <w:tcPr>
            <w:tcW w:w="1116" w:type="dxa"/>
            <w:shd w:val="clear" w:color="auto" w:fill="auto"/>
            <w:vAlign w:val="center"/>
          </w:tcPr>
          <w:p>
            <w:pPr>
              <w:widowControl/>
              <w:adjustRightInd w:val="0"/>
              <w:snapToGrid w:val="0"/>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0.0011</w:t>
            </w:r>
          </w:p>
        </w:tc>
        <w:tc>
          <w:tcPr>
            <w:tcW w:w="1072" w:type="dxa"/>
            <w:shd w:val="clear" w:color="auto" w:fill="auto"/>
            <w:vAlign w:val="center"/>
          </w:tcPr>
          <w:p>
            <w:pPr>
              <w:widowControl/>
              <w:adjustRightInd w:val="0"/>
              <w:snapToGrid w:val="0"/>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72" w:type="dxa"/>
            <w:vMerge w:val="restart"/>
            <w:shd w:val="clear" w:color="auto" w:fill="auto"/>
            <w:vAlign w:val="center"/>
          </w:tcPr>
          <w:p>
            <w:pPr>
              <w:widowControl/>
              <w:adjustRightInd w:val="0"/>
              <w:snapToGrid w:val="0"/>
              <w:jc w:val="center"/>
              <w:rPr>
                <w:rFonts w:ascii="仿宋" w:hAnsi="仿宋" w:eastAsia="仿宋" w:cs="宋体"/>
                <w:color w:val="000000"/>
                <w:kern w:val="0"/>
                <w:szCs w:val="21"/>
              </w:rPr>
            </w:pPr>
            <w:r>
              <w:rPr>
                <w:rFonts w:hint="eastAsia" w:ascii="仿宋" w:hAnsi="仿宋" w:eastAsia="仿宋" w:cs="宋体"/>
                <w:color w:val="000000"/>
                <w:kern w:val="0"/>
                <w:szCs w:val="21"/>
              </w:rPr>
              <w:t>南村镇里仁洞村片区三</w:t>
            </w:r>
          </w:p>
        </w:tc>
        <w:tc>
          <w:tcPr>
            <w:tcW w:w="1170" w:type="dxa"/>
            <w:vMerge w:val="restart"/>
            <w:shd w:val="clear" w:color="auto" w:fill="auto"/>
            <w:vAlign w:val="center"/>
          </w:tcPr>
          <w:p>
            <w:pPr>
              <w:widowControl/>
              <w:adjustRightInd w:val="0"/>
              <w:snapToGrid w:val="0"/>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14.1903</w:t>
            </w:r>
          </w:p>
        </w:tc>
        <w:tc>
          <w:tcPr>
            <w:tcW w:w="816" w:type="dxa"/>
            <w:vMerge w:val="continue"/>
            <w:shd w:val="clear" w:color="auto" w:fill="auto"/>
            <w:vAlign w:val="center"/>
          </w:tcPr>
          <w:p>
            <w:pPr>
              <w:adjustRightInd w:val="0"/>
              <w:snapToGrid w:val="0"/>
              <w:jc w:val="center"/>
              <w:rPr>
                <w:rFonts w:ascii="仿宋" w:hAnsi="仿宋" w:eastAsia="仿宋" w:cs="宋体"/>
                <w:color w:val="000000"/>
                <w:kern w:val="0"/>
                <w:szCs w:val="21"/>
              </w:rPr>
            </w:pPr>
          </w:p>
        </w:tc>
        <w:tc>
          <w:tcPr>
            <w:tcW w:w="1615" w:type="dxa"/>
            <w:shd w:val="clear" w:color="auto" w:fill="auto"/>
            <w:vAlign w:val="center"/>
          </w:tcPr>
          <w:p>
            <w:pPr>
              <w:widowControl/>
              <w:adjustRightInd w:val="0"/>
              <w:snapToGrid w:val="0"/>
              <w:jc w:val="center"/>
              <w:rPr>
                <w:rFonts w:ascii="仿宋" w:hAnsi="仿宋" w:eastAsia="仿宋" w:cs="宋体"/>
                <w:color w:val="000000"/>
                <w:kern w:val="0"/>
                <w:szCs w:val="21"/>
              </w:rPr>
            </w:pPr>
            <w:r>
              <w:rPr>
                <w:rFonts w:hint="eastAsia" w:ascii="仿宋" w:hAnsi="仿宋" w:eastAsia="仿宋" w:cs="宋体"/>
                <w:color w:val="000000"/>
                <w:kern w:val="0"/>
                <w:szCs w:val="21"/>
              </w:rPr>
              <w:t>里仁洞更新改造项目</w:t>
            </w:r>
            <w:r>
              <w:rPr>
                <w:rFonts w:ascii="Times New Roman" w:hAnsi="Times New Roman" w:eastAsia="仿宋" w:cs="Times New Roman"/>
                <w:color w:val="000000"/>
                <w:kern w:val="0"/>
                <w:szCs w:val="21"/>
              </w:rPr>
              <w:t>6</w:t>
            </w:r>
          </w:p>
        </w:tc>
        <w:tc>
          <w:tcPr>
            <w:tcW w:w="1125" w:type="dxa"/>
            <w:shd w:val="clear" w:color="auto" w:fill="auto"/>
            <w:vAlign w:val="center"/>
          </w:tcPr>
          <w:p>
            <w:pPr>
              <w:widowControl/>
              <w:adjustRightInd w:val="0"/>
              <w:snapToGrid w:val="0"/>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0.466</w:t>
            </w:r>
            <w:r>
              <w:rPr>
                <w:rFonts w:hint="eastAsia" w:ascii="Times New Roman" w:hAnsi="Times New Roman" w:eastAsia="等线" w:cs="Times New Roman"/>
                <w:color w:val="000000"/>
                <w:kern w:val="0"/>
                <w:szCs w:val="21"/>
              </w:rPr>
              <w:t>0</w:t>
            </w:r>
          </w:p>
        </w:tc>
        <w:tc>
          <w:tcPr>
            <w:tcW w:w="1116" w:type="dxa"/>
            <w:vMerge w:val="restart"/>
            <w:shd w:val="clear" w:color="auto" w:fill="auto"/>
            <w:vAlign w:val="center"/>
          </w:tcPr>
          <w:p>
            <w:pPr>
              <w:widowControl/>
              <w:adjustRightInd w:val="0"/>
              <w:snapToGrid w:val="0"/>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10.3102</w:t>
            </w:r>
          </w:p>
        </w:tc>
        <w:tc>
          <w:tcPr>
            <w:tcW w:w="1072" w:type="dxa"/>
            <w:vMerge w:val="restart"/>
            <w:shd w:val="clear" w:color="auto" w:fill="auto"/>
            <w:vAlign w:val="center"/>
          </w:tcPr>
          <w:p>
            <w:pPr>
              <w:widowControl/>
              <w:adjustRightInd w:val="0"/>
              <w:snapToGrid w:val="0"/>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72.66%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72" w:type="dxa"/>
            <w:vMerge w:val="continue"/>
            <w:vAlign w:val="center"/>
          </w:tcPr>
          <w:p>
            <w:pPr>
              <w:widowControl/>
              <w:adjustRightInd w:val="0"/>
              <w:snapToGrid w:val="0"/>
              <w:jc w:val="left"/>
              <w:rPr>
                <w:rFonts w:ascii="仿宋" w:hAnsi="仿宋" w:eastAsia="仿宋" w:cs="宋体"/>
                <w:color w:val="000000"/>
                <w:kern w:val="0"/>
                <w:szCs w:val="21"/>
              </w:rPr>
            </w:pPr>
          </w:p>
        </w:tc>
        <w:tc>
          <w:tcPr>
            <w:tcW w:w="1170" w:type="dxa"/>
            <w:vMerge w:val="continue"/>
            <w:vAlign w:val="center"/>
          </w:tcPr>
          <w:p>
            <w:pPr>
              <w:widowControl/>
              <w:adjustRightInd w:val="0"/>
              <w:snapToGrid w:val="0"/>
              <w:jc w:val="left"/>
              <w:rPr>
                <w:rFonts w:ascii="Times New Roman" w:hAnsi="Times New Roman" w:eastAsia="等线" w:cs="Times New Roman"/>
                <w:color w:val="000000"/>
                <w:kern w:val="0"/>
                <w:szCs w:val="21"/>
              </w:rPr>
            </w:pPr>
          </w:p>
        </w:tc>
        <w:tc>
          <w:tcPr>
            <w:tcW w:w="816" w:type="dxa"/>
            <w:vMerge w:val="continue"/>
            <w:vAlign w:val="center"/>
          </w:tcPr>
          <w:p>
            <w:pPr>
              <w:adjustRightInd w:val="0"/>
              <w:snapToGrid w:val="0"/>
              <w:jc w:val="center"/>
              <w:rPr>
                <w:rFonts w:ascii="仿宋" w:hAnsi="仿宋" w:eastAsia="仿宋" w:cs="宋体"/>
                <w:color w:val="000000"/>
                <w:kern w:val="0"/>
                <w:szCs w:val="21"/>
              </w:rPr>
            </w:pPr>
          </w:p>
        </w:tc>
        <w:tc>
          <w:tcPr>
            <w:tcW w:w="1615" w:type="dxa"/>
            <w:shd w:val="clear" w:color="auto" w:fill="auto"/>
            <w:vAlign w:val="center"/>
          </w:tcPr>
          <w:p>
            <w:pPr>
              <w:widowControl/>
              <w:adjustRightInd w:val="0"/>
              <w:snapToGrid w:val="0"/>
              <w:jc w:val="center"/>
              <w:rPr>
                <w:rFonts w:ascii="仿宋" w:hAnsi="仿宋" w:eastAsia="仿宋" w:cs="宋体"/>
                <w:color w:val="000000"/>
                <w:kern w:val="0"/>
                <w:szCs w:val="21"/>
              </w:rPr>
            </w:pPr>
            <w:r>
              <w:rPr>
                <w:rFonts w:hint="eastAsia" w:ascii="仿宋" w:hAnsi="仿宋" w:eastAsia="仿宋" w:cs="宋体"/>
                <w:color w:val="000000"/>
                <w:kern w:val="0"/>
                <w:szCs w:val="21"/>
              </w:rPr>
              <w:t>里仁洞更新改造项目</w:t>
            </w:r>
            <w:r>
              <w:rPr>
                <w:rFonts w:ascii="Times New Roman" w:hAnsi="Times New Roman" w:eastAsia="仿宋" w:cs="Times New Roman"/>
                <w:color w:val="000000"/>
                <w:kern w:val="0"/>
                <w:szCs w:val="21"/>
              </w:rPr>
              <w:t>7</w:t>
            </w:r>
          </w:p>
        </w:tc>
        <w:tc>
          <w:tcPr>
            <w:tcW w:w="1125" w:type="dxa"/>
            <w:shd w:val="clear" w:color="auto" w:fill="auto"/>
            <w:vAlign w:val="center"/>
          </w:tcPr>
          <w:p>
            <w:pPr>
              <w:widowControl/>
              <w:adjustRightInd w:val="0"/>
              <w:snapToGrid w:val="0"/>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4.9702</w:t>
            </w:r>
          </w:p>
        </w:tc>
        <w:tc>
          <w:tcPr>
            <w:tcW w:w="1116" w:type="dxa"/>
            <w:vMerge w:val="continue"/>
            <w:vAlign w:val="center"/>
          </w:tcPr>
          <w:p>
            <w:pPr>
              <w:widowControl/>
              <w:adjustRightInd w:val="0"/>
              <w:snapToGrid w:val="0"/>
              <w:jc w:val="left"/>
              <w:rPr>
                <w:rFonts w:ascii="Times New Roman" w:hAnsi="Times New Roman" w:eastAsia="等线" w:cs="Times New Roman"/>
                <w:color w:val="000000"/>
                <w:kern w:val="0"/>
                <w:szCs w:val="21"/>
              </w:rPr>
            </w:pPr>
          </w:p>
        </w:tc>
        <w:tc>
          <w:tcPr>
            <w:tcW w:w="1072" w:type="dxa"/>
            <w:vMerge w:val="continue"/>
            <w:vAlign w:val="center"/>
          </w:tcPr>
          <w:p>
            <w:pPr>
              <w:widowControl/>
              <w:adjustRightInd w:val="0"/>
              <w:snapToGrid w:val="0"/>
              <w:jc w:val="left"/>
              <w:rPr>
                <w:rFonts w:ascii="Times New Roman" w:hAnsi="Times New Roman" w:eastAsia="等线" w:cs="Times New Roman"/>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72" w:type="dxa"/>
            <w:vMerge w:val="continue"/>
            <w:vAlign w:val="center"/>
          </w:tcPr>
          <w:p>
            <w:pPr>
              <w:widowControl/>
              <w:adjustRightInd w:val="0"/>
              <w:snapToGrid w:val="0"/>
              <w:jc w:val="left"/>
              <w:rPr>
                <w:rFonts w:ascii="仿宋" w:hAnsi="仿宋" w:eastAsia="仿宋" w:cs="宋体"/>
                <w:color w:val="000000"/>
                <w:kern w:val="0"/>
                <w:szCs w:val="21"/>
              </w:rPr>
            </w:pPr>
          </w:p>
        </w:tc>
        <w:tc>
          <w:tcPr>
            <w:tcW w:w="1170" w:type="dxa"/>
            <w:vMerge w:val="continue"/>
            <w:vAlign w:val="center"/>
          </w:tcPr>
          <w:p>
            <w:pPr>
              <w:widowControl/>
              <w:adjustRightInd w:val="0"/>
              <w:snapToGrid w:val="0"/>
              <w:jc w:val="left"/>
              <w:rPr>
                <w:rFonts w:ascii="Times New Roman" w:hAnsi="Times New Roman" w:eastAsia="等线" w:cs="Times New Roman"/>
                <w:color w:val="000000"/>
                <w:kern w:val="0"/>
                <w:szCs w:val="21"/>
              </w:rPr>
            </w:pPr>
          </w:p>
        </w:tc>
        <w:tc>
          <w:tcPr>
            <w:tcW w:w="816" w:type="dxa"/>
            <w:vMerge w:val="continue"/>
            <w:vAlign w:val="center"/>
          </w:tcPr>
          <w:p>
            <w:pPr>
              <w:adjustRightInd w:val="0"/>
              <w:snapToGrid w:val="0"/>
              <w:jc w:val="center"/>
              <w:rPr>
                <w:rFonts w:ascii="仿宋" w:hAnsi="仿宋" w:eastAsia="仿宋" w:cs="宋体"/>
                <w:color w:val="000000"/>
                <w:kern w:val="0"/>
                <w:szCs w:val="21"/>
              </w:rPr>
            </w:pPr>
          </w:p>
        </w:tc>
        <w:tc>
          <w:tcPr>
            <w:tcW w:w="1615" w:type="dxa"/>
            <w:shd w:val="clear" w:color="auto" w:fill="auto"/>
            <w:vAlign w:val="center"/>
          </w:tcPr>
          <w:p>
            <w:pPr>
              <w:widowControl/>
              <w:adjustRightInd w:val="0"/>
              <w:snapToGrid w:val="0"/>
              <w:jc w:val="center"/>
              <w:rPr>
                <w:rFonts w:ascii="仿宋" w:hAnsi="仿宋" w:eastAsia="仿宋" w:cs="宋体"/>
                <w:color w:val="000000"/>
                <w:kern w:val="0"/>
                <w:szCs w:val="21"/>
              </w:rPr>
            </w:pPr>
            <w:r>
              <w:rPr>
                <w:rFonts w:hint="eastAsia" w:ascii="仿宋" w:hAnsi="仿宋" w:eastAsia="仿宋" w:cs="宋体"/>
                <w:color w:val="000000"/>
                <w:kern w:val="0"/>
                <w:szCs w:val="21"/>
              </w:rPr>
              <w:t>里仁洞更新改造项目</w:t>
            </w:r>
            <w:r>
              <w:rPr>
                <w:rFonts w:ascii="Times New Roman" w:hAnsi="Times New Roman" w:eastAsia="仿宋" w:cs="Times New Roman"/>
                <w:color w:val="000000"/>
                <w:kern w:val="0"/>
                <w:szCs w:val="21"/>
              </w:rPr>
              <w:t>8</w:t>
            </w:r>
          </w:p>
        </w:tc>
        <w:tc>
          <w:tcPr>
            <w:tcW w:w="1125" w:type="dxa"/>
            <w:shd w:val="clear" w:color="auto" w:fill="auto"/>
            <w:vAlign w:val="center"/>
          </w:tcPr>
          <w:p>
            <w:pPr>
              <w:widowControl/>
              <w:adjustRightInd w:val="0"/>
              <w:snapToGrid w:val="0"/>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4.874</w:t>
            </w:r>
            <w:r>
              <w:rPr>
                <w:rFonts w:hint="eastAsia" w:ascii="Times New Roman" w:hAnsi="Times New Roman" w:eastAsia="等线" w:cs="Times New Roman"/>
                <w:color w:val="000000"/>
                <w:kern w:val="0"/>
                <w:szCs w:val="21"/>
              </w:rPr>
              <w:t>0</w:t>
            </w:r>
          </w:p>
        </w:tc>
        <w:tc>
          <w:tcPr>
            <w:tcW w:w="1116" w:type="dxa"/>
            <w:vMerge w:val="continue"/>
            <w:vAlign w:val="center"/>
          </w:tcPr>
          <w:p>
            <w:pPr>
              <w:widowControl/>
              <w:adjustRightInd w:val="0"/>
              <w:snapToGrid w:val="0"/>
              <w:jc w:val="left"/>
              <w:rPr>
                <w:rFonts w:ascii="Times New Roman" w:hAnsi="Times New Roman" w:eastAsia="等线" w:cs="Times New Roman"/>
                <w:color w:val="000000"/>
                <w:kern w:val="0"/>
                <w:szCs w:val="21"/>
              </w:rPr>
            </w:pPr>
          </w:p>
        </w:tc>
        <w:tc>
          <w:tcPr>
            <w:tcW w:w="1072" w:type="dxa"/>
            <w:vMerge w:val="continue"/>
            <w:vAlign w:val="center"/>
          </w:tcPr>
          <w:p>
            <w:pPr>
              <w:widowControl/>
              <w:adjustRightInd w:val="0"/>
              <w:snapToGrid w:val="0"/>
              <w:jc w:val="left"/>
              <w:rPr>
                <w:rFonts w:ascii="Times New Roman" w:hAnsi="Times New Roman" w:eastAsia="等线" w:cs="Times New Roman"/>
                <w:color w:val="000000"/>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72" w:type="dxa"/>
            <w:shd w:val="clear" w:color="auto" w:fill="auto"/>
            <w:vAlign w:val="center"/>
          </w:tcPr>
          <w:p>
            <w:pPr>
              <w:widowControl/>
              <w:adjustRightInd w:val="0"/>
              <w:snapToGrid w:val="0"/>
              <w:jc w:val="center"/>
              <w:rPr>
                <w:rFonts w:ascii="仿宋" w:hAnsi="仿宋" w:eastAsia="仿宋" w:cs="宋体"/>
                <w:color w:val="000000"/>
                <w:kern w:val="0"/>
                <w:szCs w:val="21"/>
              </w:rPr>
            </w:pPr>
            <w:r>
              <w:rPr>
                <w:rFonts w:hint="eastAsia" w:ascii="仿宋" w:hAnsi="仿宋" w:eastAsia="仿宋" w:cs="宋体"/>
                <w:color w:val="000000"/>
                <w:kern w:val="0"/>
                <w:szCs w:val="21"/>
              </w:rPr>
              <w:t>南村镇里仁洞村片区四</w:t>
            </w:r>
          </w:p>
        </w:tc>
        <w:tc>
          <w:tcPr>
            <w:tcW w:w="1170" w:type="dxa"/>
            <w:shd w:val="clear" w:color="auto" w:fill="auto"/>
            <w:vAlign w:val="center"/>
          </w:tcPr>
          <w:p>
            <w:pPr>
              <w:widowControl/>
              <w:adjustRightInd w:val="0"/>
              <w:snapToGrid w:val="0"/>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1.7984</w:t>
            </w:r>
          </w:p>
        </w:tc>
        <w:tc>
          <w:tcPr>
            <w:tcW w:w="816" w:type="dxa"/>
            <w:vMerge w:val="continue"/>
            <w:shd w:val="clear" w:color="auto" w:fill="auto"/>
            <w:vAlign w:val="center"/>
          </w:tcPr>
          <w:p>
            <w:pPr>
              <w:adjustRightInd w:val="0"/>
              <w:snapToGrid w:val="0"/>
              <w:jc w:val="center"/>
              <w:rPr>
                <w:rFonts w:ascii="仿宋" w:hAnsi="仿宋" w:eastAsia="仿宋" w:cs="宋体"/>
                <w:color w:val="000000"/>
                <w:kern w:val="0"/>
                <w:szCs w:val="21"/>
              </w:rPr>
            </w:pPr>
          </w:p>
        </w:tc>
        <w:tc>
          <w:tcPr>
            <w:tcW w:w="1615" w:type="dxa"/>
            <w:shd w:val="clear" w:color="auto" w:fill="auto"/>
            <w:vAlign w:val="center"/>
          </w:tcPr>
          <w:p>
            <w:pPr>
              <w:widowControl/>
              <w:adjustRightInd w:val="0"/>
              <w:snapToGrid w:val="0"/>
              <w:jc w:val="center"/>
              <w:rPr>
                <w:rFonts w:ascii="仿宋" w:hAnsi="仿宋" w:eastAsia="仿宋" w:cs="宋体"/>
                <w:color w:val="000000"/>
                <w:kern w:val="0"/>
                <w:szCs w:val="21"/>
              </w:rPr>
            </w:pPr>
            <w:r>
              <w:rPr>
                <w:rFonts w:hint="eastAsia" w:ascii="仿宋" w:hAnsi="仿宋" w:eastAsia="仿宋" w:cs="宋体"/>
                <w:color w:val="000000"/>
                <w:kern w:val="0"/>
                <w:szCs w:val="21"/>
              </w:rPr>
              <w:t>里仁洞更新改造项目</w:t>
            </w:r>
            <w:r>
              <w:rPr>
                <w:rFonts w:ascii="Times New Roman" w:hAnsi="Times New Roman" w:eastAsia="仿宋" w:cs="Times New Roman"/>
                <w:color w:val="000000"/>
                <w:kern w:val="0"/>
                <w:szCs w:val="21"/>
              </w:rPr>
              <w:t>9</w:t>
            </w:r>
          </w:p>
        </w:tc>
        <w:tc>
          <w:tcPr>
            <w:tcW w:w="1125" w:type="dxa"/>
            <w:shd w:val="clear" w:color="auto" w:fill="auto"/>
            <w:vAlign w:val="center"/>
          </w:tcPr>
          <w:p>
            <w:pPr>
              <w:widowControl/>
              <w:adjustRightInd w:val="0"/>
              <w:snapToGrid w:val="0"/>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1.7984</w:t>
            </w:r>
          </w:p>
        </w:tc>
        <w:tc>
          <w:tcPr>
            <w:tcW w:w="1116" w:type="dxa"/>
            <w:shd w:val="clear" w:color="auto" w:fill="auto"/>
            <w:vAlign w:val="center"/>
          </w:tcPr>
          <w:p>
            <w:pPr>
              <w:widowControl/>
              <w:adjustRightInd w:val="0"/>
              <w:snapToGrid w:val="0"/>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1.7984</w:t>
            </w:r>
          </w:p>
        </w:tc>
        <w:tc>
          <w:tcPr>
            <w:tcW w:w="1072" w:type="dxa"/>
            <w:shd w:val="clear" w:color="auto" w:fill="auto"/>
            <w:vAlign w:val="center"/>
          </w:tcPr>
          <w:p>
            <w:pPr>
              <w:widowControl/>
              <w:adjustRightInd w:val="0"/>
              <w:snapToGrid w:val="0"/>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72" w:type="dxa"/>
            <w:shd w:val="clear" w:color="auto" w:fill="auto"/>
            <w:vAlign w:val="center"/>
          </w:tcPr>
          <w:p>
            <w:pPr>
              <w:widowControl/>
              <w:adjustRightInd w:val="0"/>
              <w:snapToGrid w:val="0"/>
              <w:jc w:val="center"/>
              <w:rPr>
                <w:rFonts w:ascii="仿宋" w:hAnsi="仿宋" w:eastAsia="仿宋" w:cs="宋体"/>
                <w:color w:val="000000"/>
                <w:kern w:val="0"/>
                <w:szCs w:val="21"/>
              </w:rPr>
            </w:pPr>
            <w:r>
              <w:rPr>
                <w:rFonts w:hint="eastAsia" w:ascii="仿宋" w:hAnsi="仿宋" w:eastAsia="仿宋" w:cs="宋体"/>
                <w:color w:val="000000"/>
                <w:kern w:val="0"/>
                <w:szCs w:val="21"/>
              </w:rPr>
              <w:t>南村镇里仁洞村片区五</w:t>
            </w:r>
          </w:p>
        </w:tc>
        <w:tc>
          <w:tcPr>
            <w:tcW w:w="1170" w:type="dxa"/>
            <w:shd w:val="clear" w:color="auto" w:fill="auto"/>
            <w:vAlign w:val="center"/>
          </w:tcPr>
          <w:p>
            <w:pPr>
              <w:widowControl/>
              <w:adjustRightInd w:val="0"/>
              <w:snapToGrid w:val="0"/>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6.8687</w:t>
            </w:r>
          </w:p>
        </w:tc>
        <w:tc>
          <w:tcPr>
            <w:tcW w:w="816" w:type="dxa"/>
            <w:vMerge w:val="continue"/>
            <w:shd w:val="clear" w:color="auto" w:fill="auto"/>
            <w:vAlign w:val="center"/>
          </w:tcPr>
          <w:p>
            <w:pPr>
              <w:adjustRightInd w:val="0"/>
              <w:snapToGrid w:val="0"/>
              <w:jc w:val="center"/>
              <w:rPr>
                <w:rFonts w:ascii="仿宋" w:hAnsi="仿宋" w:eastAsia="仿宋" w:cs="宋体"/>
                <w:color w:val="000000"/>
                <w:kern w:val="0"/>
                <w:szCs w:val="21"/>
              </w:rPr>
            </w:pPr>
          </w:p>
        </w:tc>
        <w:tc>
          <w:tcPr>
            <w:tcW w:w="1615" w:type="dxa"/>
            <w:shd w:val="clear" w:color="auto" w:fill="auto"/>
            <w:vAlign w:val="center"/>
          </w:tcPr>
          <w:p>
            <w:pPr>
              <w:widowControl/>
              <w:adjustRightInd w:val="0"/>
              <w:snapToGrid w:val="0"/>
              <w:jc w:val="center"/>
              <w:rPr>
                <w:rFonts w:ascii="仿宋" w:hAnsi="仿宋" w:eastAsia="仿宋" w:cs="宋体"/>
                <w:color w:val="000000"/>
                <w:kern w:val="0"/>
                <w:szCs w:val="21"/>
              </w:rPr>
            </w:pPr>
            <w:r>
              <w:rPr>
                <w:rFonts w:hint="eastAsia" w:ascii="仿宋" w:hAnsi="仿宋" w:eastAsia="仿宋" w:cs="宋体"/>
                <w:color w:val="000000"/>
                <w:kern w:val="0"/>
                <w:szCs w:val="21"/>
              </w:rPr>
              <w:t>里仁洞更新改造项目</w:t>
            </w:r>
            <w:r>
              <w:rPr>
                <w:rFonts w:ascii="Times New Roman" w:hAnsi="Times New Roman" w:eastAsia="仿宋" w:cs="Times New Roman"/>
                <w:color w:val="000000"/>
                <w:kern w:val="0"/>
                <w:szCs w:val="21"/>
              </w:rPr>
              <w:t>10</w:t>
            </w:r>
          </w:p>
        </w:tc>
        <w:tc>
          <w:tcPr>
            <w:tcW w:w="1125" w:type="dxa"/>
            <w:shd w:val="clear" w:color="auto" w:fill="auto"/>
            <w:vAlign w:val="center"/>
          </w:tcPr>
          <w:p>
            <w:pPr>
              <w:widowControl/>
              <w:adjustRightInd w:val="0"/>
              <w:snapToGrid w:val="0"/>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6.8687</w:t>
            </w:r>
          </w:p>
        </w:tc>
        <w:tc>
          <w:tcPr>
            <w:tcW w:w="1116" w:type="dxa"/>
            <w:shd w:val="clear" w:color="auto" w:fill="auto"/>
            <w:vAlign w:val="center"/>
          </w:tcPr>
          <w:p>
            <w:pPr>
              <w:widowControl/>
              <w:adjustRightInd w:val="0"/>
              <w:snapToGrid w:val="0"/>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6.8687</w:t>
            </w:r>
          </w:p>
        </w:tc>
        <w:tc>
          <w:tcPr>
            <w:tcW w:w="1072" w:type="dxa"/>
            <w:shd w:val="clear" w:color="auto" w:fill="auto"/>
            <w:vAlign w:val="center"/>
          </w:tcPr>
          <w:p>
            <w:pPr>
              <w:widowControl/>
              <w:adjustRightInd w:val="0"/>
              <w:snapToGrid w:val="0"/>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72" w:type="dxa"/>
            <w:shd w:val="clear" w:color="auto" w:fill="auto"/>
            <w:vAlign w:val="center"/>
          </w:tcPr>
          <w:p>
            <w:pPr>
              <w:widowControl/>
              <w:adjustRightInd w:val="0"/>
              <w:snapToGrid w:val="0"/>
              <w:jc w:val="center"/>
              <w:rPr>
                <w:rFonts w:ascii="仿宋" w:hAnsi="仿宋" w:eastAsia="仿宋" w:cs="宋体"/>
                <w:color w:val="000000"/>
                <w:kern w:val="0"/>
                <w:szCs w:val="21"/>
              </w:rPr>
            </w:pPr>
            <w:r>
              <w:rPr>
                <w:rFonts w:hint="eastAsia" w:ascii="仿宋" w:hAnsi="仿宋" w:eastAsia="仿宋" w:cs="宋体"/>
                <w:color w:val="000000"/>
                <w:kern w:val="0"/>
                <w:szCs w:val="21"/>
              </w:rPr>
              <w:t>南村镇里仁洞村片区六</w:t>
            </w:r>
          </w:p>
        </w:tc>
        <w:tc>
          <w:tcPr>
            <w:tcW w:w="1170" w:type="dxa"/>
            <w:shd w:val="clear" w:color="auto" w:fill="auto"/>
            <w:vAlign w:val="center"/>
          </w:tcPr>
          <w:p>
            <w:pPr>
              <w:widowControl/>
              <w:adjustRightInd w:val="0"/>
              <w:snapToGrid w:val="0"/>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10.1671</w:t>
            </w:r>
          </w:p>
        </w:tc>
        <w:tc>
          <w:tcPr>
            <w:tcW w:w="816" w:type="dxa"/>
            <w:vMerge w:val="continue"/>
            <w:shd w:val="clear" w:color="auto" w:fill="auto"/>
            <w:vAlign w:val="center"/>
          </w:tcPr>
          <w:p>
            <w:pPr>
              <w:widowControl/>
              <w:adjustRightInd w:val="0"/>
              <w:snapToGrid w:val="0"/>
              <w:jc w:val="center"/>
              <w:rPr>
                <w:rFonts w:ascii="仿宋" w:hAnsi="仿宋" w:eastAsia="仿宋" w:cs="宋体"/>
                <w:color w:val="000000"/>
                <w:kern w:val="0"/>
                <w:szCs w:val="21"/>
              </w:rPr>
            </w:pPr>
          </w:p>
        </w:tc>
        <w:tc>
          <w:tcPr>
            <w:tcW w:w="1615" w:type="dxa"/>
            <w:shd w:val="clear" w:color="auto" w:fill="auto"/>
            <w:vAlign w:val="center"/>
          </w:tcPr>
          <w:p>
            <w:pPr>
              <w:widowControl/>
              <w:adjustRightInd w:val="0"/>
              <w:snapToGrid w:val="0"/>
              <w:jc w:val="center"/>
              <w:rPr>
                <w:rFonts w:ascii="仿宋" w:hAnsi="仿宋" w:eastAsia="仿宋" w:cs="宋体"/>
                <w:color w:val="000000"/>
                <w:kern w:val="0"/>
                <w:szCs w:val="21"/>
              </w:rPr>
            </w:pPr>
            <w:r>
              <w:rPr>
                <w:rFonts w:hint="eastAsia" w:ascii="仿宋" w:hAnsi="仿宋" w:eastAsia="仿宋" w:cs="宋体"/>
                <w:color w:val="000000"/>
                <w:kern w:val="0"/>
                <w:szCs w:val="21"/>
              </w:rPr>
              <w:t>里仁洞更新改造项目</w:t>
            </w:r>
            <w:r>
              <w:rPr>
                <w:rFonts w:ascii="Times New Roman" w:hAnsi="Times New Roman" w:eastAsia="仿宋" w:cs="Times New Roman"/>
                <w:color w:val="000000"/>
                <w:kern w:val="0"/>
                <w:szCs w:val="21"/>
              </w:rPr>
              <w:t>11</w:t>
            </w:r>
          </w:p>
        </w:tc>
        <w:tc>
          <w:tcPr>
            <w:tcW w:w="1125" w:type="dxa"/>
            <w:shd w:val="clear" w:color="auto" w:fill="auto"/>
            <w:vAlign w:val="center"/>
          </w:tcPr>
          <w:p>
            <w:pPr>
              <w:widowControl/>
              <w:adjustRightInd w:val="0"/>
              <w:snapToGrid w:val="0"/>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10.167</w:t>
            </w:r>
            <w:r>
              <w:rPr>
                <w:rFonts w:hint="eastAsia" w:ascii="Times New Roman" w:hAnsi="Times New Roman" w:eastAsia="等线" w:cs="Times New Roman"/>
                <w:color w:val="000000"/>
                <w:kern w:val="0"/>
                <w:szCs w:val="21"/>
              </w:rPr>
              <w:t>0</w:t>
            </w:r>
          </w:p>
        </w:tc>
        <w:tc>
          <w:tcPr>
            <w:tcW w:w="1116" w:type="dxa"/>
            <w:shd w:val="clear" w:color="auto" w:fill="auto"/>
            <w:vAlign w:val="center"/>
          </w:tcPr>
          <w:p>
            <w:pPr>
              <w:widowControl/>
              <w:adjustRightInd w:val="0"/>
              <w:snapToGrid w:val="0"/>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10.167</w:t>
            </w:r>
            <w:r>
              <w:rPr>
                <w:rFonts w:hint="eastAsia" w:ascii="Times New Roman" w:hAnsi="Times New Roman" w:eastAsia="等线" w:cs="Times New Roman"/>
                <w:color w:val="000000"/>
                <w:kern w:val="0"/>
                <w:szCs w:val="21"/>
              </w:rPr>
              <w:t>0</w:t>
            </w:r>
          </w:p>
        </w:tc>
        <w:tc>
          <w:tcPr>
            <w:tcW w:w="1072" w:type="dxa"/>
            <w:shd w:val="clear" w:color="auto" w:fill="auto"/>
            <w:vAlign w:val="center"/>
          </w:tcPr>
          <w:p>
            <w:pPr>
              <w:widowControl/>
              <w:adjustRightInd w:val="0"/>
              <w:snapToGrid w:val="0"/>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72" w:type="dxa"/>
            <w:shd w:val="clear" w:color="auto" w:fill="auto"/>
            <w:vAlign w:val="center"/>
          </w:tcPr>
          <w:p>
            <w:pPr>
              <w:widowControl/>
              <w:adjustRightInd w:val="0"/>
              <w:snapToGrid w:val="0"/>
              <w:jc w:val="center"/>
              <w:rPr>
                <w:rFonts w:ascii="仿宋" w:hAnsi="仿宋" w:eastAsia="仿宋" w:cs="宋体"/>
                <w:color w:val="000000"/>
                <w:kern w:val="0"/>
                <w:szCs w:val="21"/>
              </w:rPr>
            </w:pPr>
            <w:r>
              <w:rPr>
                <w:rFonts w:hint="eastAsia" w:ascii="仿宋" w:hAnsi="仿宋" w:eastAsia="仿宋" w:cs="宋体"/>
                <w:color w:val="000000"/>
                <w:kern w:val="0"/>
                <w:szCs w:val="21"/>
              </w:rPr>
              <w:t>石碁镇南浦村片区一</w:t>
            </w:r>
          </w:p>
        </w:tc>
        <w:tc>
          <w:tcPr>
            <w:tcW w:w="1170" w:type="dxa"/>
            <w:shd w:val="clear" w:color="auto" w:fill="auto"/>
            <w:vAlign w:val="center"/>
          </w:tcPr>
          <w:p>
            <w:pPr>
              <w:widowControl/>
              <w:adjustRightInd w:val="0"/>
              <w:snapToGrid w:val="0"/>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0.2633</w:t>
            </w:r>
          </w:p>
        </w:tc>
        <w:tc>
          <w:tcPr>
            <w:tcW w:w="816" w:type="dxa"/>
            <w:vMerge w:val="restart"/>
            <w:shd w:val="clear" w:color="auto" w:fill="auto"/>
            <w:vAlign w:val="center"/>
          </w:tcPr>
          <w:p>
            <w:pPr>
              <w:widowControl/>
              <w:adjustRightInd w:val="0"/>
              <w:snapToGrid w:val="0"/>
              <w:jc w:val="center"/>
              <w:rPr>
                <w:rFonts w:ascii="仿宋" w:hAnsi="仿宋" w:eastAsia="仿宋" w:cs="宋体"/>
                <w:color w:val="000000"/>
                <w:kern w:val="0"/>
                <w:szCs w:val="21"/>
              </w:rPr>
            </w:pPr>
            <w:r>
              <w:rPr>
                <w:rFonts w:hint="eastAsia" w:ascii="仿宋" w:hAnsi="仿宋" w:eastAsia="仿宋" w:cs="宋体"/>
                <w:color w:val="000000"/>
                <w:kern w:val="0"/>
                <w:szCs w:val="21"/>
              </w:rPr>
              <w:t>石碁镇南浦村</w:t>
            </w:r>
          </w:p>
        </w:tc>
        <w:tc>
          <w:tcPr>
            <w:tcW w:w="1615" w:type="dxa"/>
            <w:shd w:val="clear" w:color="auto" w:fill="auto"/>
            <w:vAlign w:val="center"/>
          </w:tcPr>
          <w:p>
            <w:pPr>
              <w:widowControl/>
              <w:adjustRightInd w:val="0"/>
              <w:snapToGrid w:val="0"/>
              <w:jc w:val="center"/>
              <w:rPr>
                <w:rFonts w:ascii="仿宋" w:hAnsi="仿宋" w:eastAsia="仿宋" w:cs="宋体"/>
                <w:color w:val="000000"/>
                <w:kern w:val="0"/>
                <w:szCs w:val="21"/>
              </w:rPr>
            </w:pPr>
            <w:r>
              <w:rPr>
                <w:rFonts w:hint="eastAsia" w:ascii="仿宋" w:hAnsi="仿宋" w:eastAsia="仿宋" w:cs="宋体"/>
                <w:color w:val="000000"/>
                <w:kern w:val="0"/>
                <w:szCs w:val="21"/>
              </w:rPr>
              <w:t>南浦更新改造项目</w:t>
            </w:r>
            <w:r>
              <w:rPr>
                <w:rFonts w:ascii="Times New Roman" w:hAnsi="Times New Roman" w:eastAsia="仿宋" w:cs="Times New Roman"/>
                <w:color w:val="000000"/>
                <w:kern w:val="0"/>
                <w:szCs w:val="21"/>
              </w:rPr>
              <w:t>1</w:t>
            </w:r>
          </w:p>
        </w:tc>
        <w:tc>
          <w:tcPr>
            <w:tcW w:w="1125" w:type="dxa"/>
            <w:shd w:val="clear" w:color="auto" w:fill="auto"/>
            <w:vAlign w:val="center"/>
          </w:tcPr>
          <w:p>
            <w:pPr>
              <w:widowControl/>
              <w:adjustRightInd w:val="0"/>
              <w:snapToGrid w:val="0"/>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0.2633</w:t>
            </w:r>
          </w:p>
        </w:tc>
        <w:tc>
          <w:tcPr>
            <w:tcW w:w="1116" w:type="dxa"/>
            <w:shd w:val="clear" w:color="auto" w:fill="auto"/>
            <w:vAlign w:val="center"/>
          </w:tcPr>
          <w:p>
            <w:pPr>
              <w:widowControl/>
              <w:adjustRightInd w:val="0"/>
              <w:snapToGrid w:val="0"/>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0.2633</w:t>
            </w:r>
          </w:p>
        </w:tc>
        <w:tc>
          <w:tcPr>
            <w:tcW w:w="1072" w:type="dxa"/>
            <w:shd w:val="clear" w:color="auto" w:fill="auto"/>
            <w:vAlign w:val="center"/>
          </w:tcPr>
          <w:p>
            <w:pPr>
              <w:widowControl/>
              <w:adjustRightInd w:val="0"/>
              <w:snapToGrid w:val="0"/>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72" w:type="dxa"/>
            <w:shd w:val="clear" w:color="auto" w:fill="auto"/>
            <w:vAlign w:val="center"/>
          </w:tcPr>
          <w:p>
            <w:pPr>
              <w:widowControl/>
              <w:adjustRightInd w:val="0"/>
              <w:snapToGrid w:val="0"/>
              <w:jc w:val="center"/>
              <w:rPr>
                <w:rFonts w:ascii="仿宋" w:hAnsi="仿宋" w:eastAsia="仿宋" w:cs="宋体"/>
                <w:color w:val="000000"/>
                <w:kern w:val="0"/>
                <w:szCs w:val="21"/>
              </w:rPr>
            </w:pPr>
            <w:r>
              <w:rPr>
                <w:rFonts w:hint="eastAsia" w:ascii="仿宋" w:hAnsi="仿宋" w:eastAsia="仿宋" w:cs="宋体"/>
                <w:color w:val="000000"/>
                <w:kern w:val="0"/>
                <w:szCs w:val="21"/>
              </w:rPr>
              <w:t>石碁镇南浦村片区二</w:t>
            </w:r>
          </w:p>
        </w:tc>
        <w:tc>
          <w:tcPr>
            <w:tcW w:w="1170" w:type="dxa"/>
            <w:shd w:val="clear" w:color="auto" w:fill="auto"/>
            <w:vAlign w:val="center"/>
          </w:tcPr>
          <w:p>
            <w:pPr>
              <w:widowControl/>
              <w:adjustRightInd w:val="0"/>
              <w:snapToGrid w:val="0"/>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3.9137</w:t>
            </w:r>
          </w:p>
        </w:tc>
        <w:tc>
          <w:tcPr>
            <w:tcW w:w="816" w:type="dxa"/>
            <w:vMerge w:val="continue"/>
            <w:shd w:val="clear" w:color="auto" w:fill="auto"/>
            <w:vAlign w:val="center"/>
          </w:tcPr>
          <w:p>
            <w:pPr>
              <w:widowControl/>
              <w:adjustRightInd w:val="0"/>
              <w:snapToGrid w:val="0"/>
              <w:jc w:val="center"/>
              <w:rPr>
                <w:rFonts w:ascii="仿宋" w:hAnsi="仿宋" w:eastAsia="仿宋" w:cs="宋体"/>
                <w:color w:val="000000"/>
                <w:kern w:val="0"/>
                <w:szCs w:val="21"/>
              </w:rPr>
            </w:pPr>
          </w:p>
        </w:tc>
        <w:tc>
          <w:tcPr>
            <w:tcW w:w="1615" w:type="dxa"/>
            <w:shd w:val="clear" w:color="auto" w:fill="auto"/>
            <w:vAlign w:val="center"/>
          </w:tcPr>
          <w:p>
            <w:pPr>
              <w:widowControl/>
              <w:adjustRightInd w:val="0"/>
              <w:snapToGrid w:val="0"/>
              <w:jc w:val="center"/>
              <w:rPr>
                <w:rFonts w:ascii="仿宋" w:hAnsi="仿宋" w:eastAsia="仿宋" w:cs="宋体"/>
                <w:color w:val="000000"/>
                <w:kern w:val="0"/>
                <w:szCs w:val="21"/>
              </w:rPr>
            </w:pPr>
            <w:r>
              <w:rPr>
                <w:rFonts w:hint="eastAsia" w:ascii="仿宋" w:hAnsi="仿宋" w:eastAsia="仿宋" w:cs="宋体"/>
                <w:color w:val="000000"/>
                <w:kern w:val="0"/>
                <w:szCs w:val="21"/>
              </w:rPr>
              <w:t>南浦更新改造项目</w:t>
            </w:r>
            <w:r>
              <w:rPr>
                <w:rFonts w:ascii="Times New Roman" w:hAnsi="Times New Roman" w:eastAsia="仿宋" w:cs="Times New Roman"/>
                <w:color w:val="000000"/>
                <w:kern w:val="0"/>
                <w:szCs w:val="21"/>
              </w:rPr>
              <w:t>2</w:t>
            </w:r>
          </w:p>
        </w:tc>
        <w:tc>
          <w:tcPr>
            <w:tcW w:w="1125" w:type="dxa"/>
            <w:shd w:val="clear" w:color="auto" w:fill="auto"/>
            <w:vAlign w:val="center"/>
          </w:tcPr>
          <w:p>
            <w:pPr>
              <w:widowControl/>
              <w:adjustRightInd w:val="0"/>
              <w:snapToGrid w:val="0"/>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2.6957</w:t>
            </w:r>
          </w:p>
        </w:tc>
        <w:tc>
          <w:tcPr>
            <w:tcW w:w="1116" w:type="dxa"/>
            <w:shd w:val="clear" w:color="auto" w:fill="auto"/>
            <w:vAlign w:val="center"/>
          </w:tcPr>
          <w:p>
            <w:pPr>
              <w:widowControl/>
              <w:adjustRightInd w:val="0"/>
              <w:snapToGrid w:val="0"/>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2.6957</w:t>
            </w:r>
          </w:p>
        </w:tc>
        <w:tc>
          <w:tcPr>
            <w:tcW w:w="1072" w:type="dxa"/>
            <w:shd w:val="clear" w:color="auto" w:fill="auto"/>
            <w:vAlign w:val="center"/>
          </w:tcPr>
          <w:p>
            <w:pPr>
              <w:widowControl/>
              <w:adjustRightInd w:val="0"/>
              <w:snapToGrid w:val="0"/>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68.88%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72" w:type="dxa"/>
            <w:shd w:val="clear" w:color="auto" w:fill="auto"/>
            <w:vAlign w:val="center"/>
          </w:tcPr>
          <w:p>
            <w:pPr>
              <w:widowControl/>
              <w:adjustRightInd w:val="0"/>
              <w:snapToGrid w:val="0"/>
              <w:jc w:val="center"/>
              <w:rPr>
                <w:rFonts w:ascii="仿宋" w:hAnsi="仿宋" w:eastAsia="仿宋" w:cs="宋体"/>
                <w:color w:val="000000"/>
                <w:kern w:val="0"/>
                <w:szCs w:val="21"/>
              </w:rPr>
            </w:pPr>
            <w:r>
              <w:rPr>
                <w:rFonts w:hint="eastAsia" w:ascii="仿宋" w:hAnsi="仿宋" w:eastAsia="仿宋" w:cs="宋体"/>
                <w:color w:val="000000"/>
                <w:kern w:val="0"/>
                <w:szCs w:val="21"/>
              </w:rPr>
              <w:t>总计</w:t>
            </w:r>
          </w:p>
        </w:tc>
        <w:tc>
          <w:tcPr>
            <w:tcW w:w="1170" w:type="dxa"/>
            <w:shd w:val="clear" w:color="auto" w:fill="auto"/>
            <w:noWrap/>
            <w:vAlign w:val="center"/>
          </w:tcPr>
          <w:p>
            <w:pPr>
              <w:widowControl/>
              <w:adjustRightInd w:val="0"/>
              <w:snapToGrid w:val="0"/>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65.3751</w:t>
            </w:r>
          </w:p>
        </w:tc>
        <w:tc>
          <w:tcPr>
            <w:tcW w:w="816" w:type="dxa"/>
            <w:shd w:val="clear" w:color="auto" w:fill="auto"/>
            <w:vAlign w:val="center"/>
          </w:tcPr>
          <w:p>
            <w:pPr>
              <w:widowControl/>
              <w:adjustRightInd w:val="0"/>
              <w:snapToGrid w:val="0"/>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w:t>
            </w:r>
          </w:p>
        </w:tc>
        <w:tc>
          <w:tcPr>
            <w:tcW w:w="1615" w:type="dxa"/>
            <w:shd w:val="clear" w:color="auto" w:fill="auto"/>
            <w:vAlign w:val="center"/>
          </w:tcPr>
          <w:p>
            <w:pPr>
              <w:widowControl/>
              <w:adjustRightInd w:val="0"/>
              <w:snapToGrid w:val="0"/>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w:t>
            </w:r>
          </w:p>
        </w:tc>
        <w:tc>
          <w:tcPr>
            <w:tcW w:w="1125" w:type="dxa"/>
            <w:shd w:val="clear" w:color="auto" w:fill="auto"/>
            <w:vAlign w:val="center"/>
          </w:tcPr>
          <w:p>
            <w:pPr>
              <w:widowControl/>
              <w:adjustRightInd w:val="0"/>
              <w:snapToGrid w:val="0"/>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60.2769</w:t>
            </w:r>
          </w:p>
        </w:tc>
        <w:tc>
          <w:tcPr>
            <w:tcW w:w="1116" w:type="dxa"/>
            <w:shd w:val="clear" w:color="auto" w:fill="auto"/>
            <w:vAlign w:val="center"/>
          </w:tcPr>
          <w:p>
            <w:pPr>
              <w:widowControl/>
              <w:adjustRightInd w:val="0"/>
              <w:snapToGrid w:val="0"/>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60.2769</w:t>
            </w:r>
          </w:p>
        </w:tc>
        <w:tc>
          <w:tcPr>
            <w:tcW w:w="1072" w:type="dxa"/>
            <w:shd w:val="clear" w:color="auto" w:fill="auto"/>
            <w:vAlign w:val="center"/>
          </w:tcPr>
          <w:p>
            <w:pPr>
              <w:widowControl/>
              <w:adjustRightInd w:val="0"/>
              <w:snapToGrid w:val="0"/>
              <w:jc w:val="center"/>
              <w:rPr>
                <w:rFonts w:ascii="Times New Roman" w:hAnsi="Times New Roman" w:eastAsia="等线" w:cs="Times New Roman"/>
                <w:color w:val="000000"/>
                <w:kern w:val="0"/>
                <w:szCs w:val="21"/>
              </w:rPr>
            </w:pPr>
            <w:r>
              <w:rPr>
                <w:rFonts w:ascii="Times New Roman" w:hAnsi="Times New Roman" w:eastAsia="等线" w:cs="Times New Roman"/>
                <w:color w:val="000000"/>
                <w:kern w:val="0"/>
                <w:szCs w:val="21"/>
              </w:rPr>
              <w:t>92.20%</w:t>
            </w:r>
          </w:p>
        </w:tc>
      </w:tr>
    </w:tbl>
    <w:p>
      <w:pPr>
        <w:adjustRightInd w:val="0"/>
        <w:snapToGrid w:val="0"/>
        <w:spacing w:before="156" w:beforeLines="50" w:line="360" w:lineRule="auto"/>
        <w:outlineLvl w:val="0"/>
        <w:rPr>
          <w:rFonts w:ascii="Times New Roman" w:hAnsi="Times New Roman" w:eastAsia="仿宋" w:cs="Times New Roman"/>
          <w:b/>
          <w:bCs/>
          <w:sz w:val="30"/>
          <w:szCs w:val="30"/>
        </w:rPr>
      </w:pPr>
      <w:r>
        <w:rPr>
          <w:rFonts w:ascii="Times New Roman" w:hAnsi="Times New Roman" w:eastAsia="仿宋" w:cs="Times New Roman"/>
          <w:b/>
          <w:bCs/>
          <w:sz w:val="30"/>
          <w:szCs w:val="30"/>
        </w:rPr>
        <w:t>三、成片开发的必要性、主要用途和实现功能</w:t>
      </w:r>
    </w:p>
    <w:p>
      <w:pPr>
        <w:adjustRightInd w:val="0"/>
        <w:snapToGrid w:val="0"/>
        <w:spacing w:line="360" w:lineRule="auto"/>
        <w:ind w:firstLine="560" w:firstLineChars="200"/>
        <w:rPr>
          <w:rFonts w:ascii="Times New Roman" w:hAnsi="Times New Roman" w:eastAsia="仿宋" w:cs="Times New Roman"/>
          <w:sz w:val="28"/>
          <w:szCs w:val="22"/>
        </w:rPr>
      </w:pPr>
      <w:r>
        <w:rPr>
          <w:rFonts w:ascii="Times New Roman" w:hAnsi="Times New Roman" w:eastAsia="仿宋" w:cs="Times New Roman"/>
          <w:sz w:val="28"/>
          <w:szCs w:val="22"/>
        </w:rPr>
        <w:t>通过本次成片开发方案的编制实施，</w:t>
      </w:r>
      <w:r>
        <w:rPr>
          <w:rFonts w:hint="eastAsia" w:ascii="Times New Roman" w:hAnsi="Times New Roman" w:eastAsia="仿宋" w:cs="Times New Roman"/>
          <w:sz w:val="28"/>
          <w:szCs w:val="22"/>
        </w:rPr>
        <w:t>响应上位规划，推动“实现老城市新活力”重要指示。本次土地征收成片开发方案征收用地涉及里仁洞村、南浦村旧村改造实施方案中居住用地、道路用地等多种用地类型，通过聚焦城市更新，提升人居环境品质，为番禺区补齐民生设施短板、开创高质量发展局面提供发展空间。改善传统土地征收模式，提高土地集约节约利用。</w:t>
      </w:r>
      <w:r>
        <w:rPr>
          <w:rFonts w:ascii="Times New Roman" w:hAnsi="Times New Roman" w:eastAsia="仿宋" w:cs="Times New Roman"/>
          <w:sz w:val="28"/>
          <w:szCs w:val="22"/>
        </w:rPr>
        <w:t>衔接国土空间总体规划，提高土地集约节约利用。有利于统筹片区各类用地整体开发建设，发挥城市集聚效应，提高用地产出效益，提升土地利用效率。助力重大产业平台建设，推动产业链群集聚发展。推动番禺区实现产业动能转换升级、助力番禺区实现高质量发展。促进城乡融合发展，保障被征地农民合法权益。坚持以人民为中心，保障农民合法权益，注重土地节约集约节约利用，加快城乡融合，注重生态环境保护，促进番禺区经济社会可持续发展。推进基础设施和公共服务设施建设，构筑品质番禺。保障片区内公益性用地占比不低于40%，推进片区道路交通基础设施、教育、文化、医疗卫生、公园绿地等基础设施、公共服务设施和其他公益性项目建设，提升片区生产生活水平。</w:t>
      </w:r>
    </w:p>
    <w:p>
      <w:pPr>
        <w:adjustRightInd w:val="0"/>
        <w:snapToGrid w:val="0"/>
        <w:spacing w:line="360" w:lineRule="auto"/>
        <w:ind w:firstLine="560" w:firstLineChars="200"/>
        <w:rPr>
          <w:rFonts w:ascii="Times New Roman" w:hAnsi="Times New Roman" w:eastAsia="仿宋" w:cs="Times New Roman"/>
          <w:sz w:val="32"/>
        </w:rPr>
      </w:pPr>
      <w:r>
        <w:rPr>
          <w:rFonts w:ascii="Times New Roman" w:hAnsi="Times New Roman" w:eastAsia="仿宋" w:cs="Times New Roman"/>
          <w:sz w:val="28"/>
          <w:szCs w:val="22"/>
        </w:rPr>
        <w:t>本次土地征收成片开发方案共划定</w:t>
      </w:r>
      <w:r>
        <w:rPr>
          <w:rFonts w:hint="eastAsia" w:ascii="Times New Roman" w:hAnsi="Times New Roman" w:eastAsia="仿宋" w:cs="Times New Roman"/>
          <w:sz w:val="28"/>
          <w:szCs w:val="22"/>
        </w:rPr>
        <w:t>8</w:t>
      </w:r>
      <w:r>
        <w:rPr>
          <w:rFonts w:ascii="Times New Roman" w:hAnsi="Times New Roman" w:eastAsia="仿宋" w:cs="Times New Roman"/>
          <w:sz w:val="28"/>
          <w:szCs w:val="22"/>
        </w:rPr>
        <w:t>个成片开发片区，拟安排建设</w:t>
      </w:r>
      <w:r>
        <w:rPr>
          <w:rFonts w:hint="eastAsia" w:ascii="Times New Roman" w:hAnsi="Times New Roman" w:eastAsia="仿宋" w:cs="Times New Roman"/>
          <w:sz w:val="28"/>
          <w:szCs w:val="22"/>
        </w:rPr>
        <w:t>13</w:t>
      </w:r>
      <w:r>
        <w:rPr>
          <w:rFonts w:ascii="Times New Roman" w:hAnsi="Times New Roman" w:eastAsia="仿宋" w:cs="Times New Roman"/>
          <w:sz w:val="28"/>
          <w:szCs w:val="22"/>
        </w:rPr>
        <w:t>个项目。根据控制性详细规划，整体以</w:t>
      </w:r>
      <w:r>
        <w:rPr>
          <w:rFonts w:hint="eastAsia" w:ascii="Times New Roman" w:hAnsi="Times New Roman" w:eastAsia="仿宋" w:cs="Times New Roman"/>
          <w:sz w:val="28"/>
          <w:szCs w:val="22"/>
        </w:rPr>
        <w:t>商业用地、居住用地结合道路用地、绿地</w:t>
      </w:r>
      <w:r>
        <w:rPr>
          <w:rFonts w:ascii="Times New Roman" w:hAnsi="Times New Roman" w:eastAsia="仿宋" w:cs="Times New Roman"/>
          <w:sz w:val="28"/>
          <w:szCs w:val="22"/>
        </w:rPr>
        <w:t>形成成片开发区域。</w:t>
      </w:r>
    </w:p>
    <w:p>
      <w:pPr>
        <w:adjustRightInd w:val="0"/>
        <w:snapToGrid w:val="0"/>
        <w:spacing w:line="360" w:lineRule="auto"/>
        <w:outlineLvl w:val="0"/>
        <w:rPr>
          <w:rFonts w:ascii="Times New Roman" w:hAnsi="Times New Roman" w:eastAsia="仿宋" w:cs="Times New Roman"/>
          <w:b/>
          <w:bCs/>
          <w:sz w:val="30"/>
          <w:szCs w:val="30"/>
        </w:rPr>
      </w:pPr>
      <w:r>
        <w:rPr>
          <w:rFonts w:ascii="Times New Roman" w:hAnsi="Times New Roman" w:eastAsia="仿宋" w:cs="Times New Roman"/>
          <w:b/>
          <w:bCs/>
          <w:sz w:val="30"/>
          <w:szCs w:val="30"/>
        </w:rPr>
        <w:t>四、成片开发合规性分析</w:t>
      </w:r>
    </w:p>
    <w:p>
      <w:pPr>
        <w:adjustRightInd w:val="0"/>
        <w:snapToGrid w:val="0"/>
        <w:spacing w:line="360" w:lineRule="auto"/>
        <w:ind w:firstLine="560" w:firstLineChars="200"/>
        <w:rPr>
          <w:rFonts w:ascii="Times New Roman" w:hAnsi="Times New Roman" w:eastAsia="仿宋" w:cs="Times New Roman"/>
          <w:sz w:val="28"/>
          <w:szCs w:val="22"/>
        </w:rPr>
      </w:pPr>
      <w:r>
        <w:rPr>
          <w:rFonts w:ascii="Times New Roman" w:hAnsi="Times New Roman" w:eastAsia="仿宋" w:cs="Times New Roman"/>
          <w:sz w:val="28"/>
          <w:szCs w:val="22"/>
        </w:rPr>
        <w:t>本次土地征收成片开发方案符合国民经济和社会发展规划、国土空间</w:t>
      </w:r>
      <w:r>
        <w:rPr>
          <w:rFonts w:hint="eastAsia" w:ascii="Times New Roman" w:hAnsi="Times New Roman" w:eastAsia="仿宋" w:cs="Times New Roman"/>
          <w:sz w:val="28"/>
          <w:szCs w:val="22"/>
        </w:rPr>
        <w:t>总体</w:t>
      </w:r>
      <w:r>
        <w:rPr>
          <w:rFonts w:ascii="Times New Roman" w:hAnsi="Times New Roman" w:eastAsia="仿宋" w:cs="Times New Roman"/>
          <w:sz w:val="28"/>
          <w:szCs w:val="22"/>
        </w:rPr>
        <w:t>规划</w:t>
      </w:r>
      <w:r>
        <w:rPr>
          <w:rFonts w:hint="eastAsia" w:ascii="Times New Roman" w:hAnsi="Times New Roman" w:eastAsia="仿宋" w:cs="Times New Roman"/>
          <w:sz w:val="28"/>
          <w:szCs w:val="22"/>
        </w:rPr>
        <w:t>、控制性详细规划</w:t>
      </w:r>
      <w:r>
        <w:rPr>
          <w:rFonts w:ascii="Times New Roman" w:hAnsi="Times New Roman" w:eastAsia="仿宋" w:cs="Times New Roman"/>
          <w:sz w:val="28"/>
          <w:szCs w:val="22"/>
        </w:rPr>
        <w:t>充分衔接，不涉及占用永久基本农田和生态保护红线，严格遵守“三线一单”生态环境分区管控要求。</w:t>
      </w:r>
    </w:p>
    <w:p>
      <w:pPr>
        <w:adjustRightInd w:val="0"/>
        <w:snapToGrid w:val="0"/>
        <w:spacing w:line="360" w:lineRule="auto"/>
        <w:ind w:firstLine="560" w:firstLineChars="200"/>
        <w:rPr>
          <w:rFonts w:ascii="Times New Roman" w:hAnsi="Times New Roman" w:eastAsia="仿宋" w:cs="Times New Roman"/>
          <w:sz w:val="28"/>
          <w:szCs w:val="22"/>
        </w:rPr>
      </w:pPr>
      <w:r>
        <w:rPr>
          <w:rFonts w:ascii="Times New Roman" w:hAnsi="Times New Roman" w:eastAsia="仿宋" w:cs="Times New Roman"/>
          <w:sz w:val="28"/>
          <w:szCs w:val="22"/>
        </w:rPr>
        <w:t>番禺区近五年来（统计时间201</w:t>
      </w:r>
      <w:r>
        <w:rPr>
          <w:rFonts w:hint="eastAsia" w:ascii="Times New Roman" w:hAnsi="Times New Roman" w:eastAsia="仿宋" w:cs="Times New Roman"/>
          <w:sz w:val="28"/>
          <w:szCs w:val="22"/>
        </w:rPr>
        <w:t>9</w:t>
      </w:r>
      <w:r>
        <w:rPr>
          <w:rFonts w:ascii="Times New Roman" w:hAnsi="Times New Roman" w:eastAsia="仿宋" w:cs="Times New Roman"/>
          <w:sz w:val="28"/>
          <w:szCs w:val="22"/>
        </w:rPr>
        <w:t>年至202</w:t>
      </w:r>
      <w:r>
        <w:rPr>
          <w:rFonts w:hint="eastAsia" w:ascii="Times New Roman" w:hAnsi="Times New Roman" w:eastAsia="仿宋" w:cs="Times New Roman"/>
          <w:sz w:val="28"/>
          <w:szCs w:val="22"/>
        </w:rPr>
        <w:t>3</w:t>
      </w:r>
      <w:r>
        <w:rPr>
          <w:rFonts w:ascii="Times New Roman" w:hAnsi="Times New Roman" w:eastAsia="仿宋" w:cs="Times New Roman"/>
          <w:sz w:val="28"/>
          <w:szCs w:val="22"/>
        </w:rPr>
        <w:t>年）供地率大于60%；土地闲置率小于5%，不存在大量批而未供、闲置土地的情况，符合成片开发方案上报审查的要求。</w:t>
      </w:r>
    </w:p>
    <w:p>
      <w:pPr>
        <w:adjustRightInd w:val="0"/>
        <w:snapToGrid w:val="0"/>
        <w:spacing w:line="360" w:lineRule="auto"/>
        <w:outlineLvl w:val="0"/>
        <w:rPr>
          <w:rFonts w:ascii="Times New Roman" w:hAnsi="Times New Roman" w:eastAsia="仿宋" w:cs="Times New Roman"/>
          <w:b/>
          <w:bCs/>
          <w:sz w:val="30"/>
          <w:szCs w:val="30"/>
        </w:rPr>
      </w:pPr>
      <w:r>
        <w:rPr>
          <w:rFonts w:ascii="Times New Roman" w:hAnsi="Times New Roman" w:eastAsia="仿宋" w:cs="Times New Roman"/>
          <w:b/>
          <w:bCs/>
          <w:sz w:val="30"/>
          <w:szCs w:val="30"/>
        </w:rPr>
        <w:t>五、成片开发区域内公益性用地占比</w:t>
      </w:r>
    </w:p>
    <w:p>
      <w:pPr>
        <w:adjustRightInd w:val="0"/>
        <w:snapToGrid w:val="0"/>
        <w:spacing w:line="360" w:lineRule="auto"/>
        <w:ind w:firstLine="560" w:firstLineChars="200"/>
        <w:rPr>
          <w:rFonts w:ascii="Times New Roman" w:hAnsi="Times New Roman" w:eastAsia="仿宋" w:cs="Times New Roman"/>
          <w:sz w:val="28"/>
          <w:szCs w:val="22"/>
        </w:rPr>
      </w:pPr>
      <w:r>
        <w:rPr>
          <w:rFonts w:ascii="Times New Roman" w:hAnsi="Times New Roman" w:eastAsia="仿宋" w:cs="Times New Roman"/>
          <w:sz w:val="28"/>
          <w:szCs w:val="22"/>
        </w:rPr>
        <w:t>本次土地征收成片开发片区内基础设施、公共服务设施和其他公益性用地36.3290公顷，占总用地比例</w:t>
      </w:r>
      <w:r>
        <w:rPr>
          <w:rFonts w:hint="eastAsia" w:ascii="Times New Roman" w:hAnsi="Times New Roman" w:eastAsia="仿宋" w:cs="Times New Roman"/>
          <w:sz w:val="28"/>
          <w:szCs w:val="22"/>
        </w:rPr>
        <w:t>55.57</w:t>
      </w:r>
      <w:r>
        <w:rPr>
          <w:rFonts w:ascii="Times New Roman" w:hAnsi="Times New Roman" w:eastAsia="仿宋" w:cs="Times New Roman"/>
          <w:sz w:val="28"/>
          <w:szCs w:val="22"/>
        </w:rPr>
        <w:t>%，符合一个完整的土地征收成片开发范围内基础设施、公共服务设施和其他公益性用地比例一般不低于40%的要求。</w:t>
      </w:r>
    </w:p>
    <w:p>
      <w:pPr>
        <w:adjustRightInd w:val="0"/>
        <w:snapToGrid w:val="0"/>
        <w:spacing w:line="360" w:lineRule="auto"/>
        <w:outlineLvl w:val="0"/>
        <w:rPr>
          <w:rFonts w:ascii="Times New Roman" w:hAnsi="Times New Roman" w:eastAsia="仿宋" w:cs="Times New Roman"/>
          <w:b/>
          <w:bCs/>
          <w:sz w:val="30"/>
          <w:szCs w:val="30"/>
        </w:rPr>
      </w:pPr>
      <w:r>
        <w:rPr>
          <w:rFonts w:ascii="Times New Roman" w:hAnsi="Times New Roman" w:eastAsia="仿宋" w:cs="Times New Roman"/>
          <w:b/>
          <w:bCs/>
          <w:sz w:val="30"/>
          <w:szCs w:val="30"/>
        </w:rPr>
        <w:t>六、成片开发拟安排项目及实施计划</w:t>
      </w:r>
    </w:p>
    <w:p>
      <w:pPr>
        <w:adjustRightInd w:val="0"/>
        <w:snapToGrid w:val="0"/>
        <w:spacing w:line="360" w:lineRule="auto"/>
        <w:ind w:firstLine="560" w:firstLineChars="200"/>
        <w:rPr>
          <w:rFonts w:ascii="Times New Roman" w:hAnsi="Times New Roman" w:eastAsia="仿宋" w:cs="Times New Roman"/>
          <w:sz w:val="28"/>
          <w:szCs w:val="22"/>
        </w:rPr>
      </w:pPr>
      <w:r>
        <w:rPr>
          <w:rFonts w:ascii="Times New Roman" w:hAnsi="Times New Roman" w:eastAsia="仿宋" w:cs="Times New Roman"/>
          <w:sz w:val="28"/>
          <w:szCs w:val="22"/>
        </w:rPr>
        <w:t>本次土地征收成片开发方案共划定</w:t>
      </w:r>
      <w:r>
        <w:rPr>
          <w:rFonts w:hint="eastAsia" w:ascii="Times New Roman" w:hAnsi="Times New Roman" w:eastAsia="仿宋" w:cs="Times New Roman"/>
          <w:sz w:val="28"/>
          <w:szCs w:val="22"/>
        </w:rPr>
        <w:t>8</w:t>
      </w:r>
      <w:r>
        <w:rPr>
          <w:rFonts w:ascii="Times New Roman" w:hAnsi="Times New Roman" w:eastAsia="仿宋" w:cs="Times New Roman"/>
          <w:sz w:val="28"/>
          <w:szCs w:val="22"/>
        </w:rPr>
        <w:t>个成片开发片区，拟安排建设1</w:t>
      </w:r>
      <w:r>
        <w:rPr>
          <w:rFonts w:hint="eastAsia" w:ascii="Times New Roman" w:hAnsi="Times New Roman" w:eastAsia="仿宋" w:cs="Times New Roman"/>
          <w:sz w:val="28"/>
          <w:szCs w:val="22"/>
        </w:rPr>
        <w:t>3</w:t>
      </w:r>
      <w:r>
        <w:rPr>
          <w:rFonts w:ascii="Times New Roman" w:hAnsi="Times New Roman" w:eastAsia="仿宋" w:cs="Times New Roman"/>
          <w:sz w:val="28"/>
          <w:szCs w:val="22"/>
        </w:rPr>
        <w:t>个项目，计划于2025-2027年实施。</w:t>
      </w:r>
    </w:p>
    <w:p>
      <w:pPr>
        <w:adjustRightInd w:val="0"/>
        <w:snapToGrid w:val="0"/>
        <w:spacing w:line="360" w:lineRule="auto"/>
        <w:outlineLvl w:val="0"/>
        <w:rPr>
          <w:rFonts w:ascii="Times New Roman" w:hAnsi="Times New Roman" w:eastAsia="仿宋" w:cs="Times New Roman"/>
          <w:b/>
          <w:bCs/>
          <w:sz w:val="30"/>
          <w:szCs w:val="30"/>
        </w:rPr>
      </w:pPr>
      <w:r>
        <w:rPr>
          <w:rFonts w:ascii="Times New Roman" w:hAnsi="Times New Roman" w:eastAsia="仿宋" w:cs="Times New Roman"/>
          <w:b/>
          <w:bCs/>
          <w:sz w:val="30"/>
          <w:szCs w:val="30"/>
        </w:rPr>
        <w:t>七、成片开发效益评估</w:t>
      </w:r>
    </w:p>
    <w:p>
      <w:pPr>
        <w:adjustRightInd w:val="0"/>
        <w:snapToGrid w:val="0"/>
        <w:spacing w:line="360" w:lineRule="auto"/>
        <w:ind w:firstLine="560" w:firstLineChars="200"/>
        <w:rPr>
          <w:rFonts w:ascii="Times New Roman" w:hAnsi="Times New Roman" w:eastAsia="仿宋" w:cs="Times New Roman"/>
          <w:sz w:val="28"/>
          <w:szCs w:val="22"/>
        </w:rPr>
      </w:pPr>
      <w:r>
        <w:rPr>
          <w:rFonts w:ascii="Times New Roman" w:hAnsi="Times New Roman" w:eastAsia="仿宋" w:cs="Times New Roman"/>
          <w:sz w:val="28"/>
          <w:szCs w:val="22"/>
        </w:rPr>
        <w:t>土地利用效益方面，本次土地征收成片开发有助于优化</w:t>
      </w:r>
      <w:r>
        <w:rPr>
          <w:rFonts w:hint="eastAsia" w:ascii="Times New Roman" w:hAnsi="Times New Roman" w:eastAsia="仿宋" w:cs="Times New Roman"/>
          <w:sz w:val="28"/>
          <w:szCs w:val="22"/>
        </w:rPr>
        <w:t>南村镇、石碁镇</w:t>
      </w:r>
      <w:r>
        <w:rPr>
          <w:rFonts w:ascii="Times New Roman" w:hAnsi="Times New Roman" w:eastAsia="仿宋" w:cs="Times New Roman"/>
          <w:sz w:val="28"/>
          <w:szCs w:val="22"/>
        </w:rPr>
        <w:t>的建设用地空间格局，提高成片开发范围的土地开发利用率和片区综合容积率，提升土地节约集约利用水平，推动成片开发范围内土地高质量利用和可持续发展。</w:t>
      </w:r>
    </w:p>
    <w:p>
      <w:pPr>
        <w:adjustRightInd w:val="0"/>
        <w:snapToGrid w:val="0"/>
        <w:spacing w:line="360" w:lineRule="auto"/>
        <w:ind w:firstLine="560" w:firstLineChars="200"/>
        <w:rPr>
          <w:rFonts w:ascii="Times New Roman" w:hAnsi="Times New Roman" w:eastAsia="仿宋" w:cs="Times New Roman"/>
          <w:sz w:val="28"/>
          <w:szCs w:val="22"/>
        </w:rPr>
      </w:pPr>
      <w:r>
        <w:rPr>
          <w:rFonts w:ascii="Times New Roman" w:hAnsi="Times New Roman" w:eastAsia="仿宋" w:cs="Times New Roman"/>
          <w:sz w:val="28"/>
          <w:szCs w:val="22"/>
        </w:rPr>
        <w:t>经济效益方面，通过本次土地成片开发，</w:t>
      </w:r>
      <w:r>
        <w:rPr>
          <w:rFonts w:hint="eastAsia" w:ascii="Times New Roman" w:hAnsi="Times New Roman" w:eastAsia="仿宋" w:cs="Times New Roman"/>
          <w:sz w:val="28"/>
          <w:szCs w:val="22"/>
        </w:rPr>
        <w:t>使得旧村改造由单一产业结构升级为集生态、文化、产业、居住一体的多元业态结构，有利于优化经济结构和推动产业升级，促进产业基础高级化、产业链现代化。同时随着产业升级、配套设施完善、土地价值提高，都将带动区域经济的发展，带来居民受益提升。</w:t>
      </w:r>
    </w:p>
    <w:p>
      <w:pPr>
        <w:adjustRightInd w:val="0"/>
        <w:snapToGrid w:val="0"/>
        <w:spacing w:line="360" w:lineRule="auto"/>
        <w:ind w:firstLine="560" w:firstLineChars="200"/>
        <w:rPr>
          <w:rFonts w:ascii="Times New Roman" w:hAnsi="Times New Roman" w:eastAsia="仿宋" w:cs="Times New Roman"/>
          <w:sz w:val="28"/>
          <w:szCs w:val="22"/>
        </w:rPr>
      </w:pPr>
      <w:r>
        <w:rPr>
          <w:rFonts w:ascii="Times New Roman" w:hAnsi="Times New Roman" w:eastAsia="仿宋" w:cs="Times New Roman"/>
          <w:sz w:val="28"/>
          <w:szCs w:val="22"/>
        </w:rPr>
        <w:t>社会效益方面，通过本次土地成片开发，发展重点地区居住、工业、商业商务、公服配套设施等功能，有利于加速城市建设与配套服务设施落地，提升城市形象界面，建设宜居生活环境，提升居民幸福感；提供更多工作岗位，带动就业与常住人口。</w:t>
      </w:r>
    </w:p>
    <w:p>
      <w:pPr>
        <w:adjustRightInd w:val="0"/>
        <w:snapToGrid w:val="0"/>
        <w:spacing w:line="360" w:lineRule="auto"/>
        <w:ind w:firstLine="560" w:firstLineChars="200"/>
        <w:rPr>
          <w:rFonts w:ascii="Times New Roman" w:hAnsi="Times New Roman" w:eastAsia="仿宋" w:cs="Times New Roman"/>
          <w:sz w:val="28"/>
          <w:szCs w:val="22"/>
        </w:rPr>
      </w:pPr>
      <w:r>
        <w:rPr>
          <w:rFonts w:ascii="Times New Roman" w:hAnsi="Times New Roman" w:eastAsia="仿宋" w:cs="Times New Roman"/>
          <w:sz w:val="28"/>
          <w:szCs w:val="22"/>
        </w:rPr>
        <w:t>生态效益方面，本次成片开发范围内的开发建设将转变现有农用地为建设用地，主要用途为先进制造业、现代服务业、高品质居住及公共服务配套项目，其中产业项目发展可能存在对生态环境的影响，本方案提出以下环境影响减缓措施。</w:t>
      </w:r>
    </w:p>
    <w:p>
      <w:pPr>
        <w:adjustRightInd w:val="0"/>
        <w:snapToGrid w:val="0"/>
        <w:spacing w:line="360" w:lineRule="auto"/>
        <w:outlineLvl w:val="0"/>
        <w:rPr>
          <w:rFonts w:ascii="Times New Roman" w:hAnsi="Times New Roman" w:eastAsia="仿宋" w:cs="Times New Roman"/>
          <w:b/>
          <w:bCs/>
          <w:sz w:val="30"/>
          <w:szCs w:val="30"/>
        </w:rPr>
      </w:pPr>
      <w:r>
        <w:rPr>
          <w:rFonts w:ascii="Times New Roman" w:hAnsi="Times New Roman" w:eastAsia="仿宋" w:cs="Times New Roman"/>
          <w:b/>
          <w:bCs/>
          <w:sz w:val="30"/>
          <w:szCs w:val="30"/>
        </w:rPr>
        <w:t>八、结论</w:t>
      </w:r>
    </w:p>
    <w:p>
      <w:pPr>
        <w:adjustRightInd w:val="0"/>
        <w:snapToGrid w:val="0"/>
        <w:spacing w:line="360" w:lineRule="auto"/>
        <w:ind w:firstLine="560" w:firstLineChars="200"/>
        <w:rPr>
          <w:rFonts w:ascii="Times New Roman" w:hAnsi="Times New Roman" w:eastAsia="仿宋" w:cs="Times New Roman"/>
          <w:sz w:val="28"/>
          <w:szCs w:val="22"/>
        </w:rPr>
        <w:sectPr>
          <w:footerReference r:id="rId3" w:type="default"/>
          <w:pgSz w:w="11906" w:h="16838"/>
          <w:pgMar w:top="1440" w:right="1800" w:bottom="1440" w:left="1800" w:header="851" w:footer="992" w:gutter="0"/>
          <w:cols w:space="425" w:num="1"/>
          <w:docGrid w:type="lines" w:linePitch="312" w:charSpace="0"/>
        </w:sectPr>
      </w:pPr>
      <w:r>
        <w:rPr>
          <w:rFonts w:ascii="Times New Roman" w:hAnsi="Times New Roman" w:eastAsia="仿宋" w:cs="Times New Roman"/>
          <w:sz w:val="28"/>
          <w:szCs w:val="22"/>
        </w:rPr>
        <w:t>综上所述，《广州市番禺区2024年度土地征收成片开发方案（第</w:t>
      </w:r>
      <w:r>
        <w:rPr>
          <w:rFonts w:hint="eastAsia" w:ascii="Times New Roman" w:hAnsi="Times New Roman" w:eastAsia="仿宋" w:cs="Times New Roman"/>
          <w:sz w:val="28"/>
          <w:szCs w:val="22"/>
        </w:rPr>
        <w:t>二</w:t>
      </w:r>
      <w:r>
        <w:rPr>
          <w:rFonts w:ascii="Times New Roman" w:hAnsi="Times New Roman" w:eastAsia="仿宋" w:cs="Times New Roman"/>
          <w:sz w:val="28"/>
          <w:szCs w:val="22"/>
        </w:rPr>
        <w:t>批）》符合</w:t>
      </w:r>
      <w:r>
        <w:rPr>
          <w:rFonts w:hint="eastAsia" w:ascii="Times New Roman" w:hAnsi="Times New Roman" w:eastAsia="仿宋" w:cs="Times New Roman"/>
          <w:sz w:val="28"/>
          <w:szCs w:val="22"/>
        </w:rPr>
        <w:t>《自然资源部关于印发&lt;土地征收成片开发标准&gt;的通知》（自然资规〔2023〕7号）</w:t>
      </w:r>
      <w:r>
        <w:rPr>
          <w:rFonts w:ascii="Times New Roman" w:hAnsi="Times New Roman" w:eastAsia="仿宋" w:cs="Times New Roman"/>
          <w:sz w:val="28"/>
          <w:szCs w:val="22"/>
        </w:rPr>
        <w:t>、《广东省自然资源厅关于规范土地征收成片开发工作的通知》（粤自然资发〔2021〕20号）的要求。</w:t>
      </w:r>
    </w:p>
    <w:p>
      <w:pPr>
        <w:adjustRightInd w:val="0"/>
        <w:snapToGrid w:val="0"/>
        <w:jc w:val="center"/>
        <w:rPr>
          <w:rFonts w:hint="eastAsia"/>
          <w:b/>
          <w:sz w:val="28"/>
          <w:szCs w:val="28"/>
        </w:rPr>
      </w:pPr>
      <w:r>
        <w:fldChar w:fldCharType="begin"/>
      </w:r>
      <w:r>
        <w:instrText xml:space="preserve"> INCLUDEPICTURE "D:\\企业微信资料\\WXWork\\1688855499438046\\Cache\\Image\\2024-08\\0826_页面_1(1).jpg" \* MERGEFORMATINET </w:instrText>
      </w:r>
      <w:r>
        <w:fldChar w:fldCharType="separate"/>
      </w:r>
      <w:r>
        <w:pict>
          <v:shape id="_x0000_i1025" o:spt="75" type="#_x0000_t75" style="height:691pt;width:976.3pt;" filled="f" o:preferrelative="t" stroked="f" coordsize="21600,21600">
            <v:path/>
            <v:fill on="f" focussize="0,0"/>
            <v:stroke on="f" joinstyle="miter"/>
            <v:imagedata r:id="rId5" r:href="rId6" o:title=""/>
            <o:lock v:ext="edit" aspectratio="t"/>
            <w10:wrap type="none"/>
            <w10:anchorlock/>
          </v:shape>
        </w:pict>
      </w:r>
      <w:r>
        <w:fldChar w:fldCharType="end"/>
      </w:r>
    </w:p>
    <w:p>
      <w:pPr>
        <w:adjustRightInd w:val="0"/>
        <w:snapToGrid w:val="0"/>
        <w:jc w:val="center"/>
        <w:rPr>
          <w:b/>
          <w:sz w:val="28"/>
          <w:szCs w:val="28"/>
        </w:rPr>
      </w:pPr>
      <w:r>
        <w:rPr>
          <w:rFonts w:hint="eastAsia"/>
          <w:b/>
          <w:sz w:val="28"/>
          <w:szCs w:val="28"/>
        </w:rPr>
        <w:t>图：成片开发范围位置示意图</w:t>
      </w:r>
    </w:p>
    <w:p>
      <w:pPr>
        <w:adjustRightInd w:val="0"/>
        <w:snapToGrid w:val="0"/>
        <w:jc w:val="center"/>
      </w:pPr>
      <w:r>
        <w:fldChar w:fldCharType="begin"/>
      </w:r>
      <w:r>
        <w:instrText xml:space="preserve"> INCLUDEPICTURE "D:\\企业微信资料\\WXWork\\1688855499438046\\Cache\\Image\\2024-08\\0826_页面_2(1).jpg" \* MERGEFORMATINET </w:instrText>
      </w:r>
      <w:r>
        <w:fldChar w:fldCharType="separate"/>
      </w:r>
      <w:r>
        <w:pict>
          <v:shape id="_x0000_i1026" o:spt="75" type="#_x0000_t75" style="height:691.2pt;width:976.1pt;" filled="f" o:preferrelative="t" stroked="f" coordsize="21600,21600">
            <v:path/>
            <v:fill on="f" focussize="0,0"/>
            <v:stroke on="f" joinstyle="miter"/>
            <v:imagedata r:id="rId7" r:href="rId8" o:title=""/>
            <o:lock v:ext="edit" aspectratio="t"/>
            <w10:wrap type="none"/>
            <w10:anchorlock/>
          </v:shape>
        </w:pict>
      </w:r>
      <w:r>
        <w:fldChar w:fldCharType="end"/>
      </w:r>
    </w:p>
    <w:p>
      <w:pPr>
        <w:adjustRightInd w:val="0"/>
        <w:snapToGrid w:val="0"/>
        <w:jc w:val="center"/>
      </w:pPr>
      <w:r>
        <w:rPr>
          <w:rFonts w:hint="eastAsia"/>
          <w:b/>
          <w:sz w:val="28"/>
          <w:szCs w:val="28"/>
        </w:rPr>
        <w:t>图：拟征收地块位置示意图</w:t>
      </w:r>
    </w:p>
    <w:sectPr>
      <w:pgSz w:w="23811" w:h="16838" w:orient="landscape"/>
      <w:pgMar w:top="720" w:right="720" w:bottom="720" w:left="72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方正小标宋简体">
    <w:panose1 w:val="03000509000000000000"/>
    <w:charset w:val="86"/>
    <w:family w:val="auto"/>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仿宋_GB2312">
    <w:panose1 w:val="02010609030101010101"/>
    <w:charset w:val="86"/>
    <w:family w:val="auto"/>
    <w:pitch w:val="default"/>
    <w:sig w:usb0="00000001" w:usb1="080E0000" w:usb2="00000000" w:usb3="00000000" w:csb0="00040000" w:csb1="00000000"/>
  </w:font>
  <w:font w:name="等线">
    <w:altName w:val="Arial Unicode MS"/>
    <w:panose1 w:val="02010600030101010101"/>
    <w:charset w:val="86"/>
    <w:family w:val="auto"/>
    <w:pitch w:val="default"/>
    <w:sig w:usb0="00000000" w:usb1="00000000" w:usb2="00000016" w:usb3="00000000" w:csb0="0004000F" w:csb1="0000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
                          </w:pPr>
                          <w:r>
                            <w:fldChar w:fldCharType="begin"/>
                          </w:r>
                          <w:r>
                            <w:instrText xml:space="preserve"> PAGE  \* MERGEFORMAT </w:instrText>
                          </w:r>
                          <w:r>
                            <w:fldChar w:fldCharType="separate"/>
                          </w:r>
                          <w:r>
                            <w:t>5</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zXDnwqAgAAV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CLNmWdjqneUROirm&#10;7eoYIGCnaxSlV2LQCtPWdWZ4GXGc/9x3UY9/g+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IzXDnwqAgAAVQQAAA4AAAAAAAAAAQAgAAAAHwEAAGRycy9lMm9Eb2MueG1sUEsFBgAAAAAGAAYA&#10;WQEAALsFAAAAAA==&#10;">
              <v:fill on="f" focussize="0,0"/>
              <v:stroke on="f" weight="0.5pt"/>
              <v:imagedata o:title=""/>
              <o:lock v:ext="edit" aspectratio="f"/>
              <v:textbox inset="0mm,0mm,0mm,0mm" style="mso-fit-shape-to-text:t;">
                <w:txbxContent>
                  <w:p>
                    <w:pPr>
                      <w:pStyle w:val="4"/>
                    </w:pPr>
                    <w:r>
                      <w:fldChar w:fldCharType="begin"/>
                    </w:r>
                    <w:r>
                      <w:instrText xml:space="preserve"> PAGE  \* MERGEFORMAT </w:instrText>
                    </w:r>
                    <w:r>
                      <w:fldChar w:fldCharType="separate"/>
                    </w:r>
                    <w:r>
                      <w:t>5</w:t>
                    </w:r>
                    <w: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trackRevisions w:val="1"/>
  <w:documentProtection w:enforcement="0"/>
  <w:defaultTabStop w:val="420"/>
  <w:drawingGridHorizontalSpacing w:val="105"/>
  <w:drawingGridVerticalSpacing w:val="156"/>
  <w:displayHorizontalDrawingGridEvery w:val="2"/>
  <w:displayVerticalDrawingGridEvery w:val="2"/>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zEwZmFmNjcxMWE4NGQ2YTFjYjQ5MGU3ZmEzNjg1ZDMifQ=="/>
  </w:docVars>
  <w:rsids>
    <w:rsidRoot w:val="00172A27"/>
    <w:rsid w:val="0003196A"/>
    <w:rsid w:val="000416CF"/>
    <w:rsid w:val="000A4F7B"/>
    <w:rsid w:val="000C1B34"/>
    <w:rsid w:val="000C2A60"/>
    <w:rsid w:val="00114B9A"/>
    <w:rsid w:val="0012747B"/>
    <w:rsid w:val="0015708F"/>
    <w:rsid w:val="00172A27"/>
    <w:rsid w:val="001832AE"/>
    <w:rsid w:val="00183B19"/>
    <w:rsid w:val="00195C45"/>
    <w:rsid w:val="00220367"/>
    <w:rsid w:val="00245FD1"/>
    <w:rsid w:val="00273F99"/>
    <w:rsid w:val="00282EBD"/>
    <w:rsid w:val="002A5AA8"/>
    <w:rsid w:val="00325614"/>
    <w:rsid w:val="00342CFD"/>
    <w:rsid w:val="00350226"/>
    <w:rsid w:val="00376B7F"/>
    <w:rsid w:val="0038182F"/>
    <w:rsid w:val="003958BF"/>
    <w:rsid w:val="003C6780"/>
    <w:rsid w:val="003E0ACD"/>
    <w:rsid w:val="00404C5A"/>
    <w:rsid w:val="004176FB"/>
    <w:rsid w:val="00474B95"/>
    <w:rsid w:val="004750B9"/>
    <w:rsid w:val="004B7DAD"/>
    <w:rsid w:val="004C1AAF"/>
    <w:rsid w:val="004F0034"/>
    <w:rsid w:val="00507022"/>
    <w:rsid w:val="00521026"/>
    <w:rsid w:val="00526CF9"/>
    <w:rsid w:val="00543FC2"/>
    <w:rsid w:val="005D040E"/>
    <w:rsid w:val="005D1944"/>
    <w:rsid w:val="00642164"/>
    <w:rsid w:val="0066580E"/>
    <w:rsid w:val="00682D5E"/>
    <w:rsid w:val="00690D8F"/>
    <w:rsid w:val="00696840"/>
    <w:rsid w:val="006B7F37"/>
    <w:rsid w:val="006D4EDF"/>
    <w:rsid w:val="006D5A86"/>
    <w:rsid w:val="006D604F"/>
    <w:rsid w:val="00721D67"/>
    <w:rsid w:val="0076478A"/>
    <w:rsid w:val="007A7983"/>
    <w:rsid w:val="007F2C19"/>
    <w:rsid w:val="008061DF"/>
    <w:rsid w:val="00814B88"/>
    <w:rsid w:val="00840F37"/>
    <w:rsid w:val="00855DD1"/>
    <w:rsid w:val="008D7F71"/>
    <w:rsid w:val="008E1803"/>
    <w:rsid w:val="009019FE"/>
    <w:rsid w:val="00922079"/>
    <w:rsid w:val="00936351"/>
    <w:rsid w:val="009573CF"/>
    <w:rsid w:val="009C2EDA"/>
    <w:rsid w:val="009D66F7"/>
    <w:rsid w:val="009E5154"/>
    <w:rsid w:val="00A174CF"/>
    <w:rsid w:val="00A92755"/>
    <w:rsid w:val="00A93045"/>
    <w:rsid w:val="00AA4EEE"/>
    <w:rsid w:val="00AB438B"/>
    <w:rsid w:val="00AD7CD1"/>
    <w:rsid w:val="00AF34D5"/>
    <w:rsid w:val="00B06525"/>
    <w:rsid w:val="00B43AA7"/>
    <w:rsid w:val="00B55CDD"/>
    <w:rsid w:val="00B7107A"/>
    <w:rsid w:val="00B7794C"/>
    <w:rsid w:val="00B81FE6"/>
    <w:rsid w:val="00BA6830"/>
    <w:rsid w:val="00C0047A"/>
    <w:rsid w:val="00C32033"/>
    <w:rsid w:val="00C34124"/>
    <w:rsid w:val="00C41A50"/>
    <w:rsid w:val="00C41F9A"/>
    <w:rsid w:val="00C46342"/>
    <w:rsid w:val="00C53010"/>
    <w:rsid w:val="00C97CA1"/>
    <w:rsid w:val="00CE4382"/>
    <w:rsid w:val="00D8253A"/>
    <w:rsid w:val="00DD4FA0"/>
    <w:rsid w:val="00DE65D6"/>
    <w:rsid w:val="00E33033"/>
    <w:rsid w:val="00E70679"/>
    <w:rsid w:val="00E75E02"/>
    <w:rsid w:val="00E80A29"/>
    <w:rsid w:val="00EA7731"/>
    <w:rsid w:val="00EB4773"/>
    <w:rsid w:val="00ED4EDA"/>
    <w:rsid w:val="00F05724"/>
    <w:rsid w:val="00F13499"/>
    <w:rsid w:val="00F6614B"/>
    <w:rsid w:val="00FA42E4"/>
    <w:rsid w:val="05CC6DB2"/>
    <w:rsid w:val="074C3905"/>
    <w:rsid w:val="075257E2"/>
    <w:rsid w:val="07E02600"/>
    <w:rsid w:val="083C66D5"/>
    <w:rsid w:val="08944299"/>
    <w:rsid w:val="08D277FF"/>
    <w:rsid w:val="0C655456"/>
    <w:rsid w:val="0F7C4373"/>
    <w:rsid w:val="104F7363"/>
    <w:rsid w:val="138C3FE3"/>
    <w:rsid w:val="15240AE4"/>
    <w:rsid w:val="1699571A"/>
    <w:rsid w:val="16CC5FFC"/>
    <w:rsid w:val="175043E5"/>
    <w:rsid w:val="18312669"/>
    <w:rsid w:val="190953DC"/>
    <w:rsid w:val="191C4B6E"/>
    <w:rsid w:val="19C16258"/>
    <w:rsid w:val="1A1C4E4B"/>
    <w:rsid w:val="1A70129E"/>
    <w:rsid w:val="1C4526C3"/>
    <w:rsid w:val="1CF802D1"/>
    <w:rsid w:val="1D0F5CC5"/>
    <w:rsid w:val="1DE60061"/>
    <w:rsid w:val="1EC176A7"/>
    <w:rsid w:val="1F823523"/>
    <w:rsid w:val="20BE2485"/>
    <w:rsid w:val="2250181B"/>
    <w:rsid w:val="227A31DC"/>
    <w:rsid w:val="22B642E7"/>
    <w:rsid w:val="23ED14A0"/>
    <w:rsid w:val="26DF652C"/>
    <w:rsid w:val="27976B61"/>
    <w:rsid w:val="29490053"/>
    <w:rsid w:val="2C500D2E"/>
    <w:rsid w:val="2DAF0A89"/>
    <w:rsid w:val="2E5074CA"/>
    <w:rsid w:val="30EA55DA"/>
    <w:rsid w:val="320530AA"/>
    <w:rsid w:val="328358B5"/>
    <w:rsid w:val="34224B76"/>
    <w:rsid w:val="34F511A0"/>
    <w:rsid w:val="374260F0"/>
    <w:rsid w:val="38B672F7"/>
    <w:rsid w:val="3AF85354"/>
    <w:rsid w:val="3BF27F4A"/>
    <w:rsid w:val="3C291C62"/>
    <w:rsid w:val="40E62A45"/>
    <w:rsid w:val="413C5119"/>
    <w:rsid w:val="41B664E3"/>
    <w:rsid w:val="421637AE"/>
    <w:rsid w:val="4575746B"/>
    <w:rsid w:val="48130ACF"/>
    <w:rsid w:val="48207507"/>
    <w:rsid w:val="48670333"/>
    <w:rsid w:val="48DF0D82"/>
    <w:rsid w:val="4AD27EF9"/>
    <w:rsid w:val="4B351205"/>
    <w:rsid w:val="4B53743D"/>
    <w:rsid w:val="4BA71B61"/>
    <w:rsid w:val="508C382E"/>
    <w:rsid w:val="513F59FA"/>
    <w:rsid w:val="51BF7780"/>
    <w:rsid w:val="52EB7B09"/>
    <w:rsid w:val="53A9454A"/>
    <w:rsid w:val="5749363E"/>
    <w:rsid w:val="58E12FB3"/>
    <w:rsid w:val="5BF43E8D"/>
    <w:rsid w:val="5C690D2C"/>
    <w:rsid w:val="5CCE3A33"/>
    <w:rsid w:val="5CF85CC9"/>
    <w:rsid w:val="5DAB2B1B"/>
    <w:rsid w:val="5DC479DC"/>
    <w:rsid w:val="5DEB563E"/>
    <w:rsid w:val="60934D73"/>
    <w:rsid w:val="61074F4F"/>
    <w:rsid w:val="61106106"/>
    <w:rsid w:val="63E871D1"/>
    <w:rsid w:val="64F554E7"/>
    <w:rsid w:val="67071607"/>
    <w:rsid w:val="68992D90"/>
    <w:rsid w:val="69794B21"/>
    <w:rsid w:val="6A7812BA"/>
    <w:rsid w:val="6B550806"/>
    <w:rsid w:val="6CB17718"/>
    <w:rsid w:val="72BA6AFA"/>
    <w:rsid w:val="739328B1"/>
    <w:rsid w:val="75343647"/>
    <w:rsid w:val="75556375"/>
    <w:rsid w:val="779C1E19"/>
    <w:rsid w:val="799A59D5"/>
    <w:rsid w:val="79A72A5A"/>
    <w:rsid w:val="79D731B3"/>
    <w:rsid w:val="7B46540A"/>
    <w:rsid w:val="7C0A391A"/>
    <w:rsid w:val="7D583F07"/>
    <w:rsid w:val="7DD0466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iPriority="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iPriority="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9"/>
    <w:pPr>
      <w:keepNext/>
      <w:keepLines/>
      <w:pageBreakBefore/>
      <w:spacing w:before="340" w:after="330" w:line="360" w:lineRule="auto"/>
      <w:jc w:val="center"/>
      <w:outlineLvl w:val="0"/>
    </w:pPr>
    <w:rPr>
      <w:rFonts w:eastAsia="黑体"/>
      <w:b/>
      <w:bCs/>
      <w:kern w:val="44"/>
      <w:sz w:val="44"/>
      <w:szCs w:val="44"/>
    </w:rPr>
  </w:style>
  <w:style w:type="paragraph" w:styleId="3">
    <w:name w:val="heading 2"/>
    <w:basedOn w:val="1"/>
    <w:next w:val="1"/>
    <w:unhideWhenUsed/>
    <w:qFormat/>
    <w:uiPriority w:val="9"/>
    <w:pPr>
      <w:keepNext/>
      <w:keepLines/>
      <w:spacing w:before="260" w:after="260" w:line="360" w:lineRule="auto"/>
      <w:outlineLvl w:val="1"/>
    </w:pPr>
    <w:rPr>
      <w:rFonts w:ascii="黑体" w:hAnsi="黑体" w:eastAsia="黑体" w:cstheme="majorBidi"/>
      <w:bCs/>
      <w:sz w:val="32"/>
      <w:szCs w:val="32"/>
    </w:rPr>
  </w:style>
  <w:style w:type="character" w:default="1" w:styleId="9">
    <w:name w:val="Default Paragraph Font"/>
    <w:semiHidden/>
    <w:unhideWhenUsed/>
    <w:uiPriority w:val="1"/>
  </w:style>
  <w:style w:type="table" w:default="1" w:styleId="7">
    <w:name w:val="Normal Table"/>
    <w:semiHidden/>
    <w:unhideWhenUsed/>
    <w:qFormat/>
    <w:uiPriority w:val="99"/>
    <w:tblPr>
      <w:tblCellMar>
        <w:top w:w="0" w:type="dxa"/>
        <w:left w:w="108" w:type="dxa"/>
        <w:bottom w:w="0" w:type="dxa"/>
        <w:right w:w="108" w:type="dxa"/>
      </w:tblCellMar>
    </w:tblPr>
  </w:style>
  <w:style w:type="paragraph" w:styleId="4">
    <w:name w:val="footer"/>
    <w:basedOn w:val="1"/>
    <w:link w:val="12"/>
    <w:qFormat/>
    <w:uiPriority w:val="0"/>
    <w:pPr>
      <w:tabs>
        <w:tab w:val="center" w:pos="4153"/>
        <w:tab w:val="right" w:pos="8306"/>
      </w:tabs>
      <w:snapToGrid w:val="0"/>
      <w:jc w:val="left"/>
    </w:pPr>
    <w:rPr>
      <w:sz w:val="18"/>
      <w:szCs w:val="18"/>
    </w:rPr>
  </w:style>
  <w:style w:type="paragraph" w:styleId="5">
    <w:name w:val="header"/>
    <w:basedOn w:val="1"/>
    <w:link w:val="11"/>
    <w:qFormat/>
    <w:uiPriority w:val="0"/>
    <w:pPr>
      <w:pBdr>
        <w:bottom w:val="single" w:color="auto" w:sz="6" w:space="1"/>
      </w:pBdr>
      <w:tabs>
        <w:tab w:val="center" w:pos="4153"/>
        <w:tab w:val="right" w:pos="8306"/>
      </w:tabs>
      <w:snapToGrid w:val="0"/>
      <w:jc w:val="center"/>
    </w:pPr>
    <w:rPr>
      <w:sz w:val="18"/>
      <w:szCs w:val="18"/>
    </w:rPr>
  </w:style>
  <w:style w:type="paragraph" w:styleId="6">
    <w:name w:val="Normal (Web)"/>
    <w:basedOn w:val="1"/>
    <w:qFormat/>
    <w:uiPriority w:val="99"/>
    <w:rPr>
      <w:sz w:val="24"/>
    </w:rPr>
  </w:style>
  <w:style w:type="table" w:styleId="8">
    <w:name w:val="Table Grid"/>
    <w:basedOn w:val="7"/>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0">
    <w:name w:val="表格"/>
    <w:basedOn w:val="1"/>
    <w:qFormat/>
    <w:uiPriority w:val="0"/>
    <w:pPr>
      <w:widowControl/>
      <w:jc w:val="center"/>
      <w:textAlignment w:val="center"/>
    </w:pPr>
    <w:rPr>
      <w:rFonts w:hint="eastAsia" w:ascii="宋体" w:hAnsi="宋体" w:eastAsia="宋体" w:cs="Times New Roman"/>
      <w:bCs/>
      <w:color w:val="000000"/>
      <w:kern w:val="0"/>
      <w:sz w:val="22"/>
    </w:rPr>
  </w:style>
  <w:style w:type="character" w:customStyle="1" w:styleId="11">
    <w:name w:val="页眉 字符"/>
    <w:basedOn w:val="9"/>
    <w:link w:val="5"/>
    <w:qFormat/>
    <w:uiPriority w:val="0"/>
    <w:rPr>
      <w:rFonts w:asciiTheme="minorHAnsi" w:hAnsiTheme="minorHAnsi" w:eastAsiaTheme="minorEastAsia" w:cstheme="minorBidi"/>
      <w:kern w:val="2"/>
      <w:sz w:val="18"/>
      <w:szCs w:val="18"/>
    </w:rPr>
  </w:style>
  <w:style w:type="character" w:customStyle="1" w:styleId="12">
    <w:name w:val="页脚 字符"/>
    <w:basedOn w:val="9"/>
    <w:link w:val="4"/>
    <w:qFormat/>
    <w:uiPriority w:val="0"/>
    <w:rPr>
      <w:rFonts w:asciiTheme="minorHAnsi" w:hAnsiTheme="minorHAnsi" w:eastAsiaTheme="minorEastAsia" w:cstheme="minorBidi"/>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customXml" Target="../customXml/item1.xml"/><Relationship Id="rId8" Type="http://schemas.openxmlformats.org/officeDocument/2006/relationships/image" Target="file:///D:\&#20225;&#19994;&#24494;&#20449;&#36164;&#26009;\WXWork\1688855499438046\Cache\Image\2024-08\0826_&#39029;&#38754;_2(1).jpg" TargetMode="External"/><Relationship Id="rId7" Type="http://schemas.openxmlformats.org/officeDocument/2006/relationships/image" Target="media/image2.jpeg"/><Relationship Id="rId6" Type="http://schemas.openxmlformats.org/officeDocument/2006/relationships/image" Target="file:///D:\&#20225;&#19994;&#24494;&#20449;&#36164;&#26009;\WXWork\1688855499438046\Cache\Image\2024-08\0826_&#39029;&#38754;_1(1).jpg" TargetMode="External"/><Relationship Id="rId5" Type="http://schemas.openxmlformats.org/officeDocument/2006/relationships/image" Target="media/image1.jpeg"/><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6</Pages>
  <Words>438</Words>
  <Characters>2500</Characters>
  <Lines>20</Lines>
  <Paragraphs>5</Paragraphs>
  <TotalTime>41</TotalTime>
  <ScaleCrop>false</ScaleCrop>
  <LinksUpToDate>false</LinksUpToDate>
  <CharactersWithSpaces>2933</CharactersWithSpaces>
  <Application>WPS Office_11.8.2.12085_F1E327BC-269C-435d-A152-05C5408002CA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2024-07-23T03:27:00Z</dcterms:created>
  <dc:creator>Administrator</dc:creator>
  <cp:lastModifiedBy>郭泳仪</cp:lastModifiedBy>
  <cp:lastPrinted>2024-07-23T03:27:00Z</cp:lastPrinted>
  <dcterms:modified xsi:type="dcterms:W3CDTF">2024-09-20T02:37:35Z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2052-11.8.2.12085</vt:lpwstr>
  </property>
  <property fmtid="{D5CDD505-2E9C-101B-9397-08002B2CF9AE}" pid="3" name="ICV">
    <vt:lpwstr>08237D731CF54FBEA2C62C37CF354D93</vt:lpwstr>
  </property>
</Properties>
</file>