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b w:val="0"/>
          <w:bCs/>
          <w:sz w:val="44"/>
          <w:szCs w:val="44"/>
          <w:lang w:val="en-US" w:eastAsia="zh-CN"/>
        </w:rPr>
        <w:t>广州市消费品以旧换新公共服务平台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auto"/>
          <w:kern w:val="0"/>
          <w:sz w:val="44"/>
          <w:szCs w:val="44"/>
          <w:lang w:val="en-US" w:eastAsia="zh-CN" w:bidi="ar-SA"/>
        </w:rPr>
        <w:t>入口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2"/>
        </w:num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打开浏览器，在搜索框搜索“穗@i企”。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3343275"/>
            <wp:effectExtent l="0" t="0" r="444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进入网页后，点击右上方“登录”按钮。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896870"/>
            <wp:effectExtent l="0" t="0" r="127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进入登录页面内后，切换到“法人登录”，可以通过扫码或者选择下方其他登录方式登录系统。如无账号，需要把登陆方式切换到账号密码，点击立即注册。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57800" cy="2966720"/>
            <wp:effectExtent l="0" t="0" r="0" b="50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948940"/>
            <wp:effectExtent l="0" t="0" r="635" b="762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登录后，点击 广州市“以旧换新”活动商家专区，即可进去，活动报名页面。</w:t>
      </w:r>
    </w:p>
    <w:p>
      <w:pPr>
        <w:spacing w:after="180"/>
        <w:jc w:val="center"/>
        <w:rPr>
          <w:rFonts w:ascii="仿宋_GB2312" w:eastAsia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br w:type="page"/>
      </w:r>
    </w:p>
    <w:p>
      <w:pPr>
        <w:spacing w:after="180"/>
        <w:jc w:val="center"/>
        <w:rPr>
          <w:rFonts w:ascii="仿宋_GB2312" w:eastAsia="仿宋_GB2312"/>
          <w:sz w:val="28"/>
          <w:szCs w:val="28"/>
          <w:lang w:eastAsia="zh-CN"/>
        </w:rPr>
      </w:pPr>
    </w:p>
    <w:p>
      <w:pPr>
        <w:spacing w:after="180"/>
        <w:jc w:val="center"/>
        <w:rPr>
          <w:rFonts w:ascii="仿宋_GB2312" w:eastAsia="仿宋_GB2312"/>
          <w:sz w:val="28"/>
          <w:szCs w:val="28"/>
          <w:lang w:eastAsia="zh-CN"/>
        </w:rPr>
      </w:pPr>
    </w:p>
    <w:p>
      <w:pPr>
        <w:spacing w:after="180"/>
        <w:jc w:val="center"/>
        <w:rPr>
          <w:rFonts w:ascii="仿宋_GB2312" w:eastAsia="仿宋_GB2312"/>
          <w:sz w:val="28"/>
          <w:szCs w:val="28"/>
          <w:lang w:eastAsia="zh-CN"/>
        </w:rPr>
      </w:pPr>
    </w:p>
    <w:p>
      <w:pPr>
        <w:spacing w:after="180"/>
        <w:jc w:val="center"/>
        <w:rPr>
          <w:rFonts w:ascii="仿宋_GB2312" w:eastAsia="仿宋_GB2312"/>
          <w:sz w:val="28"/>
          <w:szCs w:val="28"/>
          <w:lang w:eastAsia="zh-CN"/>
        </w:rPr>
      </w:pPr>
    </w:p>
    <w:p>
      <w:pPr>
        <w:spacing w:after="180"/>
        <w:jc w:val="center"/>
        <w:rPr>
          <w:rFonts w:ascii="仿宋_GB2312" w:eastAsia="仿宋_GB2312"/>
          <w:sz w:val="44"/>
          <w:szCs w:val="44"/>
          <w:lang w:eastAsia="zh-CN"/>
        </w:rPr>
      </w:pPr>
      <w:r>
        <w:rPr>
          <w:rFonts w:hint="eastAsia" w:ascii="黑体" w:eastAsia="黑体"/>
          <w:sz w:val="52"/>
          <w:szCs w:val="52"/>
          <w:lang w:val="en-US" w:eastAsia="zh-CN"/>
        </w:rPr>
        <w:t>广州市消费品以旧换新公共服务平台用户操作手册</w:t>
      </w:r>
    </w:p>
    <w:p>
      <w:pPr>
        <w:spacing w:after="180"/>
        <w:ind w:left="1920" w:leftChars="600"/>
        <w:rPr>
          <w:rFonts w:ascii="仿宋_GB2312" w:eastAsia="仿宋_GB2312"/>
          <w:sz w:val="28"/>
          <w:szCs w:val="28"/>
          <w:lang w:eastAsia="zh-CN"/>
        </w:rPr>
      </w:pPr>
    </w:p>
    <w:p>
      <w:pPr>
        <w:spacing w:after="180"/>
        <w:jc w:val="center"/>
        <w:rPr>
          <w:lang w:eastAsia="zh-CN"/>
        </w:rPr>
      </w:pPr>
    </w:p>
    <w:p>
      <w:pPr>
        <w:spacing w:after="180"/>
        <w:jc w:val="center"/>
        <w:rPr>
          <w:lang w:eastAsia="zh-CN"/>
        </w:rPr>
      </w:pPr>
    </w:p>
    <w:p>
      <w:pPr>
        <w:spacing w:after="180"/>
        <w:jc w:val="center"/>
        <w:rPr>
          <w:lang w:eastAsia="zh-CN"/>
        </w:rPr>
      </w:pPr>
    </w:p>
    <w:p>
      <w:pPr>
        <w:spacing w:after="180"/>
        <w:jc w:val="center"/>
        <w:rPr>
          <w:lang w:eastAsia="zh-CN"/>
        </w:rPr>
      </w:pPr>
    </w:p>
    <w:p>
      <w:pPr>
        <w:rPr>
          <w:lang w:eastAsia="zh-CN"/>
        </w:rPr>
      </w:pPr>
    </w:p>
    <w:p>
      <w:pPr>
        <w:spacing w:after="180"/>
        <w:rPr>
          <w:rFonts w:ascii="仿宋_GB2312" w:hAnsi="Arial" w:eastAsia="仿宋_GB2312"/>
          <w:b/>
          <w:lang w:eastAsia="zh-CN"/>
        </w:rPr>
      </w:pPr>
    </w:p>
    <w:p>
      <w:pPr>
        <w:spacing w:after="180"/>
        <w:jc w:val="center"/>
        <w:rPr>
          <w:lang w:val="en-AU"/>
        </w:rPr>
      </w:pPr>
    </w:p>
    <w:p>
      <w:pPr>
        <w:rPr>
          <w:lang w:val="en-AU"/>
        </w:rPr>
      </w:pPr>
    </w:p>
    <w:p>
      <w:pPr>
        <w:rPr>
          <w:lang w:val="en-AU"/>
        </w:rPr>
      </w:pPr>
    </w:p>
    <w:p>
      <w:pPr>
        <w:pStyle w:val="13"/>
        <w:numPr>
          <w:ilvl w:val="0"/>
          <w:numId w:val="0"/>
        </w:numPr>
        <w:spacing w:beforeLines="0" w:afterLines="0"/>
        <w:ind w:leftChars="0"/>
        <w:jc w:val="both"/>
        <w:rPr>
          <w:bCs/>
        </w:rPr>
      </w:pPr>
    </w:p>
    <w:p>
      <w:pPr>
        <w:sectPr>
          <w:headerReference r:id="rId3" w:type="default"/>
          <w:footerReference r:id="rId4" w:type="default"/>
          <w:pgSz w:w="12240" w:h="15840"/>
          <w:pgMar w:top="1440" w:right="1800" w:bottom="1440" w:left="1800" w:header="964" w:footer="851" w:gutter="0"/>
          <w:pgNumType w:fmt="upperRoman" w:start="1"/>
          <w:cols w:space="720" w:num="1"/>
          <w:docGrid w:linePitch="360" w:charSpace="0"/>
        </w:sectPr>
      </w:pPr>
    </w:p>
    <w:p>
      <w:pPr>
        <w:pStyle w:val="13"/>
        <w:numPr>
          <w:ilvl w:val="0"/>
          <w:numId w:val="3"/>
        </w:numPr>
        <w:spacing w:beforeLines="0" w:afterLines="0"/>
        <w:ind w:firstLine="0"/>
        <w:rPr>
          <w:bCs/>
        </w:rPr>
      </w:pPr>
      <w:r>
        <w:rPr>
          <w:rFonts w:hint="eastAsia"/>
          <w:bCs/>
        </w:rPr>
        <w:t>引言</w:t>
      </w:r>
    </w:p>
    <w:p>
      <w:pPr>
        <w:pStyle w:val="14"/>
        <w:tabs>
          <w:tab w:val="left" w:pos="567"/>
        </w:tabs>
        <w:spacing w:beforeLines="0" w:afterLines="0"/>
        <w:rPr>
          <w:color w:val="auto"/>
        </w:rPr>
      </w:pPr>
      <w:r>
        <w:rPr>
          <w:rFonts w:hint="eastAsia"/>
          <w:color w:val="auto"/>
        </w:rPr>
        <w:t>编写目的</w:t>
      </w:r>
    </w:p>
    <w:p>
      <w:pPr>
        <w:autoSpaceDE w:val="0"/>
        <w:autoSpaceDN w:val="0"/>
        <w:adjustRightInd w:val="0"/>
        <w:ind w:firstLine="480"/>
        <w:rPr>
          <w:rFonts w:hint="eastAsia" w:ascii="宋体" w:cs="宋体"/>
          <w:szCs w:val="21"/>
          <w:lang w:eastAsia="zh-CN"/>
        </w:rPr>
      </w:pPr>
      <w:r>
        <w:rPr>
          <w:rFonts w:hint="eastAsia" w:ascii="宋体" w:hAnsi="宋体" w:cs="宋体"/>
          <w:lang w:eastAsia="zh-CN"/>
        </w:rPr>
        <w:t>本文档面向用户主要为</w:t>
      </w:r>
      <w:r>
        <w:rPr>
          <w:rFonts w:hint="eastAsia" w:ascii="宋体" w:hAnsi="宋体" w:cs="宋体"/>
          <w:lang w:val="en-US" w:eastAsia="zh-CN"/>
        </w:rPr>
        <w:t>以旧换新活动专区申请报名的商家或经办人员</w:t>
      </w:r>
      <w:r>
        <w:rPr>
          <w:rFonts w:hint="eastAsia" w:ascii="宋体" w:hAnsi="宋体" w:cs="宋体"/>
          <w:lang w:eastAsia="zh-CN"/>
        </w:rPr>
        <w:t>，结合截图和应场景，说明各用户的主要功能和操作</w:t>
      </w:r>
      <w:r>
        <w:rPr>
          <w:rFonts w:hint="eastAsia" w:ascii="宋体" w:cs="宋体"/>
          <w:szCs w:val="21"/>
          <w:lang w:eastAsia="zh-CN"/>
        </w:rPr>
        <w:t>。</w:t>
      </w:r>
    </w:p>
    <w:p>
      <w:pPr>
        <w:pStyle w:val="13"/>
        <w:numPr>
          <w:ilvl w:val="0"/>
          <w:numId w:val="3"/>
        </w:numPr>
        <w:spacing w:beforeLines="0" w:afterLines="0"/>
        <w:ind w:firstLine="0"/>
        <w:rPr>
          <w:bCs/>
        </w:rPr>
      </w:pPr>
      <w:bookmarkStart w:id="0" w:name="_Toc76999043"/>
      <w:bookmarkStart w:id="1" w:name="_Toc195354554"/>
      <w:bookmarkStart w:id="2" w:name="_Toc215999658"/>
      <w:r>
        <w:rPr>
          <w:rFonts w:hint="eastAsia"/>
          <w:bCs/>
        </w:rPr>
        <w:t>系统概述</w:t>
      </w:r>
      <w:bookmarkEnd w:id="0"/>
      <w:bookmarkEnd w:id="1"/>
      <w:bookmarkEnd w:id="2"/>
    </w:p>
    <w:p>
      <w:pPr>
        <w:pStyle w:val="14"/>
        <w:spacing w:beforeLines="0" w:afterLines="0"/>
        <w:rPr>
          <w:color w:val="auto"/>
        </w:rPr>
      </w:pPr>
      <w:bookmarkStart w:id="3" w:name="_Toc215999659"/>
      <w:bookmarkStart w:id="4" w:name="_Toc195354555"/>
      <w:bookmarkStart w:id="5" w:name="_Toc76999044"/>
      <w:r>
        <w:rPr>
          <w:rFonts w:hint="eastAsia"/>
          <w:color w:val="auto"/>
        </w:rPr>
        <w:t>系统</w:t>
      </w:r>
      <w:bookmarkEnd w:id="3"/>
      <w:bookmarkEnd w:id="4"/>
      <w:r>
        <w:rPr>
          <w:rFonts w:hint="eastAsia"/>
          <w:color w:val="auto"/>
        </w:rPr>
        <w:t>功能</w:t>
      </w:r>
      <w:bookmarkEnd w:id="5"/>
    </w:p>
    <w:p>
      <w:pPr>
        <w:ind w:firstLine="640" w:firstLineChars="200"/>
        <w:rPr>
          <w:lang w:eastAsia="zh-CN"/>
        </w:rPr>
      </w:pPr>
      <w:bookmarkStart w:id="6" w:name="_Toc195354559"/>
      <w:r>
        <w:rPr>
          <w:rFonts w:hint="eastAsia"/>
          <w:lang w:val="en-US" w:eastAsia="zh-CN"/>
        </w:rPr>
        <w:t>商家可提出家电以旧换新活动申请，产品报备，管理人员可进行审核与查看</w:t>
      </w:r>
      <w:r>
        <w:rPr>
          <w:rFonts w:hint="eastAsia"/>
        </w:rPr>
        <w:t>功能</w:t>
      </w:r>
      <w:r>
        <w:rPr>
          <w:rFonts w:hint="eastAsia"/>
          <w:lang w:eastAsia="zh-CN"/>
        </w:rPr>
        <w:t>。</w:t>
      </w:r>
    </w:p>
    <w:p>
      <w:pPr>
        <w:pStyle w:val="14"/>
        <w:spacing w:beforeLines="0" w:afterLines="0"/>
        <w:rPr>
          <w:color w:val="auto"/>
        </w:rPr>
      </w:pPr>
      <w:bookmarkStart w:id="7" w:name="_Toc215999661"/>
      <w:r>
        <w:rPr>
          <w:rFonts w:hint="eastAsia"/>
          <w:color w:val="auto"/>
        </w:rPr>
        <w:t>浏览器支持</w:t>
      </w: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t>建议使用浏览器：Google Chrome、3</w:t>
      </w:r>
      <w:r>
        <w:rPr>
          <w:lang w:eastAsia="zh-CN"/>
        </w:rPr>
        <w:t>60</w:t>
      </w:r>
      <w:r>
        <w:rPr>
          <w:rFonts w:hint="eastAsia"/>
          <w:lang w:eastAsia="zh-CN"/>
        </w:rPr>
        <w:t>浏览器极速模式。</w:t>
      </w:r>
    </w:p>
    <w:p>
      <w:pPr>
        <w:ind w:firstLine="420"/>
        <w:rPr>
          <w:lang w:eastAsia="zh-CN"/>
        </w:rPr>
      </w:pPr>
      <w:r>
        <w:rPr>
          <w:rFonts w:hint="eastAsia"/>
          <w:lang w:eastAsia="zh-CN"/>
        </w:rPr>
        <w:t>设置要求：建议显示器分辨率1366X768或以上。</w:t>
      </w:r>
    </w:p>
    <w:bookmarkEnd w:id="6"/>
    <w:bookmarkEnd w:id="7"/>
    <w:p>
      <w:pPr>
        <w:pStyle w:val="13"/>
        <w:numPr>
          <w:ilvl w:val="0"/>
          <w:numId w:val="3"/>
        </w:numPr>
        <w:spacing w:before="0" w:beforeLines="0" w:after="120" w:afterLines="0"/>
        <w:ind w:firstLine="0"/>
        <w:rPr>
          <w:bCs/>
        </w:rPr>
      </w:pPr>
      <w:bookmarkStart w:id="8" w:name="_Toc76999049"/>
      <w:r>
        <w:rPr>
          <w:rFonts w:hint="eastAsia"/>
          <w:bCs/>
        </w:rPr>
        <w:t>功能说明</w:t>
      </w:r>
      <w:bookmarkEnd w:id="8"/>
    </w:p>
    <w:p>
      <w:pPr>
        <w:pStyle w:val="14"/>
        <w:tabs>
          <w:tab w:val="left" w:pos="709"/>
        </w:tabs>
        <w:spacing w:before="120" w:after="120"/>
      </w:pPr>
      <w:r>
        <w:rPr>
          <w:rFonts w:hint="eastAsia"/>
          <w:lang w:val="en-US" w:eastAsia="zh-CN"/>
        </w:rPr>
        <w:t>商家企业端</w:t>
      </w:r>
    </w:p>
    <w:p>
      <w:pPr>
        <w:pStyle w:val="16"/>
        <w:spacing w:before="120" w:after="1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服务入口</w:t>
      </w:r>
    </w:p>
    <w:p>
      <w:pPr>
        <w:pStyle w:val="16"/>
        <w:numPr>
          <w:ilvl w:val="0"/>
          <w:numId w:val="0"/>
        </w:numPr>
        <w:pBdr>
          <w:bottom w:val="none" w:color="auto" w:sz="0" w:space="0"/>
        </w:pBdr>
        <w:spacing w:before="120" w:after="120"/>
        <w:ind w:left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 w:ascii="宋体" w:hAnsi="宋体" w:eastAsia="宋体" w:cs="宋体"/>
          <w:lang w:val="en-US" w:eastAsia="zh-CN"/>
        </w:rPr>
        <w:t>穗@i企网址：</w:t>
      </w:r>
      <w:r>
        <w:rPr>
          <w:rFonts w:ascii="宋体" w:hAnsi="宋体" w:eastAsia="宋体" w:cs="宋体"/>
        </w:rPr>
        <w:fldChar w:fldCharType="begin"/>
      </w:r>
      <w:r>
        <w:rPr>
          <w:rFonts w:ascii="宋体" w:hAnsi="宋体" w:eastAsia="宋体" w:cs="宋体"/>
        </w:rPr>
        <w:instrText xml:space="preserve">HYPERLINK https://qyfw.gzonline.gov.cn/qyfw/home normalLink \tdft \tdfe -10 \tdfid \tddp \tdop \tdlt inline \tdds \tdfvi \tdlf \l \tdsub normalLink \tdkey z37oy2 \tdkey z37oy2</w:instrText>
      </w:r>
      <w:r>
        <w:rPr>
          <w:rFonts w:ascii="宋体" w:hAnsi="宋体" w:eastAsia="宋体" w:cs="宋体"/>
        </w:rPr>
        <w:fldChar w:fldCharType="separate"/>
      </w:r>
      <w:r>
        <w:rPr>
          <w:rStyle w:val="12"/>
          <w:rFonts w:ascii="宋体" w:hAnsi="宋体" w:eastAsia="宋体" w:cs="宋体"/>
          <w:color w:val="auto"/>
        </w:rPr>
        <w:t>穗@i企 (gzonline.gov.cn)</w:t>
      </w:r>
      <w:r>
        <w:rPr>
          <w:rFonts w:ascii="宋体" w:hAnsi="宋体" w:eastAsia="宋体" w:cs="宋体"/>
        </w:rPr>
        <w:fldChar w:fldCharType="end"/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当商家已登录“穗@i企”平台，在首页的服务推荐模块下，点击【广州市“以旧换新”活动商家专区】，或点击背景轮播图，可</w:t>
      </w:r>
      <w:r>
        <w:rPr>
          <w:rFonts w:hint="eastAsia"/>
        </w:rPr>
        <w:t>新窗口打开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广州以旧换新活动商家专区</w:t>
      </w:r>
      <w:r>
        <w:rPr>
          <w:rFonts w:hint="eastAsia"/>
          <w:lang w:eastAsia="zh-CN"/>
        </w:rPr>
        <w:t>”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如图所示：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0050" cy="2491105"/>
            <wp:effectExtent l="0" t="0" r="6350" b="825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0050" cy="2491105"/>
            <wp:effectExtent l="0" t="0" r="6350" b="825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</w:p>
    <w:p>
      <w:pPr>
        <w:pStyle w:val="16"/>
        <w:spacing w:before="120" w:after="120"/>
      </w:pPr>
      <w:r>
        <w:rPr>
          <w:rFonts w:hint="eastAsia"/>
          <w:lang w:val="en-US" w:eastAsia="zh-CN"/>
        </w:rPr>
        <w:t>以旧换新活动首页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在“广州以旧换新活动商家专区”页面中，展示活动说明，活动流程及入口，如图所示：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79415" cy="2212975"/>
            <wp:effectExtent l="0" t="0" r="6985" b="1206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5765" cy="1981835"/>
            <wp:effectExtent l="0" t="0" r="635" b="146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120" w:after="120"/>
        <w:rPr>
          <w:rFonts w:hint="eastAsia" w:ascii="黑体" w:hAnsi="黑体" w:eastAsia="黑体" w:cs="宋体"/>
          <w:b w:val="0"/>
          <w:bCs/>
          <w:color w:val="000000"/>
          <w:sz w:val="30"/>
          <w:szCs w:val="28"/>
          <w:lang w:val="en-US" w:eastAsia="zh-CN" w:bidi="ar-SA"/>
        </w:rPr>
      </w:pPr>
      <w:r>
        <w:rPr>
          <w:rFonts w:hint="eastAsia" w:cs="宋体"/>
          <w:b w:val="0"/>
          <w:bCs/>
          <w:color w:val="000000"/>
          <w:sz w:val="30"/>
          <w:szCs w:val="28"/>
          <w:lang w:val="en-US" w:eastAsia="zh-CN" w:bidi="ar-SA"/>
        </w:rPr>
        <w:t>活动报名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在“广州以旧换新活动商家专区”页面中，点击【活动报名】，可进入“参与企业申请”填写页面，可填写企业申请单信息，如图所示：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drawing>
          <wp:inline distT="0" distB="0" distL="114300" distR="114300">
            <wp:extent cx="5476240" cy="2411095"/>
            <wp:effectExtent l="0" t="0" r="10160" b="1206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其中：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法定代表人联系电话：填写11位手机号码或座机电话（填写格式示例：18812341234、020-xxxxxxxx）。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企业客诉负责人：填写企业客户投诉负责联系人姓名。</w:t>
      </w:r>
    </w:p>
    <w:p>
      <w:pPr>
        <w:bidi w:val="0"/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客诉处理电话：填写企业客户投诉负责联系人电话，11位手机号码或座机电话（填写格式示例：18812341234、020-xxxxxxxx）。</w:t>
      </w:r>
    </w:p>
    <w:p>
      <w:pPr>
        <w:bidi w:val="0"/>
        <w:ind w:firstLine="420" w:firstLineChars="0"/>
        <w:rPr>
          <w:rFonts w:hint="default"/>
          <w:sz w:val="24"/>
          <w:szCs w:val="24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在该页面中，填写相关申请信息后，勾选企业承诺，点击【暂存】，可保存为草稿，点击【保存并下一步】，可进入第二步“上传附件”页面。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在“上传附件”页面中，点击所需材料旁的【模版下载】，可下载模版，打印后在承诺函上亲笔签名，加盖所在单位的公章后，扫描成PDF文件，点击【附件上传】，上传PDF文件。如图所示：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76240" cy="2411095"/>
            <wp:effectExtent l="0" t="0" r="10160" b="12065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上传附件后，点击【上一步】，可回到上一步“参与企业申请”填写页面进行修改编辑，点击【暂存】，可保存草稿；点击【提交】，可提交报名申请。如图所示：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76240" cy="2411095"/>
            <wp:effectExtent l="0" t="0" r="10160" b="12065"/>
            <wp:docPr id="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120" w:after="120"/>
        <w:rPr>
          <w:rFonts w:hint="eastAsia" w:ascii="黑体" w:hAnsi="黑体" w:eastAsia="黑体" w:cs="宋体"/>
          <w:b w:val="0"/>
          <w:bCs/>
          <w:color w:val="000000"/>
          <w:sz w:val="30"/>
          <w:szCs w:val="28"/>
          <w:lang w:val="en-US" w:eastAsia="zh-CN" w:bidi="ar-SA"/>
        </w:rPr>
      </w:pPr>
      <w:r>
        <w:rPr>
          <w:rFonts w:hint="eastAsia" w:cs="宋体"/>
          <w:b w:val="0"/>
          <w:bCs/>
          <w:color w:val="000000"/>
          <w:sz w:val="30"/>
          <w:szCs w:val="28"/>
          <w:lang w:val="en-US" w:eastAsia="zh-CN" w:bidi="ar-SA"/>
        </w:rPr>
        <w:t>产品报备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在“广州以旧换新活动商家专区”页面中，</w:t>
      </w:r>
      <w:r>
        <w:rPr>
          <w:rFonts w:hint="eastAsia"/>
          <w:lang w:val="en-US" w:eastAsia="zh-CN"/>
        </w:rPr>
        <w:t>当企业报名后并通过审核，可</w:t>
      </w:r>
      <w:r>
        <w:rPr>
          <w:rFonts w:hint="default"/>
          <w:lang w:val="en-US" w:eastAsia="zh-CN"/>
        </w:rPr>
        <w:t>点击【</w:t>
      </w:r>
      <w:r>
        <w:rPr>
          <w:rFonts w:hint="eastAsia"/>
          <w:lang w:val="en-US" w:eastAsia="zh-CN"/>
        </w:rPr>
        <w:t>产品报备】，可进入“适用商品报备表”填写页面，如图所示：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3225" cy="2357755"/>
            <wp:effectExtent l="0" t="0" r="3175" b="4445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在该页面中，点击【新增】，可新增一个商品信息填写表单，点击【删除】，可删除一个商品信息。填写相关信息后，点击【暂存】，可保存表单填写内容；点击【提交】，可提交产品报备审核。</w:t>
      </w:r>
    </w:p>
    <w:p>
      <w:pPr>
        <w:pStyle w:val="16"/>
        <w:spacing w:before="120" w:after="120"/>
        <w:rPr>
          <w:rFonts w:hint="eastAsia" w:ascii="黑体" w:hAnsi="黑体" w:eastAsia="黑体" w:cs="宋体"/>
          <w:b w:val="0"/>
          <w:bCs/>
          <w:color w:val="000000"/>
          <w:sz w:val="30"/>
          <w:szCs w:val="28"/>
          <w:lang w:val="en-US" w:eastAsia="zh-CN" w:bidi="ar-SA"/>
        </w:rPr>
      </w:pPr>
      <w:r>
        <w:rPr>
          <w:rFonts w:hint="eastAsia" w:cs="宋体"/>
          <w:b w:val="0"/>
          <w:bCs/>
          <w:color w:val="000000"/>
          <w:sz w:val="30"/>
          <w:szCs w:val="28"/>
          <w:lang w:val="en-US" w:eastAsia="zh-CN" w:bidi="ar-SA"/>
        </w:rPr>
        <w:t>申请补贴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在“广州以旧换新活动商家专区”页面中，当企业通过产品报备后并通过审核，可点击【申请补贴】，可进入“商家补贴申请”填写页面，如图所示：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1955" cy="2300605"/>
            <wp:effectExtent l="0" t="0" r="4445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5765" cy="2327275"/>
            <wp:effectExtent l="0" t="0" r="635" b="444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232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364105"/>
            <wp:effectExtent l="0" t="0" r="0" b="1333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5765" cy="1831340"/>
            <wp:effectExtent l="0" t="0" r="635" b="1270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5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其中：</w:t>
      </w:r>
    </w:p>
    <w:p>
      <w:pPr>
        <w:ind w:firstLine="420" w:firstLineChars="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发票信息（如下图示例所示）：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发票代码：填写开具的发票对应位置的发票代码。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发票号码：填写开具的发票对应位置的发票号码。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项目名称简称对应的单价：填写开具的发票单价下面的单价金额。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发票金额（含税销售额）：填写开具的发票的“税价合计”。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发票开具日期：填写开具的发票对应位置的发票日期。</w:t>
      </w:r>
    </w:p>
    <w:p>
      <w:r>
        <w:drawing>
          <wp:inline distT="0" distB="0" distL="114300" distR="114300">
            <wp:extent cx="5268595" cy="3079115"/>
            <wp:effectExtent l="0" t="0" r="4445" b="14605"/>
            <wp:docPr id="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114040"/>
            <wp:effectExtent l="0" t="0" r="3175" b="1016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订单信息：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订单号：填写订单上面的订单编号。</w:t>
      </w:r>
    </w:p>
    <w:p>
      <w:p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交易日期：填写订单上面的支付日期。</w:t>
      </w:r>
    </w:p>
    <w:p>
      <w:pPr>
        <w:ind w:firstLine="420" w:firstLineChars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实付金额（元）：填写订单上面支付金额。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在该页面中，可批量导入商品补贴明细，点击【下载《补贴商品明细模版》】，可下载导入模版的Excel表格，表格填写完成后，点击【导入】，可批量导入补贴商品明细。导入明细后，可直接提交补贴商品明细。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在该页面中，可点击【新增】，进行增加商品补贴明细的填写表单，点击【删除】，可删除一个补贴明细的填写表单。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填写完成后，点击【暂存】，可保存草稿；点击【提交】，可完成申请补贴步骤。</w:t>
      </w:r>
    </w:p>
    <w:p>
      <w:pPr>
        <w:pStyle w:val="14"/>
        <w:tabs>
          <w:tab w:val="left" w:pos="709"/>
        </w:tabs>
        <w:spacing w:before="120" w:after="120"/>
      </w:pPr>
      <w:r>
        <w:rPr>
          <w:rFonts w:hint="eastAsia"/>
          <w:lang w:val="en-US" w:eastAsia="zh-CN"/>
        </w:rPr>
        <w:t>运营后台端</w:t>
      </w:r>
    </w:p>
    <w:p>
      <w:pPr>
        <w:pStyle w:val="16"/>
        <w:spacing w:before="120" w:after="120"/>
        <w:rPr>
          <w:rFonts w:hint="default" w:eastAsia="宋体"/>
          <w:lang w:val="en-US" w:eastAsia="zh-CN"/>
        </w:rPr>
      </w:pPr>
      <w:r>
        <w:rPr>
          <w:rFonts w:hint="eastAsia" w:eastAsia="宋体"/>
          <w:lang w:val="en-US" w:eastAsia="zh-CN"/>
        </w:rPr>
        <w:t>业务流程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商家</w:t>
      </w:r>
      <w:r>
        <w:rPr>
          <w:rFonts w:hint="default"/>
          <w:lang w:val="en-US" w:eastAsia="zh-CN"/>
        </w:rPr>
        <w:t>企业</w:t>
      </w:r>
      <w:r>
        <w:rPr>
          <w:rFonts w:hint="eastAsia"/>
          <w:lang w:val="en-US" w:eastAsia="zh-CN"/>
        </w:rPr>
        <w:t>提交活动报名申请或产品报备时，进行的流程如图所示：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5426710"/>
            <wp:effectExtent l="0" t="0" r="13970" b="13970"/>
            <wp:docPr id="2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spacing w:before="120" w:after="120"/>
        <w:rPr>
          <w:rFonts w:hint="default"/>
          <w:lang w:val="en-US" w:eastAsia="zh-CN"/>
        </w:rPr>
      </w:pPr>
      <w:bookmarkStart w:id="9" w:name="_Toc76999053"/>
      <w:r>
        <w:rPr>
          <w:rFonts w:hint="eastAsia" w:cs="宋体"/>
          <w:b w:val="0"/>
          <w:bCs/>
          <w:color w:val="000000"/>
          <w:sz w:val="30"/>
          <w:szCs w:val="28"/>
          <w:lang w:val="en-US" w:eastAsia="zh-CN" w:bidi="ar-SA"/>
        </w:rPr>
        <w:t>企业资格申请</w:t>
      </w:r>
    </w:p>
    <w:p>
      <w:pPr>
        <w:pStyle w:val="6"/>
        <w:bidi w:val="0"/>
      </w:pPr>
      <w:r>
        <w:rPr>
          <w:rFonts w:hint="eastAsia"/>
          <w:lang w:val="en-US" w:eastAsia="zh-CN"/>
        </w:rPr>
        <w:t>申请列表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区商务局或市商务局经办人员，点击【工作台】&gt;【企业资格申请】，可进入“企业资格申请”待办列表页面，分为“待办任务”与“已办任务”页面，如图所示：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76240" cy="2014855"/>
            <wp:effectExtent l="0" t="0" r="10160" b="1206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76875" cy="2374900"/>
            <wp:effectExtent l="0" t="0" r="952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在该页面中，可点击“待办任务”与“已办任务”，进行切换展示。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在“待办任务”页面中，可点击【审核】，进入“企业资格申请审核”页面；在“已办任务”页面中，可点击【查看详情】，可查看企业资格申请详情。</w:t>
      </w:r>
    </w:p>
    <w:p>
      <w:pPr>
        <w:pStyle w:val="6"/>
        <w:bidi w:val="0"/>
        <w:rPr>
          <w:rFonts w:hint="eastAsia" w:ascii="Arial" w:hAnsi="Arial" w:eastAsia="黑体" w:cs="Times New Roman"/>
          <w:bCs/>
          <w:sz w:val="28"/>
          <w:szCs w:val="28"/>
          <w:lang w:val="en-US" w:eastAsia="zh-CN" w:bidi="ar-SA"/>
        </w:rPr>
      </w:pPr>
      <w:r>
        <w:rPr>
          <w:rFonts w:hint="eastAsia" w:cs="Times New Roman"/>
          <w:bCs/>
          <w:sz w:val="28"/>
          <w:szCs w:val="28"/>
          <w:lang w:val="en-US" w:eastAsia="zh-CN" w:bidi="ar-SA"/>
        </w:rPr>
        <w:t>审核</w:t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在“待办任务”页面中，可点击【审核】，进入“企业资格申请审核”页面，如图所示：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0050" cy="2423160"/>
            <wp:effectExtent l="0" t="0" r="6350" b="0"/>
            <wp:docPr id="2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00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在该页面中，可点击【承诺函文件】或【网点清单】，可切换展示企业上传的pdf文件。如图所示：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2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在该审核页面中，审核意见可点击【展开】，可进行填写审核意见，如图所示：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当选择“通过”或“不通过”，点击【提交】，完成审核，流程结束；当选择“退回修改”，可将该工单退回商家企业进行修改。</w:t>
      </w:r>
    </w:p>
    <w:p>
      <w:pPr>
        <w:pStyle w:val="16"/>
        <w:spacing w:before="120" w:after="120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cs="宋体"/>
          <w:b w:val="0"/>
          <w:bCs/>
          <w:color w:val="000000"/>
          <w:sz w:val="30"/>
          <w:szCs w:val="28"/>
          <w:lang w:val="en-US" w:eastAsia="zh-CN" w:bidi="ar-SA"/>
        </w:rPr>
        <w:t>商品报备</w:t>
      </w:r>
      <w:bookmarkEnd w:id="9"/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报备列表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点击</w:t>
      </w:r>
      <w:r>
        <w:rPr>
          <w:rFonts w:hint="eastAsia"/>
          <w:lang w:val="en-US" w:eastAsia="zh-CN"/>
        </w:rPr>
        <w:t>【工作台】&gt;</w:t>
      </w:r>
      <w:r>
        <w:rPr>
          <w:rFonts w:hint="default"/>
          <w:lang w:val="en-US" w:eastAsia="zh-CN"/>
        </w:rPr>
        <w:t>【</w:t>
      </w:r>
      <w:r>
        <w:rPr>
          <w:rFonts w:hint="eastAsia"/>
          <w:lang w:val="en-US" w:eastAsia="zh-CN"/>
        </w:rPr>
        <w:t>商品报备</w:t>
      </w:r>
      <w:r>
        <w:rPr>
          <w:rFonts w:hint="default"/>
          <w:lang w:val="en-US" w:eastAsia="zh-CN"/>
        </w:rPr>
        <w:t>】，可进入“</w:t>
      </w:r>
      <w:r>
        <w:rPr>
          <w:rFonts w:hint="eastAsia"/>
          <w:lang w:val="en-US" w:eastAsia="zh-CN"/>
        </w:rPr>
        <w:t>商品报备</w:t>
      </w:r>
      <w:r>
        <w:rPr>
          <w:rFonts w:hint="default"/>
          <w:lang w:val="en-US" w:eastAsia="zh-CN"/>
        </w:rPr>
        <w:t>”列表页面，分为“待办任务”与“已办任务”页面，如图所示：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2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2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在该页面中，可点击“待办任务”与“已办任务”，进行切换展示。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在“待办任务”页面中，可点击【审核】，进入“</w:t>
      </w:r>
      <w:r>
        <w:rPr>
          <w:rFonts w:hint="eastAsia"/>
          <w:lang w:val="en-US" w:eastAsia="zh-CN"/>
        </w:rPr>
        <w:t>商品报备</w:t>
      </w:r>
      <w:r>
        <w:rPr>
          <w:rFonts w:hint="default"/>
          <w:lang w:val="en-US" w:eastAsia="zh-CN"/>
        </w:rPr>
        <w:t>审核”页面；在“已办任务”页面中，可点击【查看详情】，可查看</w:t>
      </w:r>
      <w:r>
        <w:rPr>
          <w:rFonts w:hint="eastAsia"/>
          <w:lang w:val="en-US" w:eastAsia="zh-CN"/>
        </w:rPr>
        <w:t>商品报备</w:t>
      </w:r>
      <w:r>
        <w:rPr>
          <w:rFonts w:hint="default"/>
          <w:lang w:val="en-US" w:eastAsia="zh-CN"/>
        </w:rPr>
        <w:t>详情。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</w:t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在“待办任务”页面中，可点击【审核】，进入“</w:t>
      </w:r>
      <w:r>
        <w:rPr>
          <w:rFonts w:hint="eastAsia"/>
          <w:lang w:val="en-US" w:eastAsia="zh-CN"/>
        </w:rPr>
        <w:t>商品报备</w:t>
      </w:r>
      <w:r>
        <w:rPr>
          <w:rFonts w:hint="default"/>
          <w:lang w:val="en-US" w:eastAsia="zh-CN"/>
        </w:rPr>
        <w:t>审核”</w:t>
      </w:r>
      <w:r>
        <w:rPr>
          <w:rFonts w:hint="eastAsia"/>
          <w:lang w:val="en-US" w:eastAsia="zh-CN"/>
        </w:rPr>
        <w:t>列表</w:t>
      </w:r>
      <w:r>
        <w:rPr>
          <w:rFonts w:hint="default"/>
          <w:lang w:val="en-US" w:eastAsia="zh-CN"/>
        </w:rPr>
        <w:t>页面，如图所示：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在该页面中，可勾选商品品类，点击【批量审核】，可进行批量审核；对单个商品品类，点击【审核】，可进入“商品报备申请审核”页面，如图所示：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3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在该页面中，审核意见可点击【展开】，可进行填写审核意见，如图所示：</w:t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26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2426335"/>
            <wp:effectExtent l="0" t="0" r="0" b="12065"/>
            <wp:docPr id="3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2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当选择“通过”或“不通过”，点击【提交】，完成审核，流程结束；当选择“退回修改”，可将该工单退回商家企业进行修改。</w:t>
      </w:r>
    </w:p>
    <w:p>
      <w:pPr>
        <w:rPr>
          <w:rFonts w:hint="eastAsia"/>
        </w:rPr>
      </w:pPr>
      <w:r>
        <w:rPr>
          <w:rFonts w:hint="eastAsia"/>
        </w:rPr>
        <w:br w:type="page"/>
      </w:r>
    </w:p>
    <w:p>
      <w:bookmarkStart w:id="10" w:name="_GoBack"/>
      <w:bookmarkEnd w:id="1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9000"/>
        <w:tab w:val="clear" w:pos="4153"/>
        <w:tab w:val="clear" w:pos="8306"/>
      </w:tabs>
      <w:ind w:right="360"/>
      <w:rPr>
        <w:color w:val="0000FF"/>
        <w:sz w:val="18"/>
        <w:szCs w:val="18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8"/>
                            <w:tabs>
                              <w:tab w:val="center" w:pos="4320"/>
                              <w:tab w:val="right" w:pos="8640"/>
                              <w:tab w:val="clear" w:pos="4153"/>
                              <w:tab w:val="clear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Niusjk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tabs>
                        <w:tab w:val="center" w:pos="4320"/>
                        <w:tab w:val="right" w:pos="8640"/>
                        <w:tab w:val="clear" w:pos="4153"/>
                        <w:tab w:val="clear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tabs>
        <w:tab w:val="right" w:pos="9360"/>
        <w:tab w:val="clear" w:pos="8306"/>
      </w:tabs>
      <w:jc w:val="both"/>
      <w:rPr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670FBE"/>
    <w:multiLevelType w:val="multilevel"/>
    <w:tmpl w:val="0C670FBE"/>
    <w:lvl w:ilvl="0" w:tentative="0">
      <w:start w:val="1"/>
      <w:numFmt w:val="chineseCountingThousand"/>
      <w:pStyle w:val="13"/>
      <w:lvlText w:val="第%1章"/>
      <w:lvlJc w:val="center"/>
      <w:pPr>
        <w:tabs>
          <w:tab w:val="left" w:pos="0"/>
        </w:tabs>
        <w:ind w:left="0" w:firstLine="288"/>
      </w:pPr>
      <w:rPr>
        <w:rFonts w:hint="default" w:ascii="Arial" w:hAnsi="Arial"/>
        <w:b w:val="0"/>
        <w:bCs/>
        <w:i w:val="0"/>
        <w:sz w:val="36"/>
        <w:szCs w:val="36"/>
        <w:lang w:val="en-US"/>
      </w:rPr>
    </w:lvl>
    <w:lvl w:ilvl="1" w:tentative="0">
      <w:start w:val="1"/>
      <w:numFmt w:val="decimal"/>
      <w:pStyle w:val="14"/>
      <w:isLgl/>
      <w:lvlText w:val="%1.%2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Times New Roman"/>
        <w:b w:val="0"/>
        <w:i w:val="0"/>
        <w:sz w:val="32"/>
        <w:szCs w:val="32"/>
      </w:rPr>
    </w:lvl>
    <w:lvl w:ilvl="2" w:tentative="0">
      <w:start w:val="1"/>
      <w:numFmt w:val="decimal"/>
      <w:pStyle w:val="16"/>
      <w:isLgl/>
      <w:lvlText w:val="%1.%2.%3"/>
      <w:lvlJc w:val="left"/>
      <w:pPr>
        <w:tabs>
          <w:tab w:val="left" w:pos="142"/>
        </w:tabs>
        <w:ind w:left="142" w:firstLine="0"/>
      </w:pPr>
      <w:rPr>
        <w:rFonts w:hint="default" w:ascii="Times New Roman" w:hAnsi="Times New Roman" w:eastAsia="黑体" w:cs="Times New Roman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6"/>
      <w:isLgl/>
      <w:lvlText w:val="%1.%2.%3.%4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Times New Roman"/>
        <w:b w:val="0"/>
        <w:bCs w:val="0"/>
        <w:i w:val="0"/>
        <w:sz w:val="28"/>
        <w:szCs w:val="28"/>
      </w:rPr>
    </w:lvl>
    <w:lvl w:ilvl="4" w:tentative="0">
      <w:start w:val="1"/>
      <w:numFmt w:val="decimal"/>
      <w:isLgl/>
      <w:lvlText w:val="%1.%2.%3.%4.%5"/>
      <w:lvlJc w:val="left"/>
      <w:pPr>
        <w:tabs>
          <w:tab w:val="left" w:pos="0"/>
        </w:tabs>
        <w:ind w:left="0" w:firstLine="0"/>
      </w:pPr>
      <w:rPr>
        <w:rFonts w:hint="default" w:ascii="Times New Roman" w:hAnsi="Times New Roman" w:eastAsia="黑体" w:cs="Times New Roman"/>
        <w:b w:val="0"/>
        <w:bCs w:val="0"/>
        <w:i w:val="0"/>
        <w:sz w:val="24"/>
        <w:szCs w:val="24"/>
      </w:rPr>
    </w:lvl>
    <w:lvl w:ilvl="5" w:tentative="0">
      <w:start w:val="1"/>
      <w:numFmt w:val="decimal"/>
      <w:isLgl/>
      <w:lvlText w:val="%1.%2.%3.%4.%5.%6"/>
      <w:lvlJc w:val="left"/>
      <w:pPr>
        <w:tabs>
          <w:tab w:val="left" w:pos="-2160"/>
        </w:tabs>
        <w:ind w:left="0" w:firstLine="0"/>
      </w:pPr>
      <w:rPr>
        <w:rFonts w:hint="default" w:ascii="Times New Roman" w:hAnsi="Times New Roman" w:eastAsia="黑体"/>
        <w:b w:val="0"/>
        <w:bCs/>
        <w:i w:val="0"/>
        <w:sz w:val="24"/>
        <w:szCs w:val="24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-2160"/>
        </w:tabs>
        <w:ind w:left="0" w:firstLine="0"/>
      </w:pPr>
      <w:rPr>
        <w:rFonts w:hint="default" w:ascii="Times New Roman" w:hAnsi="Times New Roman"/>
        <w:sz w:val="24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-2160"/>
        </w:tabs>
        <w:ind w:left="0" w:firstLine="0"/>
      </w:pPr>
      <w:rPr>
        <w:rFonts w:hint="default" w:ascii="Times New Roman" w:hAnsi="Times New Roman"/>
        <w:sz w:val="24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-2160"/>
        </w:tabs>
        <w:ind w:left="0" w:firstLine="0"/>
      </w:pPr>
      <w:rPr>
        <w:rFonts w:hint="default" w:ascii="Times New Roman" w:hAnsi="Times New Roman"/>
        <w:sz w:val="24"/>
      </w:rPr>
    </w:lvl>
  </w:abstractNum>
  <w:abstractNum w:abstractNumId="1">
    <w:nsid w:val="725CC9A6"/>
    <w:multiLevelType w:val="singleLevel"/>
    <w:tmpl w:val="725CC9A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0CF7C87"/>
    <w:rsid w:val="70CF7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qFormat/>
    <w:uiPriority w:val="0"/>
    <w:pPr>
      <w:keepNext/>
      <w:keepLines/>
      <w:spacing w:before="260" w:after="260"/>
      <w:outlineLvl w:val="1"/>
    </w:pPr>
    <w:rPr>
      <w:rFonts w:ascii="Arial" w:hAnsi="Arial" w:eastAsia="仿宋_GB2312"/>
      <w:b/>
      <w:bCs/>
      <w:kern w:val="2"/>
      <w:sz w:val="30"/>
      <w:szCs w:val="30"/>
      <w:lang w:eastAsia="zh-CN"/>
    </w:rPr>
  </w:style>
  <w:style w:type="paragraph" w:styleId="5">
    <w:name w:val="heading 3"/>
    <w:basedOn w:val="1"/>
    <w:next w:val="1"/>
    <w:qFormat/>
    <w:uiPriority w:val="0"/>
    <w:pPr>
      <w:keepNext/>
      <w:keepLines/>
      <w:widowControl w:val="0"/>
      <w:spacing w:before="260" w:after="260" w:line="415" w:lineRule="auto"/>
      <w:jc w:val="both"/>
      <w:outlineLvl w:val="2"/>
    </w:pPr>
    <w:rPr>
      <w:rFonts w:ascii="Times New Roman" w:hAnsi="Times New Roman" w:eastAsia="宋体" w:cs="Times New Roman"/>
      <w:b/>
      <w:kern w:val="2"/>
      <w:sz w:val="32"/>
      <w:szCs w:val="24"/>
      <w:lang w:val="en-US" w:eastAsia="zh-CN" w:bidi="ar-SA"/>
    </w:rPr>
  </w:style>
  <w:style w:type="paragraph" w:styleId="6">
    <w:name w:val="heading 4"/>
    <w:basedOn w:val="1"/>
    <w:next w:val="7"/>
    <w:qFormat/>
    <w:uiPriority w:val="0"/>
    <w:pPr>
      <w:keepNext/>
      <w:keepLines/>
      <w:numPr>
        <w:ilvl w:val="3"/>
        <w:numId w:val="1"/>
      </w:numPr>
      <w:spacing w:before="100" w:beforeLines="100" w:after="100" w:afterLines="100" w:line="240" w:lineRule="auto"/>
      <w:outlineLvl w:val="3"/>
    </w:pPr>
    <w:rPr>
      <w:rFonts w:ascii="Arial" w:hAnsi="Arial" w:eastAsia="黑体"/>
      <w:bCs/>
      <w:sz w:val="28"/>
      <w:szCs w:val="28"/>
    </w:rPr>
  </w:style>
  <w:style w:type="character" w:default="1" w:styleId="11">
    <w:name w:val="Default Paragraph Font"/>
    <w:semiHidden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"/>
    <w:basedOn w:val="1"/>
    <w:next w:val="1"/>
    <w:qFormat/>
    <w:uiPriority w:val="0"/>
    <w:pPr>
      <w:spacing w:after="120" w:afterLines="0"/>
      <w:textAlignment w:val="baseline"/>
    </w:pPr>
    <w:rPr>
      <w:rFonts w:ascii="Calibri" w:hAnsi="Calibri"/>
      <w:szCs w:val="22"/>
    </w:rPr>
  </w:style>
  <w:style w:type="paragraph" w:customStyle="1" w:styleId="7">
    <w:name w:val="样式 标题 4 + 段前: 0.5 行 段后: 0.5 行"/>
    <w:basedOn w:val="6"/>
    <w:qFormat/>
    <w:uiPriority w:val="0"/>
    <w:pPr>
      <w:spacing w:before="120" w:after="120"/>
    </w:pPr>
    <w:rPr>
      <w:rFonts w:cs="宋体"/>
      <w:b/>
      <w:szCs w:val="20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2">
    <w:name w:val="Hyperlink"/>
    <w:qFormat/>
    <w:uiPriority w:val="99"/>
    <w:rPr>
      <w:color w:val="0000FF"/>
      <w:u w:val="single"/>
    </w:rPr>
  </w:style>
  <w:style w:type="paragraph" w:customStyle="1" w:styleId="13">
    <w:name w:val="一级标题"/>
    <w:basedOn w:val="3"/>
    <w:qFormat/>
    <w:uiPriority w:val="0"/>
    <w:pPr>
      <w:numPr>
        <w:ilvl w:val="0"/>
        <w:numId w:val="1"/>
      </w:numPr>
      <w:spacing w:beforeLines="50" w:afterLines="50"/>
      <w:jc w:val="center"/>
    </w:pPr>
    <w:rPr>
      <w:rFonts w:ascii="黑体" w:hAnsi="宋体"/>
      <w:b w:val="0"/>
      <w:lang w:eastAsia="zh-CN"/>
    </w:rPr>
  </w:style>
  <w:style w:type="paragraph" w:customStyle="1" w:styleId="14">
    <w:name w:val="样式 样式 标题 2 + (西文) 黑体 黑色 段前: 6 磅 段后: 6 磅 + 段前: 0.5 行 段后: 0.5 行"/>
    <w:basedOn w:val="15"/>
    <w:qFormat/>
    <w:uiPriority w:val="0"/>
    <w:pPr>
      <w:numPr>
        <w:ilvl w:val="1"/>
        <w:numId w:val="1"/>
      </w:numPr>
    </w:pPr>
    <w:rPr>
      <w:bCs w:val="0"/>
      <w:sz w:val="32"/>
      <w:szCs w:val="20"/>
    </w:rPr>
  </w:style>
  <w:style w:type="paragraph" w:customStyle="1" w:styleId="15">
    <w:name w:val="样式 标题 2 + (西文) 黑体 黑色 段前: 6 磅 段后: 6 磅"/>
    <w:basedOn w:val="4"/>
    <w:qFormat/>
    <w:uiPriority w:val="0"/>
    <w:pPr>
      <w:spacing w:beforeLines="50" w:afterLines="50"/>
    </w:pPr>
    <w:rPr>
      <w:rFonts w:ascii="黑体" w:eastAsia="黑体" w:cs="宋体"/>
      <w:b w:val="0"/>
      <w:color w:val="000000"/>
    </w:rPr>
  </w:style>
  <w:style w:type="paragraph" w:customStyle="1" w:styleId="16">
    <w:name w:val="样式 标题 3 + (西文) 黑体 黑色 段前: 6 磅 段后: 6 磅"/>
    <w:basedOn w:val="5"/>
    <w:qFormat/>
    <w:uiPriority w:val="0"/>
    <w:pPr>
      <w:numPr>
        <w:ilvl w:val="2"/>
        <w:numId w:val="1"/>
      </w:numPr>
      <w:tabs>
        <w:tab w:val="left" w:pos="0"/>
      </w:tabs>
      <w:spacing w:beforeLines="50" w:afterLines="50"/>
    </w:pPr>
    <w:rPr>
      <w:rFonts w:ascii="黑体" w:hAnsi="黑体" w:eastAsia="黑体" w:cs="宋体"/>
      <w:b w:val="0"/>
      <w:color w:val="000000"/>
      <w:sz w:val="3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2024-09-27T06:16:00Z</dcterms:created>
  <dc:creator>Administrator</dc:creator>
  <cp:lastModifiedBy>Administrator</cp:lastModifiedBy>
  <dcterms:modified xsi:type="dcterms:W3CDTF">2024-09-27T06:17:07Z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