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广州市番禺区202</w:t>
      </w:r>
      <w:r>
        <w:rPr>
          <w:rFonts w:hint="eastAsia" w:ascii="方正小标宋简体" w:hAnsi="方正小标宋简体" w:eastAsia="方正小标宋简体" w:cs="方正小标宋简体"/>
          <w:sz w:val="44"/>
          <w:szCs w:val="52"/>
          <w:lang w:val="en-US" w:eastAsia="zh-CN"/>
        </w:rPr>
        <w:t>3</w:t>
      </w:r>
      <w:r>
        <w:rPr>
          <w:rFonts w:hint="eastAsia" w:ascii="方正小标宋简体" w:hAnsi="方正小标宋简体" w:eastAsia="方正小标宋简体" w:cs="方正小标宋简体"/>
          <w:sz w:val="44"/>
          <w:szCs w:val="52"/>
        </w:rPr>
        <w:t>年度公交行业城市</w:t>
      </w:r>
      <w:r>
        <w:rPr>
          <w:rFonts w:hint="eastAsia" w:ascii="方正小标宋简体" w:hAnsi="方正小标宋简体" w:eastAsia="方正小标宋简体" w:cs="方正小标宋简体"/>
          <w:sz w:val="44"/>
          <w:szCs w:val="52"/>
          <w:lang w:val="en-US" w:eastAsia="zh-CN"/>
        </w:rPr>
        <w:t>交通</w:t>
      </w:r>
      <w:r>
        <w:rPr>
          <w:rFonts w:hint="eastAsia" w:ascii="方正小标宋简体" w:hAnsi="方正小标宋简体" w:eastAsia="方正小标宋简体" w:cs="方正小标宋简体"/>
          <w:sz w:val="44"/>
          <w:szCs w:val="52"/>
        </w:rPr>
        <w:t>发展</w:t>
      </w:r>
    </w:p>
    <w:p>
      <w:pPr>
        <w:keepNext w:val="0"/>
        <w:keepLines w:val="0"/>
        <w:pageBreakBefore w:val="0"/>
        <w:kinsoku/>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奖励资金分配方案</w:t>
      </w:r>
    </w:p>
    <w:bookmarkEnd w:id="0"/>
    <w:p>
      <w:pPr>
        <w:keepNext w:val="0"/>
        <w:keepLines w:val="0"/>
        <w:pageBreakBefore w:val="0"/>
        <w:kinsoku/>
        <w:overflowPunct/>
        <w:topLinePunct w:val="0"/>
        <w:autoSpaceDE/>
        <w:autoSpaceDN/>
        <w:bidi w:val="0"/>
        <w:adjustRightInd/>
        <w:spacing w:line="600" w:lineRule="exact"/>
        <w:jc w:val="both"/>
        <w:textAlignment w:val="auto"/>
        <w:rPr>
          <w:rFonts w:ascii="方正小标宋简体" w:hAnsi="方正小标宋简体" w:eastAsia="方正小标宋简体" w:cs="方正小标宋简体"/>
          <w:sz w:val="44"/>
          <w:szCs w:val="52"/>
        </w:rPr>
      </w:pP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ascii="仿宋_GB2312" w:hAnsi="仿宋_GB2312" w:eastAsia="黑体" w:cs="仿宋_GB2312"/>
          <w:szCs w:val="32"/>
        </w:rPr>
      </w:pPr>
      <w:r>
        <w:rPr>
          <w:rFonts w:hint="eastAsia" w:ascii="仿宋_GB2312" w:hAnsi="仿宋_GB2312" w:eastAsia="黑体" w:cs="仿宋_GB2312"/>
          <w:szCs w:val="32"/>
        </w:rPr>
        <w:t>一、奖励资金分配对象</w:t>
      </w: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广州市番禺区在册运营且符合奖励条件的新能源公交车辆所属公交企业。</w:t>
      </w:r>
    </w:p>
    <w:p>
      <w:pPr>
        <w:pStyle w:val="2"/>
        <w:keepNext w:val="0"/>
        <w:keepLines w:val="0"/>
        <w:pageBreakBefore w:val="0"/>
        <w:widowControl w:val="0"/>
        <w:kinsoku/>
        <w:wordWrap/>
        <w:overflowPunct/>
        <w:topLinePunct w:val="0"/>
        <w:autoSpaceDE/>
        <w:autoSpaceDN/>
        <w:bidi w:val="0"/>
        <w:adjustRightInd/>
        <w:spacing w:after="0" w:line="60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highlight w:val="none"/>
        </w:rPr>
        <w:t>本方案所称的新能源公交车是指依法取得我市交通行业主管部门核发的《广州市公共客运交通营运证》</w:t>
      </w:r>
      <w:r>
        <w:rPr>
          <w:rFonts w:hint="eastAsia" w:ascii="仿宋_GB2312" w:hAnsi="仿宋_GB2312" w:eastAsia="仿宋_GB2312" w:cs="仿宋_GB2312"/>
        </w:rPr>
        <w:t>(以下简称“营运证”)，并在编码线路正常运营的车辆。新能源公交车包含纯电动公交车、插电式混合动力(含增程式)公交车、燃料电池公交车和超级电容公交车</w:t>
      </w:r>
      <w:r>
        <w:rPr>
          <w:rFonts w:hint="eastAsia" w:ascii="仿宋_GB2312" w:hAnsi="仿宋_GB2312" w:eastAsia="仿宋_GB2312" w:cs="仿宋_GB2312"/>
          <w:lang w:eastAsia="zh-CN"/>
        </w:rPr>
        <w:t>；</w:t>
      </w:r>
      <w:r>
        <w:rPr>
          <w:rFonts w:hint="eastAsia" w:ascii="仿宋_GB2312" w:hAnsi="仿宋_GB2312" w:eastAsia="仿宋_GB2312" w:cs="仿宋_GB2312"/>
        </w:rPr>
        <w:t>新能源公交车应当纳入工业和信息化部《新能源汽车推广应用推荐车型目录》</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ascii="黑体" w:hAnsi="黑体" w:eastAsia="黑体" w:cs="黑体"/>
          <w:szCs w:val="32"/>
        </w:rPr>
      </w:pPr>
      <w:r>
        <w:rPr>
          <w:rFonts w:hint="eastAsia" w:ascii="黑体" w:hAnsi="黑体" w:eastAsia="黑体" w:cs="黑体"/>
          <w:szCs w:val="32"/>
        </w:rPr>
        <w:t>二、奖励资金分配条件</w:t>
      </w:r>
    </w:p>
    <w:p>
      <w:pPr>
        <w:keepNext w:val="0"/>
        <w:keepLines w:val="0"/>
        <w:pageBreakBefore w:val="0"/>
        <w:kinsoku/>
        <w:overflowPunct/>
        <w:topLinePunct w:val="0"/>
        <w:autoSpaceDE/>
        <w:autoSpaceDN/>
        <w:bidi w:val="0"/>
        <w:adjustRightInd/>
        <w:snapToGrid w:val="0"/>
        <w:spacing w:line="600" w:lineRule="exact"/>
        <w:ind w:firstLine="632" w:firstLineChars="200"/>
        <w:contextualSpacing/>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（一）</w:t>
      </w:r>
      <w:r>
        <w:rPr>
          <w:rFonts w:hint="eastAsia" w:ascii="仿宋_GB2312" w:hAnsi="仿宋_GB2312" w:eastAsia="仿宋_GB2312" w:cs="仿宋_GB2312"/>
          <w:szCs w:val="32"/>
        </w:rPr>
        <w:t>年度内正常运营</w:t>
      </w:r>
      <w:r>
        <w:rPr>
          <w:rFonts w:hint="eastAsia" w:ascii="仿宋_GB2312" w:hAnsi="仿宋_GB2312" w:eastAsia="仿宋_GB2312" w:cs="仿宋_GB2312"/>
          <w:szCs w:val="32"/>
          <w:lang w:val="zh-CN"/>
        </w:rPr>
        <w:t>（无变更，车辆首次登记注册年度为</w:t>
      </w:r>
      <w:r>
        <w:rPr>
          <w:rFonts w:hint="eastAsia" w:ascii="仿宋_GB2312" w:hAnsi="仿宋_GB2312" w:eastAsia="仿宋_GB2312" w:cs="仿宋_GB2312"/>
          <w:szCs w:val="32"/>
        </w:rPr>
        <w:t>补贴年度</w:t>
      </w:r>
      <w:r>
        <w:rPr>
          <w:rFonts w:hint="eastAsia" w:ascii="仿宋_GB2312" w:hAnsi="仿宋_GB2312" w:eastAsia="仿宋_GB2312" w:cs="仿宋_GB2312"/>
          <w:szCs w:val="32"/>
          <w:lang w:val="zh-CN"/>
        </w:rPr>
        <w:t>以前）的新能源公交车，年度运营里程应不低于</w:t>
      </w:r>
      <w:r>
        <w:rPr>
          <w:rFonts w:hint="eastAsia" w:ascii="仿宋_GB2312" w:hAnsi="仿宋_GB2312" w:eastAsia="仿宋_GB2312" w:cs="仿宋_GB2312"/>
          <w:szCs w:val="32"/>
        </w:rPr>
        <w:t>3万公里（含）。</w:t>
      </w:r>
    </w:p>
    <w:p>
      <w:pPr>
        <w:keepNext w:val="0"/>
        <w:keepLines w:val="0"/>
        <w:pageBreakBefore w:val="0"/>
        <w:widowControl/>
        <w:kinsoku/>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（二）</w:t>
      </w:r>
      <w:r>
        <w:rPr>
          <w:rFonts w:hint="eastAsia" w:ascii="仿宋_GB2312" w:hAnsi="仿宋_GB2312" w:eastAsia="仿宋_GB2312" w:cs="仿宋_GB2312"/>
          <w:szCs w:val="32"/>
        </w:rPr>
        <w:t>年度内因新增、更换及退出运营等原因造成实际运营时间不足一年的新能源公交车，以实际运营时间按月折算运营里程，月均运营里程应不低于2500公里（含）。相应公交车辆运营补助标准按月折算，并按照实际运营月份数计算运营补助金额。</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ascii="黑体" w:hAnsi="黑体" w:eastAsia="黑体" w:cs="黑体"/>
          <w:szCs w:val="32"/>
        </w:rPr>
      </w:pPr>
      <w:r>
        <w:rPr>
          <w:rFonts w:hint="eastAsia" w:ascii="黑体" w:hAnsi="黑体" w:eastAsia="黑体" w:cs="黑体"/>
          <w:szCs w:val="32"/>
        </w:rPr>
        <w:t>三、奖励资金分配标准</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（一）奖励资金分配方式</w:t>
      </w:r>
    </w:p>
    <w:p>
      <w:pPr>
        <w:pStyle w:val="2"/>
        <w:keepNext w:val="0"/>
        <w:keepLines w:val="0"/>
        <w:pageBreakBefore w:val="0"/>
        <w:kinsoku/>
        <w:overflowPunct/>
        <w:topLinePunct w:val="0"/>
        <w:autoSpaceDE/>
        <w:autoSpaceDN/>
        <w:bidi w:val="0"/>
        <w:adjustRightInd/>
        <w:spacing w:after="0" w:line="60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广州市分配给番禺区用于新能源公交车运营资金，按照</w:t>
      </w:r>
      <w:r>
        <w:rPr>
          <w:rFonts w:hint="eastAsia" w:ascii="仿宋_GB2312" w:hAnsi="仿宋_GB2312" w:eastAsia="仿宋_GB2312" w:cs="仿宋_GB2312"/>
          <w:lang w:val="en-US" w:eastAsia="zh-CN"/>
        </w:rPr>
        <w:t>符合奖励资金分配条件的</w:t>
      </w:r>
      <w:r>
        <w:rPr>
          <w:rFonts w:hint="eastAsia" w:ascii="仿宋_GB2312" w:hAnsi="仿宋_GB2312" w:eastAsia="仿宋_GB2312" w:cs="仿宋_GB2312"/>
        </w:rPr>
        <w:t>公交</w:t>
      </w:r>
      <w:r>
        <w:rPr>
          <w:rFonts w:hint="eastAsia" w:ascii="仿宋_GB2312" w:hAnsi="仿宋_GB2312" w:eastAsia="仿宋_GB2312" w:cs="仿宋_GB2312"/>
          <w:lang w:val="en-US" w:eastAsia="zh-CN"/>
        </w:rPr>
        <w:t>车辆</w:t>
      </w:r>
      <w:r>
        <w:rPr>
          <w:rFonts w:hint="eastAsia" w:ascii="仿宋_GB2312" w:hAnsi="仿宋_GB2312" w:eastAsia="仿宋_GB2312" w:cs="仿宋_GB2312"/>
        </w:rPr>
        <w:t>实际运营标台数</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车长系数、车辆实际运营月数</w:t>
      </w:r>
      <w:r>
        <w:rPr>
          <w:rFonts w:hint="eastAsia" w:ascii="仿宋_GB2312" w:hAnsi="仿宋_GB2312" w:eastAsia="仿宋_GB2312" w:cs="仿宋_GB2312"/>
          <w:lang w:eastAsia="zh-CN"/>
        </w:rPr>
        <w:t>）在</w:t>
      </w:r>
      <w:r>
        <w:rPr>
          <w:rFonts w:hint="eastAsia" w:ascii="仿宋_GB2312" w:hAnsi="仿宋_GB2312" w:eastAsia="仿宋_GB2312" w:cs="仿宋_GB2312"/>
        </w:rPr>
        <w:t>全区的占比</w:t>
      </w:r>
      <w:r>
        <w:rPr>
          <w:rFonts w:hint="eastAsia" w:ascii="仿宋_GB2312" w:hAnsi="仿宋_GB2312" w:eastAsia="仿宋_GB2312" w:cs="仿宋_GB2312"/>
          <w:lang w:val="en-US" w:eastAsia="zh-CN"/>
        </w:rPr>
        <w:t>分配</w:t>
      </w:r>
      <w:r>
        <w:rPr>
          <w:rFonts w:hint="eastAsia" w:ascii="仿宋_GB2312" w:hAnsi="仿宋_GB2312" w:eastAsia="仿宋_GB2312" w:cs="仿宋_GB2312"/>
        </w:rPr>
        <w:t>至区属公交企业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其余50%资金按照上一年度各企业综合考评得分情况及实际运营标台数进行二次统筹分配</w:t>
      </w:r>
      <w:r>
        <w:rPr>
          <w:rFonts w:hint="eastAsia" w:ascii="仿宋_GB2312" w:hAnsi="仿宋_GB2312" w:eastAsia="仿宋_GB2312" w:cs="仿宋_GB2312"/>
        </w:rPr>
        <w:t>。</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楷体_GB2312" w:hAnsi="楷体_GB2312" w:eastAsia="楷体_GB2312" w:cs="楷体_GB2312"/>
          <w:kern w:val="0"/>
          <w:szCs w:val="32"/>
        </w:rPr>
      </w:pPr>
      <w:r>
        <w:rPr>
          <w:rFonts w:hint="eastAsia" w:ascii="楷体_GB2312" w:hAnsi="楷体_GB2312" w:eastAsia="楷体_GB2312" w:cs="楷体_GB2312"/>
          <w:szCs w:val="32"/>
        </w:rPr>
        <w:t>（二）实际运营标台系数计算方式</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对于符合奖励资金分配条件的新能源公交车辆，按照车长、实际投入运营月数计算车辆实际运营标台数，单台车辆折算公式为：单台车辆实际运营标台=车辆车长系数</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车辆实际运营月数/12。</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（三）相关系数折算标准</w:t>
      </w:r>
    </w:p>
    <w:p>
      <w:pPr>
        <w:pStyle w:val="2"/>
        <w:keepNext w:val="0"/>
        <w:keepLines w:val="0"/>
        <w:pageBreakBefore w:val="0"/>
        <w:kinsoku/>
        <w:overflowPunct/>
        <w:topLinePunct w:val="0"/>
        <w:autoSpaceDE/>
        <w:autoSpaceDN/>
        <w:bidi w:val="0"/>
        <w:adjustRightInd/>
        <w:snapToGrid w:val="0"/>
        <w:spacing w:after="0"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rPr>
        <w:t>车辆车长系数折算标准：车长在5米以下（含5米），换算系数为0.5；车长范围在5米至7米（含7米），换算系数为0.7；车长范围在7米至10米（含10米），换算系数为1；车长范围在10米至13米（含13米），换算系数为1.3；车长范围在13米至16米（含16米），换算系数为1.7；车长范围在16米至18米（含18米），换算系数为2；车长在18米以上，换算系数为2.5；双层巴士换算系数为1.9。</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rPr>
        <w:t>实际运营月数折算标准：</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cs="仿宋_GB2312"/>
          <w:szCs w:val="32"/>
        </w:rPr>
        <w:t>（</w:t>
      </w:r>
      <w:r>
        <w:rPr>
          <w:rFonts w:hint="eastAsia" w:ascii="仿宋_GB2312" w:hAnsi="仿宋_GB2312" w:eastAsia="仿宋_GB2312" w:cs="仿宋_GB2312"/>
          <w:szCs w:val="32"/>
        </w:rPr>
        <w:t>1）年度内正常运营（无变更，车辆首次登记注册年度为补贴年度以前）的新能源公交车运营月数计为12个月。</w:t>
      </w:r>
    </w:p>
    <w:p>
      <w:pPr>
        <w:keepNext w:val="0"/>
        <w:keepLines w:val="0"/>
        <w:pageBreakBefore w:val="0"/>
        <w:kinsoku/>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年度内因新增、更换及退出运营等原因造成实际运营时间不足一年的新能源公交车，车辆的实际运营月数以车辆《营运证》的“发证日期”为车辆“营运开始日期”，车辆《营运证》的“注销日期”为车辆“营运结束日期”</w:t>
      </w:r>
      <w:r>
        <w:rPr>
          <w:rFonts w:hint="eastAsia" w:ascii="仿宋_GB2312" w:hAnsi="仿宋_GB2312" w:eastAsia="仿宋_GB2312" w:cs="仿宋_GB2312"/>
          <w:szCs w:val="32"/>
          <w:lang w:val="en"/>
        </w:rPr>
        <w:t>，</w:t>
      </w:r>
      <w:r>
        <w:rPr>
          <w:rFonts w:hint="eastAsia" w:ascii="仿宋_GB2312" w:hAnsi="仿宋_GB2312" w:eastAsia="仿宋_GB2312" w:cs="仿宋_GB2312"/>
          <w:szCs w:val="32"/>
        </w:rPr>
        <w:t>计算车辆实际运营天数，根据车辆实际运营天数除以30后四舍五入取整（一年运营天数不足15天按一个月算）折算出实际运营月份数。</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非统筹部分奖励分配</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区本级奖励资金总额的50%，按市级方案</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非统筹部分</w:t>
      </w:r>
      <w:r>
        <w:rPr>
          <w:rFonts w:hint="eastAsia" w:ascii="仿宋_GB2312" w:hAnsi="仿宋_GB2312" w:eastAsia="仿宋_GB2312" w:cs="仿宋_GB2312"/>
          <w:szCs w:val="32"/>
        </w:rPr>
        <w:t>奖励资金总额</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228.12万</w:t>
      </w:r>
      <w:r>
        <w:rPr>
          <w:rFonts w:hint="eastAsia" w:ascii="仿宋_GB2312" w:hAnsi="仿宋_GB2312" w:eastAsia="仿宋_GB2312" w:cs="仿宋_GB2312"/>
          <w:szCs w:val="32"/>
        </w:rPr>
        <w:t>元除以</w:t>
      </w:r>
      <w:r>
        <w:rPr>
          <w:rFonts w:hint="eastAsia" w:ascii="仿宋_GB2312" w:hAnsi="仿宋_GB2312" w:eastAsia="仿宋_GB2312" w:cs="仿宋_GB2312"/>
          <w:szCs w:val="32"/>
          <w:lang w:val="en-US" w:eastAsia="zh-CN"/>
        </w:rPr>
        <w:t>市级</w:t>
      </w:r>
      <w:r>
        <w:rPr>
          <w:rFonts w:hint="eastAsia" w:ascii="仿宋_GB2312" w:hAnsi="仿宋_GB2312" w:eastAsia="仿宋_GB2312" w:cs="仿宋_GB2312"/>
          <w:szCs w:val="32"/>
        </w:rPr>
        <w:t>实际运营标台数</w:t>
      </w:r>
      <w:r>
        <w:rPr>
          <w:rFonts w:hint="eastAsia" w:ascii="仿宋_GB2312" w:hAnsi="仿宋_GB2312" w:eastAsia="仿宋_GB2312" w:cs="仿宋_GB2312"/>
          <w:szCs w:val="32"/>
          <w:lang w:val="en-US" w:eastAsia="zh-CN"/>
        </w:rPr>
        <w:t>12598</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67</w:t>
      </w:r>
      <w:r>
        <w:rPr>
          <w:rFonts w:hint="eastAsia" w:ascii="仿宋_GB2312" w:hAnsi="仿宋_GB2312" w:eastAsia="仿宋_GB2312" w:cs="仿宋_GB2312"/>
          <w:szCs w:val="32"/>
        </w:rPr>
        <w:t>标台，</w:t>
      </w:r>
      <w:r>
        <w:rPr>
          <w:rFonts w:hint="eastAsia" w:ascii="仿宋_GB2312" w:hAnsi="仿宋_GB2312" w:eastAsia="仿宋_GB2312" w:cs="仿宋_GB2312"/>
          <w:szCs w:val="32"/>
          <w:lang w:val="en-US" w:eastAsia="zh-CN"/>
        </w:rPr>
        <w:t>以</w:t>
      </w:r>
      <w:r>
        <w:rPr>
          <w:rFonts w:hint="eastAsia" w:ascii="仿宋_GB2312" w:hAnsi="仿宋_GB2312" w:eastAsia="仿宋_GB2312" w:cs="仿宋_GB2312"/>
          <w:szCs w:val="32"/>
        </w:rPr>
        <w:t>每标台车辆奖励资金标准约为</w:t>
      </w:r>
      <w:r>
        <w:rPr>
          <w:rFonts w:hint="eastAsia" w:ascii="仿宋_GB2312" w:hAnsi="仿宋_GB2312" w:eastAsia="仿宋_GB2312" w:cs="仿宋_GB2312"/>
          <w:szCs w:val="32"/>
          <w:lang w:val="en-US" w:eastAsia="zh-CN"/>
        </w:rPr>
        <w:t>1768.53</w:t>
      </w:r>
      <w:r>
        <w:rPr>
          <w:rFonts w:hint="eastAsia" w:ascii="仿宋_GB2312" w:hAnsi="仿宋_GB2312" w:eastAsia="仿宋_GB2312" w:cs="仿宋_GB2312"/>
          <w:szCs w:val="32"/>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依据区内各公交企业所属车辆对应的实际标台数占比情况对奖励资金进行分配</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五）统筹部分奖励资金分配</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广州市2023年度公交行业城市交通发展奖励资金分配执行方案》，总额剩余的50%统筹考虑企业安全管理、服务质量、经营行为等因素，按照上一年度各企业综合考评得分情况及实际运营标台数进行二次统筹分配。</w:t>
      </w:r>
    </w:p>
    <w:p>
      <w:pPr>
        <w:pStyle w:val="2"/>
        <w:keepNext w:val="0"/>
        <w:keepLines w:val="0"/>
        <w:pageBreakBefore w:val="0"/>
        <w:kinsoku/>
        <w:wordWrap/>
        <w:overflowPunct/>
        <w:topLinePunct w:val="0"/>
        <w:autoSpaceDE/>
        <w:autoSpaceDN/>
        <w:bidi w:val="0"/>
        <w:adjustRightInd/>
        <w:spacing w:after="0" w:line="600" w:lineRule="exact"/>
        <w:ind w:firstLine="632" w:firstLineChars="200"/>
        <w:textAlignment w:val="auto"/>
        <w:rPr>
          <w:rFonts w:hint="eastAsia" w:ascii="仿宋_GB2312" w:hAnsi="仿宋_GB2312" w:eastAsia="仿宋_GB2312" w:cs="仿宋_GB2312"/>
          <w:i w:val="0"/>
          <w:szCs w:val="32"/>
          <w:lang w:val="en-US" w:eastAsia="zh-CN"/>
        </w:rPr>
      </w:pPr>
      <w:r>
        <w:rPr>
          <w:rFonts w:hint="eastAsia" w:ascii="仿宋_GB2312" w:hAnsi="仿宋_GB2312" w:eastAsia="仿宋_GB2312" w:cs="仿宋_GB2312"/>
          <w:szCs w:val="32"/>
          <w:lang w:val="en-US" w:eastAsia="zh-CN"/>
        </w:rPr>
        <w:t>核算公式：某企业可获得统筹分配奖励资金=（某企业综合考评得分*某企业实际运营标台数）/</w:t>
      </w:r>
      <w:r>
        <w:rPr>
          <w:rFonts w:hint="eastAsia" w:ascii="仿宋_GB2312" w:hAnsi="仿宋_GB2312" w:eastAsia="仿宋_GB2312" w:cs="仿宋_GB2312"/>
          <w:i/>
          <w:position w:val="-14"/>
          <w:szCs w:val="32"/>
          <w:lang w:val="en-US"/>
        </w:rPr>
        <w:object>
          <v:shape id="_x0000_i1025" o:spt="75" type="#_x0000_t75" style="height:20pt;width:23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仿宋_GB2312" w:hAnsi="仿宋_GB2312" w:eastAsia="仿宋_GB2312" w:cs="仿宋_GB2312"/>
          <w:b w:val="0"/>
          <w:bCs w:val="0"/>
          <w:i w:val="0"/>
          <w:iCs/>
          <w:szCs w:val="32"/>
          <w:lang w:val="en-US" w:eastAsia="zh-CN"/>
        </w:rPr>
        <w:t>（企业综合考评得分*</w:t>
      </w:r>
      <w:r>
        <w:rPr>
          <w:rFonts w:hint="eastAsia" w:ascii="仿宋_GB2312" w:hAnsi="仿宋_GB2312" w:eastAsia="仿宋_GB2312" w:cs="仿宋_GB2312"/>
          <w:i w:val="0"/>
          <w:szCs w:val="32"/>
          <w:lang w:val="en-US" w:eastAsia="zh-CN"/>
        </w:rPr>
        <w:t>企业实际运营标台数</w:t>
      </w:r>
      <w:r>
        <w:rPr>
          <w:rFonts w:hint="eastAsia" w:ascii="仿宋_GB2312" w:hAnsi="仿宋_GB2312" w:eastAsia="仿宋_GB2312" w:cs="仿宋_GB2312"/>
          <w:b w:val="0"/>
          <w:bCs w:val="0"/>
          <w:i w:val="0"/>
          <w:iCs/>
          <w:szCs w:val="32"/>
          <w:lang w:val="en-US" w:eastAsia="zh-CN"/>
        </w:rPr>
        <w:t>）*</w:t>
      </w:r>
      <w:r>
        <w:rPr>
          <w:rFonts w:hint="eastAsia" w:ascii="仿宋_GB2312" w:hAnsi="仿宋_GB2312" w:eastAsia="仿宋_GB2312" w:cs="仿宋_GB2312"/>
          <w:i w:val="0"/>
          <w:szCs w:val="32"/>
          <w:lang w:val="en-US" w:eastAsia="zh-CN"/>
        </w:rPr>
        <w:t>（奖励资金总额*50%）。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szCs w:val="32"/>
          <w:lang w:val="en-US" w:eastAsia="zh-CN"/>
        </w:rPr>
        <w:t>各公交企业综合考评得分=服务质量考评得分*0.3+（100-公交督查扣减分值）*0.3+公交生产考评得分*0.4。</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ascii="黑体" w:hAnsi="黑体" w:eastAsia="黑体" w:cs="黑体"/>
          <w:szCs w:val="32"/>
        </w:rPr>
      </w:pPr>
      <w:r>
        <w:rPr>
          <w:rFonts w:hint="eastAsia" w:ascii="黑体" w:hAnsi="黑体" w:eastAsia="黑体" w:cs="黑体"/>
          <w:szCs w:val="32"/>
        </w:rPr>
        <w:t>四、奖励资金分配明细</w:t>
      </w:r>
    </w:p>
    <w:p>
      <w:pPr>
        <w:keepNext w:val="0"/>
        <w:keepLines w:val="0"/>
        <w:pageBreakBefore w:val="0"/>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广州市分配给番禺区202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年度公交行业奖励资金共计</w:t>
      </w:r>
      <w:r>
        <w:rPr>
          <w:rFonts w:hint="eastAsia" w:ascii="仿宋_GB2312" w:hAnsi="仿宋_GB2312" w:eastAsia="仿宋_GB2312" w:cs="仿宋_GB2312"/>
          <w:szCs w:val="32"/>
          <w:lang w:val="en-US" w:eastAsia="zh-CN"/>
        </w:rPr>
        <w:t>546.98万</w:t>
      </w:r>
      <w:r>
        <w:rPr>
          <w:rFonts w:hint="eastAsia" w:ascii="仿宋_GB2312" w:hAnsi="仿宋_GB2312" w:eastAsia="仿宋_GB2312" w:cs="仿宋_GB2312"/>
          <w:szCs w:val="32"/>
        </w:rPr>
        <w:t>元。</w:t>
      </w:r>
    </w:p>
    <w:p>
      <w:pPr>
        <w:keepNext w:val="0"/>
        <w:keepLines w:val="0"/>
        <w:pageBreakBefore w:val="0"/>
        <w:widowControl/>
        <w:kinsoku/>
        <w:wordWrap/>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Cs w:val="32"/>
        </w:rPr>
        <w:t>经核算，我区符合补贴标准的新能源公交车实际运营标台数总和为</w:t>
      </w:r>
      <w:r>
        <w:rPr>
          <w:rFonts w:hint="eastAsia" w:ascii="仿宋_GB2312" w:hAnsi="仿宋_GB2312" w:eastAsia="仿宋_GB2312" w:cs="仿宋_GB2312"/>
          <w:kern w:val="0"/>
          <w:szCs w:val="32"/>
          <w:lang w:val="en-US" w:eastAsia="zh-CN"/>
        </w:rPr>
        <w:t>1546.42</w:t>
      </w:r>
      <w:r>
        <w:rPr>
          <w:rFonts w:hint="eastAsia" w:ascii="仿宋_GB2312" w:hAnsi="仿宋_GB2312" w:eastAsia="仿宋_GB2312" w:cs="仿宋_GB2312"/>
          <w:kern w:val="0"/>
          <w:szCs w:val="32"/>
        </w:rPr>
        <w:t>标台，其中广州市一汽巴士有限公司番禺分公司</w:t>
      </w:r>
      <w:r>
        <w:rPr>
          <w:rFonts w:hint="eastAsia" w:ascii="仿宋_GB2312" w:hAnsi="仿宋_GB2312" w:eastAsia="仿宋_GB2312" w:cs="仿宋_GB2312"/>
          <w:kern w:val="0"/>
          <w:szCs w:val="32"/>
          <w:lang w:val="en-US" w:eastAsia="zh-CN"/>
        </w:rPr>
        <w:t>159.6</w:t>
      </w:r>
      <w:r>
        <w:rPr>
          <w:rFonts w:hint="eastAsia" w:ascii="仿宋_GB2312" w:hAnsi="仿宋_GB2312" w:eastAsia="仿宋_GB2312" w:cs="仿宋_GB2312"/>
          <w:kern w:val="0"/>
          <w:szCs w:val="32"/>
        </w:rPr>
        <w:t>标台，广州锦信公交有限公司2</w:t>
      </w:r>
      <w:r>
        <w:rPr>
          <w:rFonts w:hint="eastAsia" w:ascii="仿宋_GB2312" w:hAnsi="仿宋_GB2312" w:eastAsia="仿宋_GB2312" w:cs="仿宋_GB2312"/>
          <w:kern w:val="0"/>
          <w:szCs w:val="32"/>
          <w:lang w:val="en-US" w:eastAsia="zh-CN"/>
        </w:rPr>
        <w:t>71</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val="en-US" w:eastAsia="zh-CN"/>
        </w:rPr>
        <w:t>8</w:t>
      </w:r>
      <w:r>
        <w:rPr>
          <w:rFonts w:hint="eastAsia" w:ascii="仿宋_GB2312" w:hAnsi="仿宋_GB2312" w:eastAsia="仿宋_GB2312" w:cs="仿宋_GB2312"/>
          <w:kern w:val="0"/>
          <w:szCs w:val="32"/>
        </w:rPr>
        <w:t>标台，广州市番广客运有限公司322.2标台，广州市番禺区公共汽车有限公司507.9标台，广州创大公交有限公司25</w:t>
      </w:r>
      <w:r>
        <w:rPr>
          <w:rFonts w:hint="eastAsia" w:ascii="仿宋_GB2312" w:hAnsi="仿宋_GB2312" w:eastAsia="仿宋_GB2312" w:cs="仿宋_GB2312"/>
          <w:kern w:val="0"/>
          <w:szCs w:val="32"/>
          <w:lang w:val="en-US" w:eastAsia="zh-CN"/>
        </w:rPr>
        <w:t>5</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val="en-US" w:eastAsia="zh-CN"/>
        </w:rPr>
        <w:t>4</w:t>
      </w:r>
      <w:r>
        <w:rPr>
          <w:rFonts w:hint="eastAsia" w:ascii="仿宋_GB2312" w:hAnsi="仿宋_GB2312" w:eastAsia="仿宋_GB2312" w:cs="仿宋_GB2312"/>
          <w:kern w:val="0"/>
          <w:szCs w:val="32"/>
        </w:rPr>
        <w:t>2标台，广州巴士集团有限公司第三分公司</w:t>
      </w:r>
      <w:r>
        <w:rPr>
          <w:rFonts w:hint="eastAsia" w:ascii="仿宋_GB2312" w:hAnsi="仿宋_GB2312" w:eastAsia="仿宋_GB2312" w:cs="仿宋_GB2312"/>
          <w:kern w:val="0"/>
          <w:szCs w:val="32"/>
          <w:lang w:val="en-US" w:eastAsia="zh-CN"/>
        </w:rPr>
        <w:t>29.5</w:t>
      </w:r>
      <w:r>
        <w:rPr>
          <w:rFonts w:hint="eastAsia" w:ascii="仿宋_GB2312" w:hAnsi="仿宋_GB2312" w:eastAsia="仿宋_GB2312" w:cs="仿宋_GB2312"/>
          <w:kern w:val="0"/>
          <w:szCs w:val="32"/>
        </w:rPr>
        <w:t>标台。</w:t>
      </w:r>
    </w:p>
    <w:p>
      <w:pPr>
        <w:keepNext w:val="0"/>
        <w:keepLines w:val="0"/>
        <w:pageBreakBefore w:val="0"/>
        <w:widowControl/>
        <w:tabs>
          <w:tab w:val="left" w:pos="1440"/>
        </w:tabs>
        <w:kinsoku/>
        <w:wordWrap w:val="0"/>
        <w:overflowPunct/>
        <w:topLinePunct w:val="0"/>
        <w:autoSpaceDE/>
        <w:autoSpaceDN/>
        <w:bidi w:val="0"/>
        <w:adjustRightInd/>
        <w:snapToGrid w:val="0"/>
        <w:spacing w:line="60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金额分配</w:t>
      </w:r>
      <w:r>
        <w:rPr>
          <w:rFonts w:hint="eastAsia" w:ascii="仿宋_GB2312" w:hAnsi="仿宋_GB2312" w:eastAsia="仿宋_GB2312" w:cs="仿宋_GB2312"/>
          <w:szCs w:val="32"/>
        </w:rPr>
        <w:t>详见《广州市番禺区202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年度公交行业城市交通发展奖励资金分配明细表》（附表）。</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right="0"/>
        <w:jc w:val="both"/>
        <w:textAlignment w:val="auto"/>
        <w:rPr>
          <w:rFonts w:hint="eastAsia" w:ascii="仿宋_GB2312" w:hAnsi="仿宋_GB2312" w:eastAsia="仿宋_GB2312" w:cs="仿宋_GB2312"/>
          <w:sz w:val="32"/>
          <w:szCs w:val="32"/>
          <w:lang w:val="en-US" w:eastAsia="zh-CN"/>
        </w:rPr>
        <w:sectPr>
          <w:footerReference r:id="rId5" w:type="first"/>
          <w:footerReference r:id="rId3" w:type="default"/>
          <w:footerReference r:id="rId4" w:type="even"/>
          <w:pgSz w:w="11906" w:h="16838"/>
          <w:pgMar w:top="1587" w:right="1474" w:bottom="1134" w:left="1588" w:header="1304" w:footer="1417" w:gutter="0"/>
          <w:pgNumType w:fmt="decimalFullWidth" w:start="2" w:chapSep="emDash"/>
          <w:cols w:space="720" w:num="1"/>
          <w:rtlGutter w:val="0"/>
          <w:docGrid w:type="linesAndChars" w:linePitch="598" w:charSpace="-849"/>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Cs w:val="32"/>
        </w:rPr>
      </w:pPr>
      <w:r>
        <w:rPr>
          <w:rFonts w:hint="eastAsia" w:ascii="黑体" w:hAnsi="黑体" w:eastAsia="黑体" w:cs="黑体"/>
          <w:szCs w:val="32"/>
        </w:rPr>
        <w:t>附表</w:t>
      </w:r>
    </w:p>
    <w:p>
      <w:pPr>
        <w:pStyle w:val="2"/>
        <w:keepNext w:val="0"/>
        <w:keepLines w:val="0"/>
        <w:pageBreakBefore w:val="0"/>
        <w:widowControl w:val="0"/>
        <w:kinsoku/>
        <w:wordWrap/>
        <w:overflowPunct/>
        <w:topLinePunct w:val="0"/>
        <w:autoSpaceDE/>
        <w:autoSpaceDN/>
        <w:bidi w:val="0"/>
        <w:adjustRightInd/>
        <w:snapToGrid/>
        <w:spacing w:after="0" w:line="2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广州市番禺区202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年度公交行业城市交通发展奖励资金分配明细表</w:t>
      </w:r>
    </w:p>
    <w:p>
      <w:pPr>
        <w:pStyle w:val="2"/>
        <w:keepNext w:val="0"/>
        <w:keepLines w:val="0"/>
        <w:pageBreakBefore w:val="0"/>
        <w:widowControl w:val="0"/>
        <w:kinsoku/>
        <w:wordWrap/>
        <w:overflowPunct/>
        <w:topLinePunct w:val="0"/>
        <w:autoSpaceDE/>
        <w:autoSpaceDN/>
        <w:bidi w:val="0"/>
        <w:adjustRightInd/>
        <w:snapToGrid/>
        <w:spacing w:after="0" w:line="200" w:lineRule="exact"/>
        <w:textAlignment w:val="auto"/>
      </w:pPr>
    </w:p>
    <w:tbl>
      <w:tblPr>
        <w:tblStyle w:val="4"/>
        <w:tblW w:w="15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366"/>
        <w:gridCol w:w="2710"/>
        <w:gridCol w:w="1398"/>
        <w:gridCol w:w="1452"/>
        <w:gridCol w:w="1509"/>
        <w:gridCol w:w="1359"/>
        <w:gridCol w:w="1360"/>
        <w:gridCol w:w="1682"/>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707" w:type="dxa"/>
            <w:vMerge w:val="restart"/>
            <w:noWrap w:val="0"/>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1366" w:type="dxa"/>
            <w:vMerge w:val="restart"/>
            <w:noWrap w:val="0"/>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辖区</w:t>
            </w:r>
          </w:p>
        </w:tc>
        <w:tc>
          <w:tcPr>
            <w:tcW w:w="2710" w:type="dxa"/>
            <w:vMerge w:val="restart"/>
            <w:noWrap w:val="0"/>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单位名称</w:t>
            </w:r>
          </w:p>
        </w:tc>
        <w:tc>
          <w:tcPr>
            <w:tcW w:w="10822" w:type="dxa"/>
            <w:gridSpan w:val="7"/>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新能源公交车辆奖励资金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707" w:type="dxa"/>
            <w:vMerge w:val="continue"/>
            <w:noWrap w:val="0"/>
            <w:vAlign w:val="center"/>
          </w:tcPr>
          <w:p>
            <w:pPr>
              <w:jc w:val="center"/>
              <w:rPr>
                <w:rFonts w:ascii="黑体" w:hAnsi="黑体" w:eastAsia="黑体" w:cs="黑体"/>
                <w:color w:val="000000"/>
                <w:sz w:val="24"/>
                <w:szCs w:val="24"/>
              </w:rPr>
            </w:pPr>
          </w:p>
        </w:tc>
        <w:tc>
          <w:tcPr>
            <w:tcW w:w="1366" w:type="dxa"/>
            <w:vMerge w:val="continue"/>
            <w:noWrap w:val="0"/>
            <w:vAlign w:val="center"/>
          </w:tcPr>
          <w:p>
            <w:pPr>
              <w:jc w:val="center"/>
              <w:rPr>
                <w:rFonts w:ascii="黑体" w:hAnsi="黑体" w:eastAsia="黑体" w:cs="黑体"/>
                <w:color w:val="000000"/>
                <w:sz w:val="24"/>
                <w:szCs w:val="24"/>
              </w:rPr>
            </w:pPr>
          </w:p>
        </w:tc>
        <w:tc>
          <w:tcPr>
            <w:tcW w:w="2710" w:type="dxa"/>
            <w:vMerge w:val="continue"/>
            <w:noWrap w:val="0"/>
            <w:vAlign w:val="center"/>
          </w:tcPr>
          <w:p>
            <w:pPr>
              <w:jc w:val="center"/>
              <w:rPr>
                <w:rFonts w:ascii="黑体" w:hAnsi="黑体" w:eastAsia="黑体" w:cs="黑体"/>
                <w:color w:val="000000"/>
                <w:sz w:val="24"/>
                <w:szCs w:val="24"/>
              </w:rPr>
            </w:pPr>
          </w:p>
        </w:tc>
        <w:tc>
          <w:tcPr>
            <w:tcW w:w="13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区级实际运营标台数(标台）</w:t>
            </w:r>
          </w:p>
        </w:tc>
        <w:tc>
          <w:tcPr>
            <w:tcW w:w="14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区级奖励 资金总额（元）</w:t>
            </w:r>
          </w:p>
        </w:tc>
        <w:tc>
          <w:tcPr>
            <w:tcW w:w="150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val="en-US" w:eastAsia="zh-CN" w:bidi="ar"/>
              </w:rPr>
              <w:t>非统筹部分金额（元）</w:t>
            </w:r>
          </w:p>
        </w:tc>
        <w:tc>
          <w:tcPr>
            <w:tcW w:w="4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统筹部分金额（元）</w:t>
            </w:r>
          </w:p>
        </w:tc>
        <w:tc>
          <w:tcPr>
            <w:tcW w:w="206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cs="仿宋_GB2312"/>
                <w:b/>
                <w:bCs/>
                <w:color w:val="000000"/>
                <w:sz w:val="24"/>
                <w:szCs w:val="24"/>
              </w:rPr>
            </w:pPr>
            <w:r>
              <w:rPr>
                <w:rFonts w:hint="eastAsia" w:ascii="黑体" w:hAnsi="黑体" w:eastAsia="黑体" w:cs="黑体"/>
                <w:color w:val="000000"/>
                <w:kern w:val="0"/>
                <w:sz w:val="24"/>
                <w:szCs w:val="24"/>
                <w:lang w:bidi="ar"/>
              </w:rPr>
              <w:t>各企业奖励资金总额(四舍五入保留小数点后两位)（元）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707" w:type="dxa"/>
            <w:vMerge w:val="continue"/>
            <w:noWrap w:val="0"/>
            <w:vAlign w:val="center"/>
          </w:tcPr>
          <w:p>
            <w:pPr>
              <w:jc w:val="center"/>
              <w:rPr>
                <w:rFonts w:ascii="黑体" w:hAnsi="黑体" w:eastAsia="黑体" w:cs="黑体"/>
                <w:color w:val="000000"/>
                <w:sz w:val="24"/>
                <w:szCs w:val="24"/>
              </w:rPr>
            </w:pPr>
          </w:p>
        </w:tc>
        <w:tc>
          <w:tcPr>
            <w:tcW w:w="1366" w:type="dxa"/>
            <w:vMerge w:val="continue"/>
            <w:noWrap w:val="0"/>
            <w:vAlign w:val="center"/>
          </w:tcPr>
          <w:p>
            <w:pPr>
              <w:jc w:val="center"/>
              <w:rPr>
                <w:rFonts w:ascii="黑体" w:hAnsi="黑体" w:eastAsia="黑体" w:cs="黑体"/>
                <w:color w:val="000000"/>
                <w:sz w:val="24"/>
                <w:szCs w:val="24"/>
              </w:rPr>
            </w:pPr>
          </w:p>
        </w:tc>
        <w:tc>
          <w:tcPr>
            <w:tcW w:w="2710" w:type="dxa"/>
            <w:vMerge w:val="continue"/>
            <w:noWrap w:val="0"/>
            <w:vAlign w:val="center"/>
          </w:tcPr>
          <w:p>
            <w:pPr>
              <w:jc w:val="center"/>
              <w:rPr>
                <w:rFonts w:ascii="黑体" w:hAnsi="黑体" w:eastAsia="黑体" w:cs="黑体"/>
                <w:color w:val="000000"/>
                <w:sz w:val="24"/>
                <w:szCs w:val="24"/>
              </w:rPr>
            </w:pPr>
          </w:p>
        </w:tc>
        <w:tc>
          <w:tcPr>
            <w:tcW w:w="13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4"/>
                <w:szCs w:val="24"/>
              </w:rPr>
            </w:pPr>
          </w:p>
        </w:tc>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4"/>
                <w:szCs w:val="24"/>
              </w:rPr>
            </w:pPr>
          </w:p>
        </w:tc>
        <w:tc>
          <w:tcPr>
            <w:tcW w:w="15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4"/>
                <w:szCs w:val="24"/>
              </w:rPr>
            </w:pPr>
          </w:p>
        </w:tc>
        <w:tc>
          <w:tcPr>
            <w:tcW w:w="13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kern w:val="0"/>
                <w:sz w:val="24"/>
                <w:szCs w:val="24"/>
                <w:lang w:val="en-US" w:eastAsia="zh-CN" w:bidi="ar"/>
              </w:rPr>
              <w:t>企业考评得分</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val="en-US" w:eastAsia="zh-CN" w:bidi="ar"/>
              </w:rPr>
              <w:t xml:space="preserve">企业分配比例         </w:t>
            </w:r>
          </w:p>
        </w:tc>
        <w:tc>
          <w:tcPr>
            <w:tcW w:w="16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小计</w:t>
            </w:r>
          </w:p>
        </w:tc>
        <w:tc>
          <w:tcPr>
            <w:tcW w:w="206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cs="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广州市</w:t>
            </w:r>
            <w:r>
              <w:rPr>
                <w:rFonts w:hint="eastAsia" w:ascii="仿宋_GB2312" w:hAnsi="仿宋_GB2312" w:eastAsia="仿宋_GB2312" w:cs="仿宋_GB2312"/>
                <w:color w:val="000000"/>
                <w:kern w:val="0"/>
                <w:sz w:val="24"/>
                <w:szCs w:val="24"/>
                <w:lang w:bidi="ar"/>
              </w:rPr>
              <w:t>番禺区公共汽车有限公司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507.90</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898,239.51</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99.13</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32.98%</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901,890.57</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1,800,130.08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广州市番广客运有限公司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322.20</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569,822.38</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98.92</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20.88%</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570,926.46</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1,140,748.84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广州锦信公交有限公司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71.80</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480,688.17</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97.54</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17.36%</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474,900.61</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955,588.78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广州市一汽巴士有限公司番禺分公司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59.60</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282,258.45</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99.41</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10.39%</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284,206.16</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566,464.61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广州创大公交有限公司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25</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42</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451,719.56</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98.45</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16.47%</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450,444.36</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902,163.92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07"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366" w:type="dxa"/>
            <w:shd w:val="clear" w:color="auto" w:fill="auto"/>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番禺区</w:t>
            </w:r>
          </w:p>
        </w:tc>
        <w:tc>
          <w:tcPr>
            <w:tcW w:w="2710" w:type="dxa"/>
            <w:shd w:val="clear" w:color="auto" w:fill="FFFFFF"/>
            <w:noWrap/>
            <w:vAlign w:val="center"/>
          </w:tcPr>
          <w:p>
            <w:pPr>
              <w:widowControl/>
              <w:spacing w:line="24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广州巴士集团有限公司第三分公司</w:t>
            </w:r>
          </w:p>
        </w:tc>
        <w:tc>
          <w:tcPr>
            <w:tcW w:w="1398"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29.50</w:t>
            </w:r>
          </w:p>
        </w:tc>
        <w:tc>
          <w:tcPr>
            <w:tcW w:w="1452"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509"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52,171.93</w:t>
            </w:r>
          </w:p>
        </w:tc>
        <w:tc>
          <w:tcPr>
            <w:tcW w:w="1359" w:type="dxa"/>
            <w:noWrap/>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99.41</w:t>
            </w:r>
          </w:p>
        </w:tc>
        <w:tc>
          <w:tcPr>
            <w:tcW w:w="136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1.92%</w:t>
            </w:r>
          </w:p>
        </w:tc>
        <w:tc>
          <w:tcPr>
            <w:tcW w:w="168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52,531.84</w:t>
            </w:r>
          </w:p>
        </w:tc>
        <w:tc>
          <w:tcPr>
            <w:tcW w:w="2062"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104,703.77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4783" w:type="dxa"/>
            <w:gridSpan w:val="3"/>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合计：</w:t>
            </w:r>
          </w:p>
        </w:tc>
        <w:tc>
          <w:tcPr>
            <w:tcW w:w="1398" w:type="dxa"/>
            <w:noWrap/>
            <w:vAlign w:val="center"/>
          </w:tcPr>
          <w:p>
            <w:pPr>
              <w:widowControl/>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15</w:t>
            </w:r>
            <w:r>
              <w:rPr>
                <w:rFonts w:hint="eastAsia" w:ascii="仿宋_GB2312" w:hAnsi="仿宋_GB2312" w:eastAsia="仿宋_GB2312" w:cs="仿宋_GB2312"/>
                <w:b/>
                <w:bCs/>
                <w:color w:val="000000"/>
                <w:sz w:val="24"/>
                <w:szCs w:val="24"/>
                <w:lang w:val="en-US" w:eastAsia="zh-CN"/>
              </w:rPr>
              <w:t>46.42</w:t>
            </w:r>
          </w:p>
        </w:tc>
        <w:tc>
          <w:tcPr>
            <w:tcW w:w="1452" w:type="dxa"/>
            <w:noWrap/>
            <w:vAlign w:val="center"/>
          </w:tcPr>
          <w:p>
            <w:pPr>
              <w:widowControl/>
              <w:jc w:val="center"/>
              <w:textAlignment w:val="center"/>
              <w:rPr>
                <w:rFonts w:hint="eastAsia" w:ascii="仿宋_GB2312" w:hAnsi="仿宋_GB2312" w:eastAsia="仿宋_GB2312" w:cs="仿宋_GB2312"/>
                <w:b/>
                <w:bCs/>
                <w:color w:val="000000"/>
                <w:sz w:val="24"/>
                <w:szCs w:val="24"/>
                <w:lang w:val="en-US"/>
              </w:rPr>
            </w:pPr>
            <w:r>
              <w:rPr>
                <w:rFonts w:hint="eastAsia" w:ascii="仿宋_GB2312" w:hAnsi="仿宋_GB2312" w:eastAsia="仿宋_GB2312" w:cs="仿宋_GB2312"/>
                <w:b/>
                <w:bCs/>
                <w:color w:val="000000"/>
                <w:sz w:val="24"/>
                <w:szCs w:val="24"/>
                <w:lang w:val="en-US" w:eastAsia="zh-CN"/>
              </w:rPr>
              <w:t>5,469,800</w:t>
            </w:r>
          </w:p>
        </w:tc>
        <w:tc>
          <w:tcPr>
            <w:tcW w:w="1509" w:type="dxa"/>
            <w:noWrap/>
            <w:vAlign w:val="center"/>
          </w:tcPr>
          <w:p>
            <w:pPr>
              <w:widowControl/>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2,734,900</w:t>
            </w:r>
          </w:p>
        </w:tc>
        <w:tc>
          <w:tcPr>
            <w:tcW w:w="1359"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60" w:type="dxa"/>
            <w:noWrap/>
            <w:vAlign w:val="center"/>
          </w:tcPr>
          <w:p>
            <w:pPr>
              <w:widowControl/>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100%</w:t>
            </w:r>
          </w:p>
        </w:tc>
        <w:tc>
          <w:tcPr>
            <w:tcW w:w="1682" w:type="dxa"/>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2,734,900</w:t>
            </w:r>
          </w:p>
        </w:tc>
        <w:tc>
          <w:tcPr>
            <w:tcW w:w="2062" w:type="dxa"/>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5,469,800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sz w:val="28"/>
        <w:szCs w:val="28"/>
      </w:rPr>
    </w:pPr>
    <w:r>
      <w:rPr>
        <w:rStyle w:val="6"/>
        <w:rFonts w:hint="eastAsia" w:ascii="仿宋_GB2312"/>
        <w:sz w:val="28"/>
        <w:szCs w:val="28"/>
      </w:rPr>
      <w:t xml:space="preserve">— </w:t>
    </w: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hint="eastAsia" w:ascii="仿宋_GB2312"/>
        <w:sz w:val="28"/>
        <w:szCs w:val="28"/>
      </w:rPr>
      <w:t>３</w:t>
    </w:r>
    <w:r>
      <w:rPr>
        <w:rFonts w:hint="eastAsia" w:ascii="仿宋_GB2312"/>
        <w:sz w:val="28"/>
        <w:szCs w:val="28"/>
      </w:rPr>
      <w:fldChar w:fldCharType="end"/>
    </w:r>
    <w:r>
      <w:rPr>
        <w:rStyle w:val="6"/>
        <w:rFonts w:hint="eastAsia" w:ascii="仿宋_GB2312"/>
        <w:sz w:val="28"/>
        <w:szCs w:val="28"/>
      </w:rPr>
      <w:t xml:space="preserve"> — </w:t>
    </w:r>
  </w:p>
  <w:p>
    <w:pPr>
      <w:pStyle w:val="3"/>
      <w:wordWrap w:val="0"/>
      <w:ind w:right="360" w:firstLine="360"/>
      <w:jc w:val="right"/>
      <w:rPr>
        <w:rFonts w:hint="eastAsia" w:ascii="Arial" w:hAnsi="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sz w:val="28"/>
        <w:szCs w:val="28"/>
      </w:rPr>
    </w:pPr>
    <w:r>
      <w:rPr>
        <w:rStyle w:val="6"/>
        <w:rFonts w:hint="eastAsia" w:ascii="仿宋_GB2312"/>
        <w:sz w:val="28"/>
        <w:szCs w:val="28"/>
      </w:rPr>
      <w:t xml:space="preserve">— </w:t>
    </w: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hint="eastAsia" w:ascii="仿宋_GB2312"/>
        <w:sz w:val="28"/>
        <w:szCs w:val="28"/>
      </w:rPr>
      <w:t>２</w:t>
    </w:r>
    <w:r>
      <w:rPr>
        <w:rFonts w:hint="eastAsia" w:ascii="仿宋_GB2312"/>
        <w:sz w:val="28"/>
        <w:szCs w:val="28"/>
      </w:rPr>
      <w:fldChar w:fldCharType="end"/>
    </w:r>
    <w:r>
      <w:rPr>
        <w:rStyle w:val="6"/>
        <w:rFonts w:hint="eastAsia" w:ascii="仿宋_GB2312"/>
        <w:sz w:val="28"/>
        <w:szCs w:val="28"/>
      </w:rPr>
      <w:t xml:space="preserve"> — </w:t>
    </w:r>
  </w:p>
  <w:p>
    <w:pPr>
      <w:pStyle w:val="3"/>
      <w:ind w:right="360"/>
      <w:rPr>
        <w:rFonts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6"/>
        <w:rFonts w:hint="eastAsia" w:ascii="仿宋_GB2312"/>
        <w:sz w:val="28"/>
        <w:szCs w:val="28"/>
      </w:rPr>
      <w:t xml:space="preserve">— </w:t>
    </w:r>
    <w:r>
      <w:rPr>
        <w:rFonts w:hint="eastAsia" w:ascii="仿宋_GB2312"/>
        <w:sz w:val="28"/>
        <w:szCs w:val="28"/>
      </w:rPr>
      <w:fldChar w:fldCharType="begin"/>
    </w:r>
    <w:r>
      <w:rPr>
        <w:rStyle w:val="6"/>
        <w:rFonts w:hint="eastAsia" w:ascii="仿宋_GB2312"/>
        <w:sz w:val="28"/>
        <w:szCs w:val="28"/>
      </w:rPr>
      <w:instrText xml:space="preserve">PAGE  </w:instrText>
    </w:r>
    <w:r>
      <w:rPr>
        <w:rFonts w:hint="eastAsia" w:ascii="仿宋_GB2312"/>
        <w:sz w:val="28"/>
        <w:szCs w:val="28"/>
      </w:rPr>
      <w:fldChar w:fldCharType="separate"/>
    </w:r>
    <w:r>
      <w:rPr>
        <w:rStyle w:val="6"/>
        <w:rFonts w:hint="eastAsia" w:ascii="仿宋_GB2312"/>
        <w:sz w:val="28"/>
        <w:szCs w:val="28"/>
      </w:rPr>
      <w:t>２</w:t>
    </w:r>
    <w:r>
      <w:rPr>
        <w:rFonts w:hint="eastAsia" w:ascii="仿宋_GB2312"/>
        <w:sz w:val="28"/>
        <w:szCs w:val="28"/>
      </w:rPr>
      <w:fldChar w:fldCharType="end"/>
    </w:r>
    <w:r>
      <w:rPr>
        <w:rStyle w:val="6"/>
        <w:rFonts w:hint="eastAsia" w:ascii="仿宋_GB2312"/>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77977"/>
    <w:rsid w:val="4FA7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2024-11-06T08:11:00Z</dcterms:created>
  <dc:creator>梁朋辉</dc:creator>
  <cp:lastModifiedBy>梁朋辉</cp:lastModifiedBy>
  <dcterms:modified xsi:type="dcterms:W3CDTF">2024-11-06T08:11:57Z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D9728086467042A98DA2BF3FA86435E1</vt:lpwstr>
  </property>
</Properties>
</file>