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rFonts w:ascii="Times New Roman" w:hAnsi="Times New Roman" w:cs="Times New Roman"/>
          <w:color w:val="000000"/>
          <w:sz w:val="24"/>
        </w:rPr>
      </w:pPr>
      <w:bookmarkStart w:id="0" w:name="_Hlk110948188"/>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ElJlpMOAgAABQQAAA4AAAAAAAAAAQAgAAAAOwEAAGRycy9lMm9Eb2MueG1sUEsBAhQAFAAA&#10;AAgAh07iQFLTWlLWAAAACA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170" w:lineRule="exact"/>
                        <w:jc w:val="distribute"/>
                        <w:rPr>
                          <w:rFonts w:ascii="Times New Roman" w:hAnsi="Times New Roman" w:cs="Times New Roman"/>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ascii="Times New Roman" w:hAnsi="Times New Roman" w:eastAsia="楷体_GB2312" w:cs="Times New Roman"/>
                          <w:sz w:val="16"/>
                          <w:szCs w:val="16"/>
                        </w:rPr>
                        <w:t>(020)84632686 84632416 84633015</w:t>
                      </w:r>
                    </w:p>
                    <w:p>
                      <w:pPr>
                        <w:spacing w:line="170" w:lineRule="exact"/>
                        <w:jc w:val="distribute"/>
                        <w:rPr>
                          <w:rFonts w:ascii="Times New Roman" w:hAnsi="Times New Roman" w:cs="Times New Roman"/>
                          <w:sz w:val="16"/>
                          <w:szCs w:val="16"/>
                        </w:rPr>
                      </w:pPr>
                      <w:r>
                        <w:rPr>
                          <w:rFonts w:ascii="Times New Roman" w:hAnsi="Times New Roman" w:eastAsia="华文中宋" w:cs="Times New Roman"/>
                          <w:sz w:val="16"/>
                          <w:szCs w:val="16"/>
                        </w:rPr>
                        <w:t>传真：</w:t>
                      </w:r>
                      <w:r>
                        <w:rPr>
                          <w:rFonts w:ascii="Times New Roman" w:hAnsi="Times New Roman" w:eastAsia="楷体_GB2312" w:cs="Times New Roman"/>
                          <w:sz w:val="16"/>
                          <w:szCs w:val="16"/>
                        </w:rPr>
                        <w:t>(020)84613097转分机 或 84632351</w:t>
                      </w:r>
                    </w:p>
                    <w:p>
                      <w:pPr>
                        <w:pStyle w:val="3"/>
                        <w:spacing w:line="170" w:lineRule="exact"/>
                        <w:ind w:left="0" w:leftChars="0"/>
                        <w:rPr>
                          <w:sz w:val="16"/>
                          <w:szCs w:val="16"/>
                        </w:rPr>
                      </w:pPr>
                      <w:r>
                        <w:rPr>
                          <w:rFonts w:eastAsia="华文中宋"/>
                          <w:spacing w:val="5"/>
                          <w:sz w:val="16"/>
                          <w:szCs w:val="16"/>
                        </w:rPr>
                        <w:t>网址：</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">
                <v:fill on="f" focussize="0,0"/>
                <v:stroke weight="1pt" color="#000000" joinstyle="round"/>
                <v:imagedata o:title=""/>
                <o:lock v:ext="edit" aspectratio="f"/>
              </v:line>
            </w:pict>
          </mc:Fallback>
        </mc:AlternateContent>
      </w:r>
      <w:r>
        <w:rPr>
          <w:rFonts w:ascii="Times New Roman" w:hAnsi="Times New Roman" w:cs="Times New Roman"/>
          <w:color w:val="000000"/>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rFonts w:ascii="Times New Roman" w:hAnsi="Times New Roman"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PloZvQ0CAAAFBAAADgAAAAAAAAABACAAAAA7AQAAZHJzL2Uyb0RvYy54bWxQSwECFAAUAAAA&#10;CACHTuJAcNUpVNYAAAAIAQAADwAAAAAAAAABACAAAAA4AAAAZHJzL2Rvd25yZXYueG1sUEsBAhQA&#10;CgAAAAAAh07iQAAAAAAAAAAAAAAAAAQAAAAAAAAAAAAQAAAAFgAAAGRycy9QSwUGAAAAAAYABgBZ&#10;AQAAugU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rFonts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">
                <v:fill on="f" focussize="0,0"/>
                <v:stroke on="f"/>
                <v:imagedata o:title=""/>
                <o:lock v:ext="edit" aspectratio="f"/>
                <v:textbox inset="0mm,0mm,0mm,0mm">
                  <w:txbxContent>
                    <w:p>
                      <w:pPr>
                        <w:spacing w:line="220" w:lineRule="exact"/>
                        <w:jc w:val="distribute"/>
                        <w:rPr>
                          <w:rFonts w:hint="eastAsia"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00</w:t>
                      </w:r>
                    </w:p>
                    <w:p>
                      <w:pPr>
                        <w:spacing w:line="220" w:lineRule="exact"/>
                        <w:jc w:val="distribute"/>
                        <w:rPr>
                          <w:rFonts w:hint="eastAsia" w:ascii="宋体" w:hAnsi="宋体"/>
                          <w:spacing w:val="-8"/>
                          <w:sz w:val="16"/>
                          <w:szCs w:val="16"/>
                        </w:rPr>
                      </w:pPr>
                    </w:p>
                  </w:txbxContent>
                </v:textbox>
              </v:shape>
            </w:pict>
          </mc:Fallback>
        </mc:AlternateContent>
      </w:r>
    </w:p>
    <w:p>
      <w:pPr>
        <w:spacing w:line="300" w:lineRule="exact"/>
        <w:ind w:left="6300" w:leftChars="3000" w:right="15" w:rightChars="7" w:firstLine="117" w:firstLineChars="42"/>
        <w:jc w:val="right"/>
        <w:rPr>
          <w:rFonts w:ascii="Times New Roman" w:hAnsi="Times New Roman" w:eastAsia="仿宋_GB2312" w:cs="Times New Roman"/>
          <w:color w:val="000000"/>
          <w:sz w:val="28"/>
          <w:szCs w:val="28"/>
        </w:rPr>
      </w:pPr>
      <w:bookmarkStart w:id="1" w:name="_Hlk110948178"/>
      <w:r>
        <w:rPr>
          <w:rFonts w:ascii="Times New Roman" w:hAnsi="Times New Roman" w:eastAsia="仿宋_GB2312" w:cs="Times New Roman"/>
          <w:color w:val="000000"/>
          <w:sz w:val="28"/>
          <w:szCs w:val="28"/>
        </w:rPr>
        <w:t>业会专审[202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266</w:t>
      </w:r>
      <w:r>
        <w:rPr>
          <w:rFonts w:ascii="Times New Roman" w:hAnsi="Times New Roman" w:eastAsia="仿宋_GB2312" w:cs="Times New Roman"/>
          <w:color w:val="000000"/>
          <w:sz w:val="28"/>
          <w:szCs w:val="28"/>
        </w:rPr>
        <w:t>号</w:t>
      </w:r>
    </w:p>
    <w:bookmarkEnd w:id="0"/>
    <w:bookmarkEnd w:id="1"/>
    <w:p>
      <w:pPr>
        <w:spacing w:line="500" w:lineRule="exact"/>
        <w:ind w:left="6300" w:leftChars="3000" w:right="15" w:rightChars="7" w:firstLine="118" w:firstLineChars="42"/>
        <w:jc w:val="right"/>
        <w:rPr>
          <w:rFonts w:ascii="Times New Roman" w:hAnsi="Times New Roman" w:eastAsia="仿宋_GB2312" w:cs="Times New Roman"/>
          <w:b/>
          <w:color w:val="000000"/>
          <w:sz w:val="28"/>
          <w:szCs w:val="28"/>
        </w:rPr>
      </w:pPr>
    </w:p>
    <w:p>
      <w:pPr>
        <w:spacing w:line="500" w:lineRule="exact"/>
        <w:jc w:val="center"/>
        <w:rPr>
          <w:rFonts w:ascii="Times New Roman" w:hAnsi="Times New Roman" w:eastAsia="宋体" w:cs="Times New Roman"/>
          <w:b/>
          <w:sz w:val="28"/>
          <w:szCs w:val="30"/>
        </w:rPr>
      </w:pPr>
      <w:r>
        <w:rPr>
          <w:rFonts w:ascii="Times New Roman" w:hAnsi="Times New Roman" w:eastAsia="宋体" w:cs="Times New Roman"/>
          <w:b/>
          <w:sz w:val="28"/>
          <w:szCs w:val="30"/>
        </w:rPr>
        <w:t>关于对</w:t>
      </w:r>
      <w:r>
        <w:rPr>
          <w:rFonts w:hint="eastAsia" w:ascii="Times New Roman" w:hAnsi="Times New Roman" w:eastAsia="宋体" w:cs="Times New Roman"/>
          <w:b/>
          <w:sz w:val="28"/>
          <w:szCs w:val="30"/>
        </w:rPr>
        <w:t>广州市番禺区小谷围街社工服务站</w:t>
      </w:r>
    </w:p>
    <w:p>
      <w:pPr>
        <w:spacing w:line="500" w:lineRule="exact"/>
        <w:ind w:firstLine="420"/>
        <w:jc w:val="center"/>
        <w:rPr>
          <w:rFonts w:ascii="Times New Roman" w:hAnsi="Times New Roman" w:eastAsia="宋体" w:cs="Times New Roman"/>
          <w:b/>
          <w:sz w:val="28"/>
          <w:szCs w:val="30"/>
        </w:rPr>
      </w:pPr>
      <w:r>
        <w:rPr>
          <w:rFonts w:hint="eastAsia" w:ascii="Times New Roman" w:hAnsi="Times New Roman" w:eastAsia="宋体" w:cs="Times New Roman"/>
          <w:b/>
          <w:sz w:val="28"/>
          <w:szCs w:val="30"/>
        </w:rPr>
        <w:t>2024年3月4日至2024年8月14日</w:t>
      </w:r>
      <w:r>
        <w:rPr>
          <w:rFonts w:ascii="Times New Roman" w:hAnsi="Times New Roman" w:eastAsia="宋体" w:cs="Times New Roman"/>
          <w:b/>
          <w:sz w:val="28"/>
          <w:szCs w:val="30"/>
        </w:rPr>
        <w:t>财务管理情况评估报告</w:t>
      </w:r>
    </w:p>
    <w:p>
      <w:pPr>
        <w:spacing w:line="360" w:lineRule="auto"/>
        <w:jc w:val="center"/>
        <w:rPr>
          <w:rFonts w:ascii="Times New Roman" w:hAnsi="Times New Roman" w:eastAsia="仿宋_GB2312" w:cs="Times New Roman"/>
          <w:sz w:val="28"/>
          <w:szCs w:val="28"/>
        </w:rPr>
      </w:pPr>
    </w:p>
    <w:p>
      <w:pPr>
        <w:spacing w:line="600" w:lineRule="exact"/>
        <w:ind w:right="-8"/>
        <w:rPr>
          <w:rFonts w:ascii="Times New Roman" w:hAnsi="Times New Roman" w:eastAsia="楷体" w:cs="Times New Roman"/>
          <w:b/>
          <w:spacing w:val="-10"/>
          <w:sz w:val="28"/>
          <w:szCs w:val="28"/>
        </w:rPr>
      </w:pPr>
      <w:r>
        <w:rPr>
          <w:rFonts w:ascii="Times New Roman" w:hAnsi="Times New Roman" w:eastAsia="楷体" w:cs="Times New Roman"/>
          <w:b/>
          <w:spacing w:val="-10"/>
          <w:sz w:val="28"/>
          <w:szCs w:val="28"/>
        </w:rPr>
        <w:t>广州市番禺区社区建设指导中心：</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我们接受委托，对</w:t>
      </w:r>
      <w:r>
        <w:rPr>
          <w:rFonts w:hint="eastAsia" w:ascii="Times New Roman" w:hAnsi="Times New Roman" w:eastAsia="仿宋_GB2312" w:cs="Times New Roman"/>
          <w:sz w:val="28"/>
          <w:szCs w:val="28"/>
        </w:rPr>
        <w:t>广州市番禺区小谷围街社工服务站</w:t>
      </w:r>
      <w:r>
        <w:rPr>
          <w:rFonts w:ascii="Times New Roman" w:hAnsi="Times New Roman" w:eastAsia="仿宋_GB2312" w:cs="Times New Roman"/>
          <w:sz w:val="28"/>
          <w:szCs w:val="28"/>
        </w:rPr>
        <w:t>（以下简称</w:t>
      </w:r>
      <w:r>
        <w:rPr>
          <w:rFonts w:hint="eastAsia" w:ascii="Times New Roman" w:hAnsi="Times New Roman" w:eastAsia="仿宋_GB2312" w:cs="Times New Roman"/>
          <w:sz w:val="28"/>
          <w:szCs w:val="28"/>
        </w:rPr>
        <w:t>小谷围社工站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2024年3月4日至2024年8月14日</w:t>
      </w:r>
      <w:r>
        <w:rPr>
          <w:rFonts w:ascii="Times New Roman" w:hAnsi="Times New Roman" w:eastAsia="仿宋_GB2312" w:cs="Times New Roman"/>
          <w:sz w:val="28"/>
          <w:szCs w:val="28"/>
        </w:rPr>
        <w:t>财务管理情况进行财务评估。</w:t>
      </w:r>
      <w:r>
        <w:rPr>
          <w:rFonts w:ascii="Times New Roman" w:hAnsi="Times New Roman" w:eastAsia="仿宋" w:cs="Times New Roman"/>
          <w:sz w:val="28"/>
          <w:szCs w:val="28"/>
        </w:rPr>
        <w:t>提供真实、合法、完整的会计资料和评估相关资料</w:t>
      </w:r>
      <w:r>
        <w:rPr>
          <w:rFonts w:ascii="Times New Roman" w:hAnsi="Times New Roman" w:eastAsia="仿宋_GB2312" w:cs="Times New Roman"/>
          <w:sz w:val="28"/>
          <w:szCs w:val="28"/>
        </w:rPr>
        <w:t>是</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_GB2312" w:cs="Times New Roman"/>
          <w:sz w:val="28"/>
          <w:szCs w:val="28"/>
        </w:rPr>
        <w:t>及其承接机构的责任，</w:t>
      </w:r>
      <w:r>
        <w:rPr>
          <w:rFonts w:ascii="Times New Roman" w:hAnsi="Times New Roman" w:eastAsia="仿宋" w:cs="Times New Roman"/>
          <w:sz w:val="28"/>
          <w:szCs w:val="28"/>
        </w:rPr>
        <w:t>我们的责任是依据《中国注册会计师执业准则》、《中华人民共和国会计法》、《会计基础工作规范》、《民间非营利组织会计制度》、</w:t>
      </w:r>
      <w:r>
        <w:rPr>
          <w:rFonts w:hint="eastAsia" w:ascii="Times New Roman" w:hAnsi="Times New Roman" w:eastAsia="仿宋" w:cs="Times New Roman"/>
          <w:sz w:val="28"/>
          <w:szCs w:val="28"/>
        </w:rPr>
        <w:t>《广州市社工服务站管理办法》（穗府办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97号）</w:t>
      </w:r>
      <w:r>
        <w:rPr>
          <w:rFonts w:ascii="Times New Roman" w:hAnsi="Times New Roman" w:eastAsia="仿宋" w:cs="Times New Roman"/>
          <w:sz w:val="28"/>
          <w:szCs w:val="28"/>
        </w:rPr>
        <w:t>及</w:t>
      </w:r>
      <w:r>
        <w:rPr>
          <w:rFonts w:hint="eastAsia" w:ascii="Times New Roman" w:hAnsi="Times New Roman" w:eastAsia="仿宋_GB2312" w:cs="Times New Roman"/>
          <w:color w:val="000000" w:themeColor="text1"/>
          <w:sz w:val="28"/>
          <w:szCs w:val="28"/>
          <w14:textFill>
            <w14:solidFill>
              <w14:schemeClr w14:val="tx1"/>
            </w14:solidFill>
          </w14:textFill>
        </w:rPr>
        <w:t>广州市番禺区人民政府小谷围街道办事处</w:t>
      </w:r>
      <w:r>
        <w:rPr>
          <w:rFonts w:ascii="Times New Roman" w:hAnsi="Times New Roman" w:eastAsia="仿宋" w:cs="Times New Roman"/>
          <w:sz w:val="28"/>
          <w:szCs w:val="28"/>
        </w:rPr>
        <w:t>与社工服务站承接机构签订的购买服务协议中相关约定，对</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 w:cs="Times New Roman"/>
          <w:sz w:val="28"/>
          <w:szCs w:val="28"/>
        </w:rPr>
        <w:t>的财务管理情况进行审核，并出具财务评估报告</w:t>
      </w:r>
      <w:r>
        <w:rPr>
          <w:rFonts w:ascii="Times New Roman" w:hAnsi="Times New Roman" w:eastAsia="仿宋_GB2312" w:cs="Times New Roman"/>
          <w:sz w:val="28"/>
          <w:szCs w:val="28"/>
        </w:rPr>
        <w:t>。</w:t>
      </w:r>
    </w:p>
    <w:p>
      <w:pPr>
        <w:spacing w:line="60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t>按照中国注册会计师职业道德守则，我们独立于</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 w:cs="Times New Roman"/>
          <w:sz w:val="28"/>
          <w:szCs w:val="28"/>
        </w:rPr>
        <w:t>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w:t>
      </w:r>
      <w:r>
        <w:rPr>
          <w:rFonts w:ascii="Times New Roman" w:hAnsi="Times New Roman" w:eastAsia="仿宋_GB2312" w:cs="Times New Roman"/>
          <w:sz w:val="28"/>
          <w:szCs w:val="28"/>
        </w:rPr>
        <w:t>。现将评估结果报告如下：</w:t>
      </w:r>
    </w:p>
    <w:p>
      <w:pPr>
        <w:spacing w:line="60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一、</w:t>
      </w:r>
      <w:r>
        <w:rPr>
          <w:rFonts w:hint="eastAsia" w:ascii="Times New Roman" w:hAnsi="Times New Roman" w:eastAsia="仿宋_GB2312" w:cs="Times New Roman"/>
          <w:b/>
          <w:sz w:val="28"/>
          <w:szCs w:val="28"/>
        </w:rPr>
        <w:t>小谷围社工站</w:t>
      </w:r>
      <w:r>
        <w:rPr>
          <w:rFonts w:ascii="Times New Roman" w:hAnsi="Times New Roman" w:eastAsia="仿宋_GB2312" w:cs="Times New Roman"/>
          <w:b/>
          <w:sz w:val="28"/>
          <w:szCs w:val="28"/>
        </w:rPr>
        <w:t>基本情况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承接机构名称：广州市番禺区正阳社会工作服务中心。</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承接机构法定代表人：刘玉平。</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招标采购周期：</w:t>
      </w:r>
      <w:r>
        <w:rPr>
          <w:rFonts w:ascii="Times New Roman" w:hAnsi="Times New Roman" w:eastAsia="仿宋" w:cs="Times New Roman"/>
          <w:color w:val="000000" w:themeColor="text1"/>
          <w:sz w:val="28"/>
          <w:szCs w:val="28"/>
          <w14:textFill>
            <w14:solidFill>
              <w14:schemeClr w14:val="tx1"/>
            </w14:solidFill>
          </w14:textFill>
        </w:rPr>
        <w:t>2019年11月15日起四</w:t>
      </w:r>
      <w:r>
        <w:rPr>
          <w:rFonts w:hint="eastAsia" w:eastAsia="仿宋"/>
          <w:color w:val="000000" w:themeColor="text1"/>
          <w:sz w:val="28"/>
          <w:szCs w:val="28"/>
          <w14:textFill>
            <w14:solidFill>
              <w14:schemeClr w14:val="tx1"/>
            </w14:solidFill>
          </w14:textFill>
        </w:rPr>
        <w:t>年零九个月</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本次服务协议期限：</w:t>
      </w:r>
      <w:r>
        <w:rPr>
          <w:rFonts w:hint="eastAsia" w:ascii="Times New Roman" w:hAnsi="Times New Roman" w:eastAsia="仿宋_GB2312" w:cs="Times New Roman"/>
          <w:sz w:val="28"/>
          <w:szCs w:val="28"/>
        </w:rPr>
        <w:t>2023年9月4日至2024年8月14日</w:t>
      </w:r>
      <w:r>
        <w:rPr>
          <w:rFonts w:ascii="Times New Roman" w:hAnsi="Times New Roman" w:eastAsia="仿宋_GB2312" w:cs="Times New Roman"/>
          <w:sz w:val="28"/>
          <w:szCs w:val="28"/>
        </w:rPr>
        <w:t>。</w:t>
      </w:r>
    </w:p>
    <w:p>
      <w:pPr>
        <w:spacing w:line="6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政府购买服务经费：本服务协议期限</w:t>
      </w:r>
      <w:r>
        <w:rPr>
          <w:rFonts w:hint="eastAsia" w:ascii="Times New Roman" w:hAnsi="Times New Roman" w:eastAsia="仿宋_GB2312" w:cs="Times New Roman"/>
          <w:spacing w:val="-4"/>
          <w:sz w:val="28"/>
          <w:szCs w:val="28"/>
        </w:rPr>
        <w:t>2023年9月4日至2024年8月14日</w:t>
      </w:r>
      <w:r>
        <w:rPr>
          <w:rFonts w:ascii="Times New Roman" w:hAnsi="Times New Roman" w:eastAsia="仿宋_GB2312" w:cs="Times New Roman"/>
          <w:spacing w:val="-4"/>
          <w:sz w:val="28"/>
          <w:szCs w:val="28"/>
        </w:rPr>
        <w:t>的服务经费总计2,270,000.00元，分为三期拨付。其中：协议签订生效之日起30个工作日内拨付55%即1,</w:t>
      </w:r>
      <w:r>
        <w:rPr>
          <w:rFonts w:hint="eastAsia" w:ascii="Times New Roman" w:hAnsi="Times New Roman" w:eastAsia="仿宋_GB2312" w:cs="Times New Roman"/>
          <w:spacing w:val="-4"/>
          <w:sz w:val="28"/>
          <w:szCs w:val="28"/>
        </w:rPr>
        <w:t>248</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5</w:t>
      </w:r>
      <w:r>
        <w:rPr>
          <w:rFonts w:ascii="Times New Roman" w:hAnsi="Times New Roman" w:eastAsia="仿宋_GB2312" w:cs="Times New Roman"/>
          <w:spacing w:val="-4"/>
          <w:sz w:val="28"/>
          <w:szCs w:val="28"/>
        </w:rPr>
        <w:t>00.00元，项目年度中期评估为合格以上的拨付40%即9</w:t>
      </w:r>
      <w:r>
        <w:rPr>
          <w:rFonts w:hint="eastAsia" w:ascii="Times New Roman" w:hAnsi="Times New Roman" w:eastAsia="仿宋_GB2312" w:cs="Times New Roman"/>
          <w:spacing w:val="-4"/>
          <w:sz w:val="28"/>
          <w:szCs w:val="28"/>
        </w:rPr>
        <w:t>08</w:t>
      </w:r>
      <w:r>
        <w:rPr>
          <w:rFonts w:ascii="Times New Roman" w:hAnsi="Times New Roman" w:eastAsia="仿宋_GB2312" w:cs="Times New Roman"/>
          <w:spacing w:val="-4"/>
          <w:sz w:val="28"/>
          <w:szCs w:val="28"/>
        </w:rPr>
        <w:t>,000.00元，年度末期评估为合格以上的拨付5%即1</w:t>
      </w:r>
      <w:r>
        <w:rPr>
          <w:rFonts w:hint="eastAsia" w:ascii="Times New Roman" w:hAnsi="Times New Roman" w:eastAsia="仿宋_GB2312" w:cs="Times New Roman"/>
          <w:spacing w:val="-4"/>
          <w:sz w:val="28"/>
          <w:szCs w:val="28"/>
        </w:rPr>
        <w:t>13</w:t>
      </w:r>
      <w:r>
        <w:rPr>
          <w:rFonts w:ascii="Times New Roman" w:hAnsi="Times New Roman" w:eastAsia="仿宋_GB2312" w:cs="Times New Roman"/>
          <w:spacing w:val="-4"/>
          <w:sz w:val="28"/>
          <w:szCs w:val="28"/>
        </w:rPr>
        <w:t>,</w:t>
      </w:r>
      <w:r>
        <w:rPr>
          <w:rFonts w:hint="eastAsia" w:ascii="Times New Roman" w:hAnsi="Times New Roman" w:eastAsia="仿宋_GB2312" w:cs="Times New Roman"/>
          <w:spacing w:val="-4"/>
          <w:sz w:val="28"/>
          <w:szCs w:val="28"/>
        </w:rPr>
        <w:t>5</w:t>
      </w:r>
      <w:r>
        <w:rPr>
          <w:rFonts w:ascii="Times New Roman" w:hAnsi="Times New Roman" w:eastAsia="仿宋_GB2312" w:cs="Times New Roman"/>
          <w:spacing w:val="-4"/>
          <w:sz w:val="28"/>
          <w:szCs w:val="28"/>
        </w:rPr>
        <w:t>00.00元。</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二、</w:t>
      </w:r>
      <w:r>
        <w:rPr>
          <w:rFonts w:hint="eastAsia" w:ascii="Times New Roman" w:hAnsi="Times New Roman" w:eastAsia="仿宋_GB2312" w:cs="Times New Roman"/>
          <w:b/>
          <w:sz w:val="28"/>
          <w:szCs w:val="28"/>
        </w:rPr>
        <w:t>小谷围社工站</w:t>
      </w:r>
      <w:r>
        <w:rPr>
          <w:rFonts w:ascii="Times New Roman" w:hAnsi="Times New Roman" w:eastAsia="仿宋_GB2312" w:cs="Times New Roman"/>
          <w:b/>
          <w:sz w:val="28"/>
          <w:szCs w:val="28"/>
        </w:rPr>
        <w:t>财务管理制度执行情况</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㈠非营利组织会计制度的执行情况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经审核，</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 w:cs="Times New Roman"/>
          <w:sz w:val="28"/>
          <w:szCs w:val="28"/>
        </w:rPr>
        <w:t>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62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㈡财务监管、风控制度的执行情况</w:t>
      </w:r>
    </w:p>
    <w:p>
      <w:pPr>
        <w:spacing w:line="62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根据自身业务特点建立了《财务管理制度》《财务预决算制度》《费用报销及控制制度》《职位及薪酬制度》以及《财务问责制度》等财务监管、风控制度。小谷围社工站在实际工作中能按上述制度要求编制“经费预算表”；在经费报销和预支申请等方面均能执行承接机构制度规定的程序、权限。</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２、</w:t>
      </w: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除建立上述管理制度外，还建立了《资产管理制度》，小谷围社工站严格执行该项制度，并定期对固定资产进行盘点，详见本报告后附2024年</w:t>
      </w:r>
      <w:r>
        <w:rPr>
          <w:rFonts w:hint="eastAsia" w:ascii="Times New Roman" w:hAnsi="Times New Roman" w:eastAsia="仿宋" w:cs="Times New Roman"/>
          <w:sz w:val="28"/>
          <w:szCs w:val="28"/>
        </w:rPr>
        <w:t>8</w:t>
      </w:r>
      <w:r>
        <w:rPr>
          <w:rFonts w:ascii="Times New Roman" w:hAnsi="Times New Roman" w:eastAsia="仿宋" w:cs="Times New Roman"/>
          <w:sz w:val="28"/>
          <w:szCs w:val="28"/>
        </w:rPr>
        <w:t>月</w:t>
      </w:r>
      <w:r>
        <w:rPr>
          <w:rFonts w:hint="eastAsia" w:ascii="Times New Roman" w:hAnsi="Times New Roman" w:eastAsia="仿宋" w:cs="Times New Roman"/>
          <w:sz w:val="28"/>
          <w:szCs w:val="28"/>
        </w:rPr>
        <w:t>31</w:t>
      </w:r>
      <w:r>
        <w:rPr>
          <w:rFonts w:ascii="Times New Roman" w:hAnsi="Times New Roman" w:eastAsia="仿宋" w:cs="Times New Roman"/>
          <w:sz w:val="28"/>
          <w:szCs w:val="28"/>
        </w:rPr>
        <w:t>日固定资产明细表。</w:t>
      </w:r>
    </w:p>
    <w:p>
      <w:pPr>
        <w:spacing w:line="620" w:lineRule="exact"/>
        <w:ind w:firstLine="552" w:firstLineChars="200"/>
        <w:rPr>
          <w:rFonts w:ascii="Times New Roman" w:hAnsi="Times New Roman" w:eastAsia="仿宋" w:cs="Times New Roman"/>
          <w:spacing w:val="-2"/>
          <w:sz w:val="28"/>
          <w:szCs w:val="28"/>
        </w:rPr>
      </w:pPr>
      <w:r>
        <w:rPr>
          <w:rFonts w:hint="eastAsia" w:ascii="Times New Roman" w:hAnsi="Times New Roman" w:eastAsia="仿宋_GB2312" w:cs="Times New Roman"/>
          <w:spacing w:val="-2"/>
          <w:sz w:val="28"/>
          <w:szCs w:val="28"/>
        </w:rPr>
        <w:t>３、承接机构广州市番禺区正阳社会工作服务中心已按要求编制服务期内小谷围社工站的财务自评报告；中心2023年度财务报表已经广东中煜会计师事务所（普通合伙）审计，并取得粤中煜审字[2024]1006号无保留意见审计报告；2023年度企业所得税纳税情况已经广州信德税务师事务所有限公司复核，并取得信德税鉴字[2024]第A045号汇算清缴纳税调整报告。</w:t>
      </w:r>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三、</w:t>
      </w:r>
      <w:r>
        <w:rPr>
          <w:rFonts w:hint="eastAsia" w:ascii="Times New Roman" w:hAnsi="Times New Roman" w:eastAsia="仿宋_GB2312" w:cs="Times New Roman"/>
          <w:b/>
          <w:sz w:val="28"/>
          <w:szCs w:val="28"/>
        </w:rPr>
        <w:t>小谷围社工站</w:t>
      </w:r>
      <w:r>
        <w:rPr>
          <w:rFonts w:ascii="Times New Roman" w:hAnsi="Times New Roman" w:eastAsia="仿宋_GB2312" w:cs="Times New Roman"/>
          <w:b/>
          <w:sz w:val="28"/>
          <w:szCs w:val="28"/>
        </w:rPr>
        <w:t>人员配备情况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w:t>
      </w:r>
      <w:r>
        <w:rPr>
          <w:rFonts w:ascii="Times New Roman" w:hAnsi="Times New Roman" w:eastAsia="仿宋" w:cs="Times New Roman"/>
          <w:sz w:val="28"/>
          <w:szCs w:val="28"/>
        </w:rPr>
        <w:t>严格贯彻不相容职务分离原则，为</w:t>
      </w:r>
      <w:r>
        <w:rPr>
          <w:rFonts w:ascii="Times New Roman" w:hAnsi="Times New Roman" w:eastAsia="仿宋_GB2312" w:cs="Times New Roman"/>
          <w:sz w:val="28"/>
          <w:szCs w:val="28"/>
        </w:rPr>
        <w:t>小谷围社工站配置财务人员2名，</w:t>
      </w:r>
      <w:r>
        <w:rPr>
          <w:rFonts w:ascii="Times New Roman" w:hAnsi="Times New Roman" w:eastAsia="仿宋" w:cs="Times New Roman"/>
          <w:sz w:val="28"/>
          <w:szCs w:val="28"/>
        </w:rPr>
        <w:t>分别担任会计、出纳岗位，负责包括</w:t>
      </w:r>
      <w:r>
        <w:rPr>
          <w:rFonts w:ascii="Times New Roman" w:hAnsi="Times New Roman" w:eastAsia="仿宋_GB2312" w:cs="Times New Roman"/>
          <w:sz w:val="28"/>
          <w:szCs w:val="28"/>
        </w:rPr>
        <w:t>小谷围社工站在内的中心财务工作</w:t>
      </w:r>
      <w:r>
        <w:rPr>
          <w:rFonts w:ascii="Times New Roman" w:hAnsi="Times New Roman" w:eastAsia="仿宋" w:cs="Times New Roman"/>
          <w:sz w:val="28"/>
          <w:szCs w:val="28"/>
        </w:rPr>
        <w:t>，其中主管会计吴燕已取得会计中级专业技术资格证</w:t>
      </w:r>
      <w:r>
        <w:rPr>
          <w:rFonts w:ascii="Times New Roman" w:hAnsi="Times New Roman" w:eastAsia="仿宋_GB2312" w:cs="Times New Roman"/>
          <w:sz w:val="28"/>
          <w:szCs w:val="28"/>
        </w:rPr>
        <w:t>。</w:t>
      </w:r>
    </w:p>
    <w:p>
      <w:pPr>
        <w:spacing w:line="62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sz w:val="28"/>
          <w:szCs w:val="28"/>
        </w:rPr>
        <w:t>经查阅，主管会计吴燕及出纳李淑娟均已完成2023年度会计专业技术人员继续教育学习任务，且相应工资、五险一金等薪金支出在机构作为运营管理费用项目核算，未计入社工人员经费支出，</w:t>
      </w:r>
      <w:bookmarkStart w:id="2" w:name="_Hlk110958106"/>
      <w:r>
        <w:rPr>
          <w:rFonts w:ascii="Times New Roman" w:hAnsi="Times New Roman" w:eastAsia="仿宋" w:cs="Times New Roman"/>
          <w:sz w:val="28"/>
          <w:szCs w:val="28"/>
        </w:rPr>
        <w:t>符合要求</w:t>
      </w:r>
      <w:bookmarkEnd w:id="2"/>
      <w:r>
        <w:rPr>
          <w:rFonts w:ascii="Times New Roman" w:hAnsi="Times New Roman" w:eastAsia="仿宋" w:cs="Times New Roman"/>
          <w:sz w:val="28"/>
          <w:szCs w:val="28"/>
        </w:rPr>
        <w:t>。</w:t>
      </w:r>
      <w:bookmarkStart w:id="6" w:name="_GoBack"/>
      <w:bookmarkEnd w:id="6"/>
    </w:p>
    <w:p>
      <w:pPr>
        <w:spacing w:line="62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w:t>
      </w:r>
      <w:r>
        <w:rPr>
          <w:rFonts w:hint="eastAsia" w:ascii="Times New Roman" w:hAnsi="Times New Roman" w:eastAsia="仿宋_GB2312" w:cs="Times New Roman"/>
          <w:b/>
          <w:sz w:val="28"/>
          <w:szCs w:val="28"/>
        </w:rPr>
        <w:t>小谷围社工站</w:t>
      </w:r>
      <w:r>
        <w:rPr>
          <w:rFonts w:ascii="Times New Roman" w:hAnsi="Times New Roman" w:eastAsia="仿宋_GB2312" w:cs="Times New Roman"/>
          <w:b/>
          <w:sz w:val="28"/>
          <w:szCs w:val="28"/>
        </w:rPr>
        <w:t>经费支出情况</w:t>
      </w:r>
    </w:p>
    <w:p>
      <w:pPr>
        <w:spacing w:line="6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承接机构广州市番禺区正阳社会工作服务中心根据《广州市社工服务站管理办法》（穗府办</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7号）、《广州市社工站购买服务项目评估指标体系》（穗民</w:t>
      </w:r>
      <w:r>
        <w:rPr>
          <w:rFonts w:hint="eastAsia" w:ascii="仿宋_GB2312" w:hAnsi="仿宋_GB2312" w:eastAsia="仿宋_GB2312" w:cs="仿宋_GB2312"/>
          <w:sz w:val="28"/>
          <w:szCs w:val="28"/>
        </w:rPr>
        <w:t>〔</w:t>
      </w:r>
      <w:r>
        <w:rPr>
          <w:rFonts w:hint="eastAsia" w:ascii="Times New Roman" w:hAnsi="Times New Roman" w:eastAsia="仿宋" w:cs="Times New Roman"/>
          <w:sz w:val="28"/>
          <w:szCs w:val="28"/>
        </w:rPr>
        <w:t>2023</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97号）等相关规定，结合实际情况建立了《财务管理制度》、《费用报销及控制制度》，明确了财务经费支出的审核程序及支出权限。制度规定：机构经费审批权限，原则上由各相关部门（项目）负责人预先审核，后经总干事统一审批方可执行，总干事经费审批权限≤5,000.00元；大于5,000.00元的经费支出需总干事报请理事长审批后方可执行。本评估期内小谷围社工站经费支出具体情况如下：</w:t>
      </w:r>
    </w:p>
    <w:p>
      <w:pPr>
        <w:spacing w:line="62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㈠财务支出的合规性</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小谷围社工站经费使用的范围、比例基本能按《广州市社工服务站管理办法》有关规定执行。小谷围社工站每年有制定“经费预算表”，明确规划了协议期内的收入和支出预算计划，经费支出预算表基本能符合《民间非营利组织会计制度》和广州市番禺区人民政府小谷围街道办事处与社工服务站承接机构签订的购买服务协议中人员费用、服务质量保障费用和运营管理费用规定的使用范围，活动经费预算表有机构理事会负责人签名确认。</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㈡财务支出的合理性</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经审核，小谷围社工站财务支出的事由、票据、标准基本合理。小谷围社工站有经费预算程序，财务支出根据经费预算计划执行、基本能按预算标准支出，并有财务支出票据。</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㈢财务支出审批机制情况</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经审核，小谷围社工站能按承接机构广州市番禺区正阳社会工作服务中心财务制度规定的审批权限进行审批。经费支出均有经办人、证明人、审核人签名。</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㈣财务支出监控机制执行情况</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经审核，承接机构广州市番禺区正阳社会工作服务中心已建立财务支出管理的监控机制，并在小谷围社工站得到较规范执行。</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１、承接机构广州市番禺区正阳社会工作服务中心能按规定开设银行基本账户，按规定对该小谷围社工站开设银行一般账户（专户），日常财务支出采用专户支付和基本户代付后专户转回结合的方式。</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２、为确保政府购买服务经费用于指定用途，承接机构广州市番禺区正阳社会工作服务中心有定期向购买方提交小谷围社工站服务经费使用情况报告，对经费预算及使用情况作比对分析。</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㈤财务支出票据的完整性、规范性</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小谷围社工站财务支出票据、凭证填制较完整，账目设置、票据管理较规范。</w:t>
      </w:r>
    </w:p>
    <w:p>
      <w:pPr>
        <w:spacing w:line="61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五、</w:t>
      </w:r>
      <w:r>
        <w:rPr>
          <w:rFonts w:hint="eastAsia" w:ascii="Times New Roman" w:hAnsi="Times New Roman" w:eastAsia="仿宋_GB2312" w:cs="Times New Roman"/>
          <w:b/>
          <w:sz w:val="28"/>
          <w:szCs w:val="28"/>
        </w:rPr>
        <w:t>小谷围社工站</w:t>
      </w:r>
      <w:r>
        <w:rPr>
          <w:rFonts w:ascii="Times New Roman" w:hAnsi="Times New Roman" w:eastAsia="仿宋_GB2312" w:cs="Times New Roman"/>
          <w:b/>
          <w:sz w:val="28"/>
          <w:szCs w:val="28"/>
        </w:rPr>
        <w:t>会计核算情况</w:t>
      </w:r>
    </w:p>
    <w:p>
      <w:pPr>
        <w:spacing w:line="610" w:lineRule="exact"/>
        <w:ind w:right="-6" w:rightChars="-3" w:firstLine="560" w:firstLineChars="200"/>
        <w:rPr>
          <w:rFonts w:ascii="Times New Roman" w:hAnsi="Times New Roman" w:eastAsia="仿宋" w:cs="Times New Roman"/>
          <w:color w:val="000000" w:themeColor="text1"/>
          <w:sz w:val="28"/>
          <w:szCs w:val="28"/>
          <w14:textFill>
            <w14:solidFill>
              <w14:schemeClr w14:val="tx1"/>
            </w14:solidFill>
          </w14:textFill>
        </w:rPr>
      </w:pPr>
      <w:bookmarkStart w:id="3" w:name="_Hlk110777849"/>
      <w:r>
        <w:rPr>
          <w:rFonts w:ascii="Times New Roman" w:hAnsi="Times New Roman" w:eastAsia="仿宋" w:cs="Times New Roman"/>
          <w:color w:val="000000" w:themeColor="text1"/>
          <w:sz w:val="28"/>
          <w:szCs w:val="28"/>
          <w14:textFill>
            <w14:solidFill>
              <w14:schemeClr w14:val="tx1"/>
            </w14:solidFill>
          </w14:textFill>
        </w:rPr>
        <w:t>㈠是否设置会计科目，编制会计报表</w:t>
      </w:r>
    </w:p>
    <w:p>
      <w:pPr>
        <w:spacing w:line="61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经审核，承接机构广州市番禺区正阳社会工作服务中心对小谷围社工站会计科目设置合理，所有服务业务均编制了记账凭证、登记了明细分类账簿和总账，核算做到账册、账账、账表相符，编制了会计报表，并符合相关会计制度独立核算。</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㈡是否分项目核算</w:t>
      </w:r>
    </w:p>
    <w:p>
      <w:pPr>
        <w:spacing w:line="61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经审核，承接机构广州市番禺区正阳社会工作服务中心对承接的小谷围社工站政府购买服务资金的服务经费支出，能按要求做到分项目核算。</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㈢是否领域服务经费分开归集</w:t>
      </w:r>
    </w:p>
    <w:p>
      <w:pPr>
        <w:spacing w:line="610" w:lineRule="exact"/>
        <w:ind w:firstLine="560" w:firstLineChars="200"/>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经审核，承接机构广州市番禺区正阳社会工作服务中心对承接的小谷围社工站政府购买服务资金的服务经费支出，能按要求做到领域服务经费分开归集。</w:t>
      </w:r>
    </w:p>
    <w:p>
      <w:pPr>
        <w:spacing w:line="61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六、</w:t>
      </w:r>
      <w:bookmarkEnd w:id="3"/>
      <w:r>
        <w:rPr>
          <w:rFonts w:ascii="Times New Roman" w:hAnsi="Times New Roman" w:eastAsia="仿宋_GB2312" w:cs="Times New Roman"/>
          <w:b/>
          <w:sz w:val="28"/>
          <w:szCs w:val="28"/>
        </w:rPr>
        <w:t>本评估期服务经费拨入、支出、结余情况</w:t>
      </w:r>
    </w:p>
    <w:p>
      <w:pPr>
        <w:spacing w:line="610" w:lineRule="exact"/>
        <w:ind w:right="-2" w:firstLine="560" w:firstLineChars="200"/>
        <w:outlineLvl w:val="0"/>
        <w:rPr>
          <w:rFonts w:ascii="Times New Roman" w:hAnsi="Times New Roman" w:eastAsia="仿宋" w:cs="Times New Roman"/>
          <w:color w:val="000000" w:themeColor="text1"/>
          <w:sz w:val="28"/>
          <w:szCs w:val="28"/>
          <w14:textFill>
            <w14:solidFill>
              <w14:schemeClr w14:val="tx1"/>
            </w14:solidFill>
          </w14:textFill>
        </w:rPr>
      </w:pPr>
      <w:r>
        <w:rPr>
          <w:rFonts w:hint="eastAsia" w:ascii="Times New Roman" w:hAnsi="Times New Roman" w:eastAsia="仿宋_GB2312" w:cs="Times New Roman"/>
          <w:sz w:val="28"/>
          <w:szCs w:val="28"/>
        </w:rPr>
        <w:t>2024年3月4日至2024年8月14日</w:t>
      </w:r>
      <w:r>
        <w:rPr>
          <w:rFonts w:ascii="Times New Roman" w:hAnsi="Times New Roman" w:eastAsia="仿宋" w:cs="Times New Roman"/>
          <w:color w:val="000000" w:themeColor="text1"/>
          <w:sz w:val="28"/>
          <w:szCs w:val="28"/>
          <w14:textFill>
            <w14:solidFill>
              <w14:schemeClr w14:val="tx1"/>
            </w14:solidFill>
          </w14:textFill>
        </w:rPr>
        <w:t>期间（以下简称本评估期），</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_GB2312" w:cs="Times New Roman"/>
          <w:color w:val="000000" w:themeColor="text1"/>
          <w:spacing w:val="-4"/>
          <w:sz w:val="28"/>
          <w:szCs w:val="28"/>
          <w14:textFill>
            <w14:solidFill>
              <w14:schemeClr w14:val="tx1"/>
            </w14:solidFill>
          </w14:textFill>
        </w:rPr>
        <w:t>收到本评估期内政府购买服务经费2,156,500.00元</w:t>
      </w:r>
      <w:r>
        <w:rPr>
          <w:rFonts w:hint="eastAsia" w:ascii="Times New Roman" w:hAnsi="Times New Roman" w:eastAsia="仿宋" w:cs="Times New Roman"/>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归属于本评估期的服务经费支出累计1,243,925.03元，其中</w:t>
      </w:r>
      <w:r>
        <w:rPr>
          <w:rFonts w:hint="eastAsia" w:ascii="Times New Roman" w:hAnsi="Times New Roman" w:eastAsia="仿宋" w:cs="Times New Roman"/>
          <w:color w:val="000000" w:themeColor="text1"/>
          <w:sz w:val="28"/>
          <w:szCs w:val="28"/>
          <w14:textFill>
            <w14:solidFill>
              <w14:schemeClr w14:val="tx1"/>
            </w14:solidFill>
          </w14:textFill>
        </w:rPr>
        <w:t>2024年3月</w:t>
      </w:r>
      <w:r>
        <w:rPr>
          <w:rFonts w:ascii="Times New Roman" w:hAnsi="Times New Roman" w:eastAsia="仿宋" w:cs="Times New Roman"/>
          <w:color w:val="000000" w:themeColor="text1"/>
          <w:sz w:val="28"/>
          <w:szCs w:val="28"/>
          <w14:textFill>
            <w14:solidFill>
              <w14:schemeClr w14:val="tx1"/>
            </w14:solidFill>
          </w14:textFill>
        </w:rPr>
        <w:t>至</w:t>
      </w:r>
      <w:r>
        <w:rPr>
          <w:rFonts w:hint="eastAsia" w:ascii="Times New Roman" w:hAnsi="Times New Roman" w:eastAsia="仿宋" w:cs="Times New Roman"/>
          <w:color w:val="000000" w:themeColor="text1"/>
          <w:sz w:val="28"/>
          <w:szCs w:val="28"/>
          <w14:textFill>
            <w14:solidFill>
              <w14:schemeClr w14:val="tx1"/>
            </w14:solidFill>
          </w14:textFill>
        </w:rPr>
        <w:t>2024年8月</w:t>
      </w:r>
      <w:r>
        <w:rPr>
          <w:rFonts w:ascii="Times New Roman" w:hAnsi="Times New Roman" w:eastAsia="仿宋" w:cs="Times New Roman"/>
          <w:color w:val="000000" w:themeColor="text1"/>
          <w:sz w:val="28"/>
          <w:szCs w:val="28"/>
          <w14:textFill>
            <w14:solidFill>
              <w14:schemeClr w14:val="tx1"/>
            </w14:solidFill>
          </w14:textFill>
        </w:rPr>
        <w:t>支付1,038,852.41元，202</w:t>
      </w:r>
      <w:r>
        <w:rPr>
          <w:rFonts w:hint="eastAsia"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t>年</w:t>
      </w:r>
      <w:r>
        <w:rPr>
          <w:rFonts w:hint="eastAsia" w:ascii="Times New Roman" w:hAnsi="Times New Roman" w:eastAsia="仿宋" w:cs="Times New Roman"/>
          <w:color w:val="000000" w:themeColor="text1"/>
          <w:sz w:val="28"/>
          <w:szCs w:val="28"/>
          <w14:textFill>
            <w14:solidFill>
              <w14:schemeClr w14:val="tx1"/>
            </w14:solidFill>
          </w14:textFill>
        </w:rPr>
        <w:t>9</w:t>
      </w:r>
      <w:r>
        <w:rPr>
          <w:rFonts w:ascii="Times New Roman" w:hAnsi="Times New Roman" w:eastAsia="仿宋" w:cs="Times New Roman"/>
          <w:color w:val="000000" w:themeColor="text1"/>
          <w:sz w:val="28"/>
          <w:szCs w:val="28"/>
          <w14:textFill>
            <w14:solidFill>
              <w14:schemeClr w14:val="tx1"/>
            </w14:solidFill>
          </w14:textFill>
        </w:rPr>
        <w:t>月支付192,295.02元；本评估期结余金额912,574.97元，占实际拨入经费的42.32%。具体经费支出情况如下：</w:t>
      </w:r>
    </w:p>
    <w:p>
      <w:pPr>
        <w:spacing w:line="610" w:lineRule="exact"/>
        <w:ind w:right="139" w:rightChars="66"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㈠用于人员费用支出937,931.79元，占本评估期实收服务总经费的43.49%。其中：</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１、工资总额支出778,949.13元；</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２、五险金支出131,605.16元；</w:t>
      </w:r>
    </w:p>
    <w:p>
      <w:pPr>
        <w:spacing w:line="61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３、公积金支出27,377.50元；</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㈡用于服务质量保障费用的支出合计216,013.93元，占本评估期实收服务总经费的10.02%，其中：</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１、专业支持的支出</w:t>
      </w:r>
      <w:r>
        <w:rPr>
          <w:rFonts w:ascii="Times New Roman" w:hAnsi="Times New Roman" w:eastAsia="仿宋_GB2312" w:cs="Times New Roman"/>
          <w:sz w:val="28"/>
          <w:szCs w:val="28"/>
        </w:rPr>
        <w:t>7,724.25</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，占本评估期实收服务总经费的0.36%</w:t>
      </w:r>
      <w:r>
        <w:rPr>
          <w:rFonts w:hint="eastAsia" w:ascii="Times New Roman" w:hAnsi="Times New Roman" w:eastAsia="仿宋_GB2312" w:cs="Times New Roman"/>
          <w:sz w:val="28"/>
          <w:szCs w:val="28"/>
        </w:rPr>
        <w:t>。</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⑴社工专业服务领域培训支出</w:t>
      </w:r>
      <w:r>
        <w:rPr>
          <w:rFonts w:ascii="Times New Roman" w:hAnsi="Times New Roman" w:eastAsia="仿宋_GB2312" w:cs="Times New Roman"/>
          <w:sz w:val="28"/>
          <w:szCs w:val="28"/>
        </w:rPr>
        <w:t>7,724.25</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r>
        <w:rPr>
          <w:rFonts w:ascii="Times New Roman" w:hAnsi="Times New Roman" w:eastAsia="仿宋_GB2312" w:cs="Times New Roman"/>
          <w:sz w:val="28"/>
          <w:szCs w:val="28"/>
        </w:rPr>
        <w:t>用于开展与专业服务和活动的支出46,669.24元，占本评估期实收服务总经费的2.16%。</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⑴服务和活动物料支出</w:t>
      </w:r>
      <w:r>
        <w:rPr>
          <w:rFonts w:ascii="Times New Roman" w:hAnsi="Times New Roman" w:eastAsia="仿宋_GB2312"/>
          <w:color w:val="000000" w:themeColor="text1"/>
          <w:sz w:val="28"/>
          <w:szCs w:val="28"/>
          <w14:textFill>
            <w14:solidFill>
              <w14:schemeClr w14:val="tx1"/>
            </w14:solidFill>
          </w14:textFill>
        </w:rPr>
        <w:t>13,419.33</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⑵宣传费支出</w:t>
      </w:r>
      <w:r>
        <w:rPr>
          <w:rFonts w:ascii="Times New Roman" w:hAnsi="Times New Roman" w:eastAsia="仿宋_GB2312"/>
          <w:color w:val="000000" w:themeColor="text1"/>
          <w:sz w:val="28"/>
          <w:szCs w:val="28"/>
          <w14:textFill>
            <w14:solidFill>
              <w14:schemeClr w14:val="tx1"/>
            </w14:solidFill>
          </w14:textFill>
        </w:rPr>
        <w:t>33,249.91</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３、</w:t>
      </w:r>
      <w:r>
        <w:rPr>
          <w:rFonts w:ascii="Times New Roman" w:hAnsi="Times New Roman" w:eastAsia="仿宋_GB2312" w:cs="Times New Roman"/>
          <w:sz w:val="28"/>
          <w:szCs w:val="28"/>
        </w:rPr>
        <w:t>用于日常办公费用支出32,351.86元，占本评估期实收服务总经费的1.50%。</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办公费耗材支出17,806.44元；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电信费支出2,844.00元；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水电费支出10,348.39元；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⑷</w:t>
      </w:r>
      <w:r>
        <w:rPr>
          <w:rFonts w:ascii="Times New Roman" w:hAnsi="Times New Roman" w:eastAsia="仿宋" w:cs="Times New Roman"/>
          <w:sz w:val="28"/>
          <w:szCs w:val="28"/>
        </w:rPr>
        <w:t>银行手续费支出1,353.03元</w:t>
      </w:r>
      <w:r>
        <w:rPr>
          <w:rFonts w:hint="eastAsia" w:ascii="Times New Roman" w:hAnsi="Times New Roman" w:eastAsia="仿宋" w:cs="Times New Roman"/>
          <w:sz w:val="28"/>
          <w:szCs w:val="28"/>
        </w:rPr>
        <w:t>。</w:t>
      </w:r>
    </w:p>
    <w:p>
      <w:pPr>
        <w:spacing w:line="64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w:t>
      </w:r>
      <w:r>
        <w:rPr>
          <w:rFonts w:ascii="Times New Roman" w:hAnsi="Times New Roman" w:eastAsia="仿宋_GB2312" w:cs="Times New Roman"/>
          <w:sz w:val="28"/>
          <w:szCs w:val="28"/>
        </w:rPr>
        <w:t>、</w:t>
      </w:r>
      <w:r>
        <w:rPr>
          <w:rFonts w:hint="eastAsia" w:ascii="Times New Roman" w:hAnsi="Times New Roman" w:eastAsia="仿宋_GB2312"/>
          <w:color w:val="000000" w:themeColor="text1"/>
          <w:sz w:val="28"/>
          <w:szCs w:val="28"/>
          <w14:textFill>
            <w14:solidFill>
              <w14:schemeClr w14:val="tx1"/>
            </w14:solidFill>
          </w14:textFill>
        </w:rPr>
        <w:t>用于机构年度相关税费支出</w:t>
      </w:r>
      <w:r>
        <w:rPr>
          <w:rFonts w:ascii="Times New Roman" w:hAnsi="Times New Roman" w:eastAsia="仿宋_GB2312"/>
          <w:color w:val="000000" w:themeColor="text1"/>
          <w:sz w:val="28"/>
          <w:szCs w:val="28"/>
          <w14:textFill>
            <w14:solidFill>
              <w14:schemeClr w14:val="tx1"/>
            </w14:solidFill>
          </w14:textFill>
        </w:rPr>
        <w:t>129,268.58</w:t>
      </w:r>
      <w:r>
        <w:rPr>
          <w:rFonts w:hint="eastAsia" w:ascii="Times New Roman" w:hAnsi="Times New Roman" w:eastAsia="仿宋_GB2312"/>
          <w:color w:val="000000" w:themeColor="text1"/>
          <w:sz w:val="28"/>
          <w:szCs w:val="28"/>
          <w14:textFill>
            <w14:solidFill>
              <w14:schemeClr w14:val="tx1"/>
            </w14:solidFill>
          </w14:textFill>
        </w:rPr>
        <w:t>元，占本评估期实收服务总经费的</w:t>
      </w:r>
      <w:r>
        <w:rPr>
          <w:rFonts w:ascii="Times New Roman" w:hAnsi="Times New Roman" w:eastAsia="仿宋_GB2312"/>
          <w:color w:val="000000" w:themeColor="text1"/>
          <w:sz w:val="28"/>
          <w:szCs w:val="28"/>
          <w14:textFill>
            <w14:solidFill>
              <w14:schemeClr w14:val="tx1"/>
            </w14:solidFill>
          </w14:textFill>
        </w:rPr>
        <w:t>5.99%</w:t>
      </w:r>
      <w:r>
        <w:rPr>
          <w:rFonts w:hint="eastAsia" w:ascii="Times New Roman" w:hAnsi="Times New Roman" w:eastAsia="仿宋_GB2312"/>
          <w:color w:val="000000" w:themeColor="text1"/>
          <w:sz w:val="28"/>
          <w:szCs w:val="28"/>
          <w14:textFill>
            <w14:solidFill>
              <w14:schemeClr w14:val="tx1"/>
            </w14:solidFill>
          </w14:textFill>
        </w:rPr>
        <w:t>。</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㈢用于运营管理费用支出89,979.31元，占本评估期实收服务总经费的4.17%，其中：</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１</w:t>
      </w:r>
      <w:r>
        <w:rPr>
          <w:rFonts w:ascii="Times New Roman" w:hAnsi="Times New Roman" w:eastAsia="仿宋" w:cs="Times New Roman"/>
          <w:sz w:val="28"/>
          <w:szCs w:val="28"/>
        </w:rPr>
        <w:t xml:space="preserve">、分摊机构人员工资54,109.14元； </w:t>
      </w:r>
    </w:p>
    <w:p>
      <w:pPr>
        <w:spacing w:line="590" w:lineRule="exact"/>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２</w:t>
      </w:r>
      <w:r>
        <w:rPr>
          <w:rFonts w:ascii="Times New Roman" w:hAnsi="Times New Roman" w:eastAsia="仿宋" w:cs="Times New Roman"/>
          <w:sz w:val="28"/>
          <w:szCs w:val="28"/>
        </w:rPr>
        <w:t>、分摊机构人员社保4,247.44元</w:t>
      </w:r>
      <w:r>
        <w:rPr>
          <w:rFonts w:hint="eastAsia" w:ascii="Times New Roman" w:hAnsi="Times New Roman" w:eastAsia="仿宋" w:cs="Times New Roman"/>
          <w:sz w:val="28"/>
          <w:szCs w:val="28"/>
          <w:lang w:eastAsia="zh-CN"/>
        </w:rPr>
        <w:t>；</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３</w:t>
      </w:r>
      <w:r>
        <w:rPr>
          <w:rFonts w:ascii="Times New Roman" w:hAnsi="Times New Roman" w:eastAsia="仿宋" w:cs="Times New Roman"/>
          <w:sz w:val="28"/>
          <w:szCs w:val="28"/>
        </w:rPr>
        <w:t xml:space="preserve">、分摊机构人员公积金887.20元； </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４</w:t>
      </w:r>
      <w:r>
        <w:rPr>
          <w:rFonts w:ascii="Times New Roman" w:hAnsi="Times New Roman" w:eastAsia="仿宋" w:cs="Times New Roman"/>
          <w:sz w:val="28"/>
          <w:szCs w:val="28"/>
        </w:rPr>
        <w:t>、分摊机构费用18,135.51元；</w:t>
      </w:r>
    </w:p>
    <w:p>
      <w:pPr>
        <w:spacing w:line="59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５</w:t>
      </w:r>
      <w:r>
        <w:rPr>
          <w:rFonts w:ascii="Times New Roman" w:hAnsi="Times New Roman" w:eastAsia="仿宋" w:cs="Times New Roman"/>
          <w:sz w:val="28"/>
          <w:szCs w:val="28"/>
        </w:rPr>
        <w:t>、工会经费支出12,600.02元；</w:t>
      </w:r>
    </w:p>
    <w:p>
      <w:pPr>
        <w:spacing w:line="640" w:lineRule="exact"/>
        <w:ind w:right="-2"/>
        <w:outlineLvl w:val="0"/>
        <w:rPr>
          <w:rFonts w:ascii="Times New Roman" w:hAnsi="Times New Roman" w:eastAsia="仿宋_GB2312" w:cs="Times New Roman"/>
          <w:sz w:val="28"/>
          <w:szCs w:val="28"/>
        </w:rPr>
      </w:pPr>
      <w:r>
        <w:rPr>
          <w:rFonts w:ascii="Times New Roman" w:hAnsi="Times New Roman" w:eastAsia="仿宋_GB2312" w:cs="Times New Roman"/>
          <w:b/>
          <w:color w:val="000000" w:themeColor="text1"/>
          <w:sz w:val="28"/>
          <w:szCs w:val="28"/>
          <w14:textFill>
            <w14:solidFill>
              <w14:schemeClr w14:val="tx1"/>
            </w14:solidFill>
          </w14:textFill>
        </w:rPr>
        <w:t>七、本次服务协议期（</w:t>
      </w:r>
      <w:r>
        <w:rPr>
          <w:rFonts w:hint="eastAsia" w:ascii="Times New Roman" w:hAnsi="Times New Roman" w:eastAsia="仿宋_GB2312" w:cs="Times New Roman"/>
          <w:b/>
          <w:color w:val="000000" w:themeColor="text1"/>
          <w:sz w:val="28"/>
          <w:szCs w:val="28"/>
          <w14:textFill>
            <w14:solidFill>
              <w14:schemeClr w14:val="tx1"/>
            </w14:solidFill>
          </w14:textFill>
        </w:rPr>
        <w:t>2023年9月4日至2024年8月14日</w:t>
      </w:r>
      <w:r>
        <w:rPr>
          <w:rFonts w:ascii="Times New Roman" w:hAnsi="Times New Roman" w:eastAsia="仿宋_GB2312" w:cs="Times New Roman"/>
          <w:b/>
          <w:sz w:val="28"/>
          <w:szCs w:val="28"/>
        </w:rPr>
        <w:t>）经费总拨入、支出、结余情况</w:t>
      </w:r>
    </w:p>
    <w:p>
      <w:pPr>
        <w:spacing w:line="6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业会专审[2024]029号</w:t>
      </w:r>
      <w:r>
        <w:rPr>
          <w:rFonts w:ascii="Times New Roman" w:hAnsi="Times New Roman" w:eastAsia="仿宋_GB2312" w:cs="Times New Roman"/>
          <w:sz w:val="28"/>
          <w:szCs w:val="28"/>
        </w:rPr>
        <w:t>”财务管理情况评估报告并结合本评估报告</w:t>
      </w:r>
      <w:r>
        <w:rPr>
          <w:rFonts w:hint="eastAsia" w:ascii="Times New Roman" w:hAnsi="Times New Roman" w:eastAsia="仿宋_GB2312" w:cs="Times New Roman"/>
          <w:sz w:val="28"/>
          <w:szCs w:val="28"/>
        </w:rPr>
        <w:t>2024年3月4日至2024年8月14日</w:t>
      </w:r>
      <w:r>
        <w:rPr>
          <w:rFonts w:ascii="Times New Roman" w:hAnsi="Times New Roman" w:eastAsia="仿宋_GB2312" w:cs="Times New Roman"/>
          <w:sz w:val="28"/>
          <w:szCs w:val="28"/>
        </w:rPr>
        <w:t>财务管理评估情况，截至</w:t>
      </w:r>
      <w:r>
        <w:rPr>
          <w:rFonts w:hint="eastAsia" w:ascii="Times New Roman" w:hAnsi="Times New Roman" w:eastAsia="仿宋_GB2312" w:cs="Times New Roman"/>
          <w:sz w:val="28"/>
          <w:szCs w:val="28"/>
        </w:rPr>
        <w:t>报告</w:t>
      </w:r>
      <w:r>
        <w:rPr>
          <w:rFonts w:ascii="Times New Roman" w:hAnsi="Times New Roman" w:eastAsia="仿宋_GB2312" w:cs="Times New Roman"/>
          <w:sz w:val="28"/>
          <w:szCs w:val="28"/>
        </w:rPr>
        <w:t>日，</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_GB2312" w:cs="Times New Roman"/>
          <w:sz w:val="28"/>
          <w:szCs w:val="28"/>
        </w:rPr>
        <w:t>累计已收到本次服务协议期政府采购服务经费2,156,500.00元，累计支出服务经费2,256,551.04元，结余金额为-100,051.04元（不含未拨入的113,500.00元）</w:t>
      </w:r>
      <w:r>
        <w:rPr>
          <w:rFonts w:ascii="Times New Roman" w:hAnsi="Times New Roman" w:eastAsia="仿宋_GB2312" w:cs="Times New Roman"/>
          <w:color w:val="000000" w:themeColor="text1"/>
          <w:sz w:val="28"/>
          <w:szCs w:val="28"/>
          <w14:textFill>
            <w14:solidFill>
              <w14:schemeClr w14:val="tx1"/>
            </w14:solidFill>
          </w14:textFill>
        </w:rPr>
        <w:t>。</w:t>
      </w:r>
    </w:p>
    <w:p>
      <w:pPr>
        <w:spacing w:line="6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经评估，用于人员费用支出占服务总经费的80.04%，</w:t>
      </w:r>
      <w:r>
        <w:rPr>
          <w:rFonts w:hint="eastAsia" w:eastAsia="仿宋"/>
          <w:sz w:val="28"/>
          <w:szCs w:val="28"/>
        </w:rPr>
        <w:t>本期预算执行率</w:t>
      </w:r>
      <w:r>
        <w:rPr>
          <w:rFonts w:ascii="Times New Roman" w:hAnsi="Times New Roman" w:eastAsia="仿宋_GB2312" w:cs="Times New Roman"/>
          <w:color w:val="000000" w:themeColor="text1"/>
          <w:sz w:val="28"/>
          <w:szCs w:val="28"/>
          <w14:textFill>
            <w14:solidFill>
              <w14:schemeClr w14:val="tx1"/>
            </w14:solidFill>
          </w14:textFill>
        </w:rPr>
        <w:t>100.05%</w:t>
      </w:r>
      <w:r>
        <w:rPr>
          <w:rFonts w:hint="eastAsia" w:eastAsia="仿宋"/>
          <w:sz w:val="28"/>
          <w:szCs w:val="28"/>
        </w:rPr>
        <w:t>；</w:t>
      </w:r>
      <w:r>
        <w:rPr>
          <w:rFonts w:hint="eastAsia" w:ascii="Times New Roman" w:hAnsi="Times New Roman" w:eastAsia="仿宋_GB2312" w:cs="Times New Roman"/>
          <w:color w:val="000000" w:themeColor="text1"/>
          <w:sz w:val="28"/>
          <w:szCs w:val="28"/>
          <w14:textFill>
            <w14:solidFill>
              <w14:schemeClr w14:val="tx1"/>
            </w14:solidFill>
          </w14:textFill>
        </w:rPr>
        <w:t>服务质量保障费用及承接机构管理费用占服务总经费的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19.36%</w:t>
      </w:r>
      <w:r>
        <w:rPr>
          <w:rFonts w:hint="eastAsia" w:ascii="Times New Roman" w:hAnsi="Times New Roman" w:eastAsia="仿宋_GB2312" w:cs="Times New Roman"/>
          <w:color w:val="000000" w:themeColor="text1"/>
          <w:sz w:val="28"/>
          <w:szCs w:val="28"/>
          <w14:textFill>
            <w14:solidFill>
              <w14:schemeClr w14:val="tx1"/>
            </w14:solidFill>
          </w14:textFill>
        </w:rPr>
        <w:t>（其中，承接机构管理费用占服务总经费的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8.59%</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hint="eastAsia" w:eastAsia="仿宋"/>
          <w:sz w:val="28"/>
          <w:szCs w:val="28"/>
        </w:rPr>
        <w:t>，本期预算执行率</w:t>
      </w:r>
      <w:r>
        <w:rPr>
          <w:rFonts w:ascii="Times New Roman" w:hAnsi="Times New Roman" w:eastAsia="仿宋_GB2312" w:cs="Times New Roman"/>
          <w:color w:val="000000" w:themeColor="text1"/>
          <w:sz w:val="28"/>
          <w:szCs w:val="28"/>
          <w14:textFill>
            <w14:solidFill>
              <w14:schemeClr w14:val="tx1"/>
            </w14:solidFill>
          </w14:textFill>
        </w:rPr>
        <w:t>96.82%</w:t>
      </w:r>
      <w:r>
        <w:rPr>
          <w:rFonts w:hint="eastAsia" w:eastAsia="仿宋"/>
          <w:sz w:val="28"/>
          <w:szCs w:val="28"/>
        </w:rPr>
        <w:t>，</w:t>
      </w:r>
      <w:r>
        <w:rPr>
          <w:rFonts w:ascii="Times New Roman" w:hAnsi="Times New Roman" w:eastAsia="仿宋_GB2312" w:cs="Times New Roman"/>
          <w:color w:val="000000" w:themeColor="text1"/>
          <w:sz w:val="28"/>
          <w:szCs w:val="28"/>
          <w14:textFill>
            <w14:solidFill>
              <w14:schemeClr w14:val="tx1"/>
            </w14:solidFill>
          </w14:textFill>
        </w:rPr>
        <w:t>均符合办法要求。具体经费支出情况如下：</w:t>
      </w:r>
    </w:p>
    <w:p>
      <w:pPr>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000000" w:themeColor="text1"/>
          <w:sz w:val="28"/>
          <w:szCs w:val="28"/>
          <w14:textFill>
            <w14:solidFill>
              <w14:schemeClr w14:val="tx1"/>
            </w14:solidFill>
          </w14:textFill>
        </w:rPr>
        <w:t>㈠用于</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_GB2312" w:cs="Times New Roman"/>
          <w:color w:val="000000" w:themeColor="text1"/>
          <w:sz w:val="28"/>
          <w:szCs w:val="28"/>
          <w14:textFill>
            <w14:solidFill>
              <w14:schemeClr w14:val="tx1"/>
            </w14:solidFill>
          </w14:textFill>
        </w:rPr>
        <w:t>人员费用支出1,816,965.59元，占服务总经费的80.04%</w:t>
      </w:r>
      <w:r>
        <w:rPr>
          <w:rFonts w:ascii="Times New Roman" w:hAnsi="Times New Roman" w:eastAsia="仿宋_GB2312" w:cs="Times New Roman"/>
          <w:sz w:val="28"/>
          <w:szCs w:val="28"/>
        </w:rPr>
        <w:t>。其中：</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１、工资总额支出</w:t>
      </w:r>
      <w:r>
        <w:rPr>
          <w:rFonts w:ascii="Times New Roman" w:hAnsi="Times New Roman" w:eastAsia="仿宋_GB2312" w:cs="Times New Roman"/>
          <w:sz w:val="28"/>
          <w:szCs w:val="28"/>
        </w:rPr>
        <w:t>1,475,496.42</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２、五险金支出</w:t>
      </w:r>
      <w:r>
        <w:rPr>
          <w:rFonts w:ascii="Times New Roman" w:hAnsi="Times New Roman" w:eastAsia="仿宋_GB2312" w:cs="Times New Roman"/>
          <w:sz w:val="28"/>
          <w:szCs w:val="28"/>
        </w:rPr>
        <w:t>282,981.67</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３、公积金支出</w:t>
      </w:r>
      <w:r>
        <w:rPr>
          <w:rFonts w:ascii="Times New Roman" w:hAnsi="Times New Roman" w:eastAsia="仿宋_GB2312" w:cs="Times New Roman"/>
          <w:sz w:val="28"/>
          <w:szCs w:val="28"/>
        </w:rPr>
        <w:t>58,487.50</w:t>
      </w:r>
      <w:r>
        <w:rPr>
          <w:rFonts w:hint="eastAsia" w:ascii="Times New Roman" w:hAnsi="Times New Roman" w:eastAsia="仿宋_GB2312" w:cs="Times New Roman"/>
          <w:sz w:val="28"/>
          <w:szCs w:val="28"/>
        </w:rPr>
        <w:t>元。</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㈡用于</w:t>
      </w:r>
      <w:r>
        <w:rPr>
          <w:rFonts w:hint="eastAsia" w:ascii="Times New Roman" w:hAnsi="Times New Roman" w:eastAsia="仿宋_GB2312" w:cs="Times New Roman"/>
          <w:sz w:val="28"/>
          <w:szCs w:val="28"/>
        </w:rPr>
        <w:t>小谷围社工站</w:t>
      </w:r>
      <w:r>
        <w:rPr>
          <w:rFonts w:ascii="Times New Roman" w:hAnsi="Times New Roman" w:eastAsia="仿宋_GB2312" w:cs="Times New Roman"/>
          <w:sz w:val="28"/>
          <w:szCs w:val="28"/>
        </w:rPr>
        <w:t>服务质量保障费用的支出合计244,607.01元，占服务总经费的10.78%，其中：</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１、专业支持的支出</w:t>
      </w:r>
      <w:r>
        <w:rPr>
          <w:rFonts w:ascii="Times New Roman" w:hAnsi="Times New Roman" w:eastAsia="仿宋_GB2312" w:cs="Times New Roman"/>
          <w:sz w:val="28"/>
          <w:szCs w:val="28"/>
        </w:rPr>
        <w:t>9,444.98</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占服务总经费的0.42%</w:t>
      </w:r>
      <w:r>
        <w:rPr>
          <w:rFonts w:hint="eastAsia" w:ascii="Times New Roman" w:hAnsi="Times New Roman" w:eastAsia="仿宋_GB2312" w:cs="Times New Roman"/>
          <w:sz w:val="28"/>
          <w:szCs w:val="28"/>
        </w:rPr>
        <w:t>。</w:t>
      </w:r>
    </w:p>
    <w:p>
      <w:pPr>
        <w:spacing w:line="62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社工交流学习支出1,420.73元</w:t>
      </w:r>
      <w:r>
        <w:rPr>
          <w:rFonts w:hint="eastAsia" w:ascii="Times New Roman" w:hAnsi="Times New Roman" w:eastAsia="仿宋" w:cs="Times New Roman"/>
          <w:sz w:val="28"/>
          <w:szCs w:val="28"/>
          <w:lang w:eastAsia="zh-CN"/>
        </w:rPr>
        <w:t>；</w:t>
      </w:r>
    </w:p>
    <w:p>
      <w:pPr>
        <w:spacing w:line="64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hint="eastAsia" w:ascii="Times New Roman" w:hAnsi="Times New Roman" w:eastAsia="仿宋" w:cs="Times New Roman"/>
          <w:sz w:val="28"/>
          <w:szCs w:val="28"/>
        </w:rPr>
        <w:t>专业提升</w:t>
      </w:r>
      <w:r>
        <w:rPr>
          <w:rFonts w:ascii="Times New Roman" w:hAnsi="Times New Roman" w:eastAsia="仿宋" w:cs="Times New Roman"/>
          <w:sz w:val="28"/>
          <w:szCs w:val="28"/>
        </w:rPr>
        <w:t>费支出300.00元</w:t>
      </w:r>
      <w:r>
        <w:rPr>
          <w:rFonts w:hint="eastAsia" w:ascii="Times New Roman" w:hAnsi="Times New Roman" w:eastAsia="仿宋" w:cs="Times New Roman"/>
          <w:sz w:val="28"/>
          <w:szCs w:val="28"/>
        </w:rPr>
        <w:t>；</w:t>
      </w:r>
    </w:p>
    <w:p>
      <w:pPr>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w:instrText>
      </w:r>
      <w:r>
        <w:rPr>
          <w:rFonts w:hint="eastAsia" w:ascii="Times New Roman" w:hAnsi="Times New Roman" w:eastAsia="仿宋" w:cs="Times New Roman"/>
          <w:sz w:val="28"/>
          <w:szCs w:val="28"/>
        </w:rPr>
        <w:instrText xml:space="preserve">= 3 \* GB2</w:instrText>
      </w:r>
      <w:r>
        <w:rPr>
          <w:rFonts w:ascii="Times New Roman" w:hAnsi="Times New Roman" w:eastAsia="仿宋" w:cs="Times New Roman"/>
          <w:sz w:val="28"/>
          <w:szCs w:val="28"/>
        </w:rPr>
        <w:instrText xml:space="preserve"> </w:instrText>
      </w:r>
      <w:r>
        <w:rPr>
          <w:rFonts w:ascii="Times New Roman" w:hAnsi="Times New Roman" w:eastAsia="仿宋" w:cs="Times New Roman"/>
          <w:sz w:val="28"/>
          <w:szCs w:val="28"/>
        </w:rPr>
        <w:fldChar w:fldCharType="separate"/>
      </w:r>
      <w:r>
        <w:rPr>
          <w:rFonts w:hint="eastAsia" w:ascii="Times New Roman" w:hAnsi="Times New Roman" w:eastAsia="仿宋" w:cs="Times New Roman"/>
          <w:sz w:val="28"/>
          <w:szCs w:val="28"/>
        </w:rPr>
        <w:t>⑶</w:t>
      </w:r>
      <w:r>
        <w:rPr>
          <w:rFonts w:ascii="Times New Roman" w:hAnsi="Times New Roman" w:eastAsia="仿宋" w:cs="Times New Roman"/>
          <w:sz w:val="28"/>
          <w:szCs w:val="28"/>
        </w:rPr>
        <w:fldChar w:fldCharType="end"/>
      </w:r>
      <w:r>
        <w:rPr>
          <w:rFonts w:hint="eastAsia" w:ascii="Times New Roman" w:hAnsi="Times New Roman" w:eastAsia="仿宋" w:cs="Times New Roman"/>
          <w:sz w:val="28"/>
          <w:szCs w:val="28"/>
        </w:rPr>
        <w:t>社工专业服务领域培训支出7,724.25元。</w:t>
      </w:r>
    </w:p>
    <w:p>
      <w:pPr>
        <w:spacing w:line="640" w:lineRule="exact"/>
        <w:ind w:firstLine="536" w:firstLineChars="200"/>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２、用于开展与专业服务和活动的支出</w:t>
      </w:r>
      <w:r>
        <w:rPr>
          <w:rFonts w:ascii="Times New Roman" w:hAnsi="Times New Roman" w:eastAsia="仿宋_GB2312" w:cs="Times New Roman"/>
          <w:spacing w:val="-6"/>
          <w:sz w:val="28"/>
          <w:szCs w:val="28"/>
        </w:rPr>
        <w:t>62,601.23</w:t>
      </w:r>
      <w:r>
        <w:rPr>
          <w:rFonts w:hint="eastAsia" w:ascii="Times New Roman" w:hAnsi="Times New Roman" w:eastAsia="仿宋_GB2312" w:cs="Times New Roman"/>
          <w:spacing w:val="-6"/>
          <w:sz w:val="28"/>
          <w:szCs w:val="28"/>
        </w:rPr>
        <w:t>元，</w:t>
      </w:r>
      <w:r>
        <w:rPr>
          <w:rFonts w:ascii="Times New Roman" w:hAnsi="Times New Roman" w:eastAsia="仿宋_GB2312" w:cs="Times New Roman"/>
          <w:spacing w:val="-6"/>
          <w:sz w:val="28"/>
          <w:szCs w:val="28"/>
        </w:rPr>
        <w:t>占服务总经费的2.76%</w:t>
      </w:r>
      <w:r>
        <w:rPr>
          <w:rFonts w:hint="eastAsia" w:ascii="Times New Roman" w:hAnsi="Times New Roman" w:eastAsia="仿宋_GB2312" w:cs="Times New Roman"/>
          <w:spacing w:val="-6"/>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⑴服务和活动物料支出</w:t>
      </w:r>
      <w:r>
        <w:rPr>
          <w:rFonts w:ascii="Times New Roman" w:hAnsi="Times New Roman" w:eastAsia="仿宋_GB2312" w:cs="Times New Roman"/>
          <w:sz w:val="28"/>
          <w:szCs w:val="28"/>
        </w:rPr>
        <w:t>17,869.92</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⑵宣传费支出</w:t>
      </w:r>
      <w:r>
        <w:rPr>
          <w:rFonts w:ascii="Times New Roman" w:hAnsi="Times New Roman" w:eastAsia="仿宋_GB2312" w:cs="Times New Roman"/>
          <w:sz w:val="28"/>
          <w:szCs w:val="28"/>
        </w:rPr>
        <w:t>44,672.31</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⑶交通费支出</w:t>
      </w:r>
      <w:r>
        <w:rPr>
          <w:rFonts w:ascii="Times New Roman" w:hAnsi="Times New Roman" w:eastAsia="仿宋_GB2312" w:cs="Times New Roman"/>
          <w:sz w:val="28"/>
          <w:szCs w:val="28"/>
        </w:rPr>
        <w:t>59.00</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３、用于日常办公费用支出</w:t>
      </w:r>
      <w:r>
        <w:rPr>
          <w:rFonts w:ascii="Times New Roman" w:hAnsi="Times New Roman" w:eastAsia="仿宋_GB2312" w:cs="Times New Roman"/>
          <w:sz w:val="28"/>
          <w:szCs w:val="28"/>
        </w:rPr>
        <w:t>43,288.43</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占服务总经费的1.91%</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⑴</w:t>
      </w:r>
      <w:r>
        <w:rPr>
          <w:rFonts w:ascii="Times New Roman" w:hAnsi="Times New Roman" w:eastAsia="仿宋" w:cs="Times New Roman"/>
          <w:sz w:val="28"/>
          <w:szCs w:val="28"/>
        </w:rPr>
        <w:t>办公费耗材支出25,237.86元；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⑵</w:t>
      </w:r>
      <w:r>
        <w:rPr>
          <w:rFonts w:ascii="Times New Roman" w:hAnsi="Times New Roman" w:eastAsia="仿宋" w:cs="Times New Roman"/>
          <w:sz w:val="28"/>
          <w:szCs w:val="28"/>
        </w:rPr>
        <w:t>电信费支出5,577.10元；</w:t>
      </w:r>
    </w:p>
    <w:p>
      <w:pPr>
        <w:spacing w:line="590" w:lineRule="exact"/>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⑶</w:t>
      </w:r>
      <w:r>
        <w:rPr>
          <w:rFonts w:ascii="Times New Roman" w:hAnsi="Times New Roman" w:eastAsia="仿宋" w:cs="Times New Roman"/>
          <w:sz w:val="28"/>
          <w:szCs w:val="28"/>
        </w:rPr>
        <w:t>水电费支出10,448.39元；</w:t>
      </w:r>
    </w:p>
    <w:p>
      <w:pPr>
        <w:spacing w:line="640" w:lineRule="exact"/>
        <w:ind w:firstLine="560" w:firstLineChars="200"/>
        <w:rPr>
          <w:rFonts w:ascii="Times New Roman" w:hAnsi="Times New Roman" w:eastAsia="仿宋_GB2312" w:cs="Times New Roman"/>
          <w:sz w:val="28"/>
          <w:szCs w:val="28"/>
        </w:rPr>
      </w:pPr>
      <w:r>
        <w:rPr>
          <w:rFonts w:hint="eastAsia" w:ascii="宋体" w:hAnsi="宋体" w:eastAsia="宋体" w:cs="宋体"/>
          <w:sz w:val="28"/>
          <w:szCs w:val="28"/>
        </w:rPr>
        <w:t>⑷</w:t>
      </w:r>
      <w:r>
        <w:rPr>
          <w:rFonts w:ascii="Times New Roman" w:hAnsi="Times New Roman" w:eastAsia="仿宋" w:cs="Times New Roman"/>
          <w:sz w:val="28"/>
          <w:szCs w:val="28"/>
        </w:rPr>
        <w:t>银行手续费支出2,025.08元</w:t>
      </w:r>
      <w:r>
        <w:rPr>
          <w:rFonts w:hint="eastAsia" w:ascii="Times New Roman" w:hAnsi="Times New Roman" w:eastAsia="仿宋_GB2312" w:cs="Times New Roman"/>
          <w:sz w:val="28"/>
          <w:szCs w:val="28"/>
        </w:rPr>
        <w:t>。</w:t>
      </w:r>
    </w:p>
    <w:p>
      <w:pPr>
        <w:spacing w:line="64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４、用于机构年度相关税费支出</w:t>
      </w:r>
      <w:r>
        <w:rPr>
          <w:rFonts w:ascii="Times New Roman" w:hAnsi="Times New Roman" w:eastAsia="仿宋_GB2312" w:cs="Times New Roman"/>
          <w:sz w:val="28"/>
          <w:szCs w:val="28"/>
        </w:rPr>
        <w:t>129,272.37</w:t>
      </w:r>
      <w:r>
        <w:rPr>
          <w:rFonts w:hint="eastAsia" w:ascii="Times New Roman" w:hAnsi="Times New Roman" w:eastAsia="仿宋_GB2312" w:cs="Times New Roman"/>
          <w:sz w:val="28"/>
          <w:szCs w:val="28"/>
        </w:rPr>
        <w:t>元，</w:t>
      </w:r>
      <w:r>
        <w:rPr>
          <w:rFonts w:ascii="Times New Roman" w:hAnsi="Times New Roman" w:eastAsia="仿宋_GB2312" w:cs="Times New Roman"/>
          <w:sz w:val="28"/>
          <w:szCs w:val="28"/>
        </w:rPr>
        <w:t>占服务总经费的5.69%</w:t>
      </w:r>
      <w:r>
        <w:rPr>
          <w:rFonts w:hint="eastAsia" w:ascii="Times New Roman" w:hAnsi="Times New Roman" w:eastAsia="仿宋_GB2312" w:cs="Times New Roman"/>
          <w:sz w:val="28"/>
          <w:szCs w:val="28"/>
        </w:rPr>
        <w:t>。</w:t>
      </w:r>
    </w:p>
    <w:p>
      <w:pPr>
        <w:spacing w:line="64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㈢用于</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_GB2312" w:cs="Times New Roman"/>
          <w:sz w:val="28"/>
          <w:szCs w:val="28"/>
        </w:rPr>
        <w:t>运营管理费用支出194,978.44元，占服务总经费的8.59%。其中：</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１、中标费支出25,049.60元；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２、分摊机构人员工资101,457.77元； </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３、分摊机构人员社保8,549.40元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４、分摊机构人员公积金1,764.85元； </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５、分摊机构费用28,808.38元；</w:t>
      </w:r>
    </w:p>
    <w:p>
      <w:pPr>
        <w:spacing w:line="59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６、工会经费支出25,694.29元；</w:t>
      </w:r>
    </w:p>
    <w:p>
      <w:pPr>
        <w:spacing w:line="590" w:lineRule="exact"/>
        <w:ind w:firstLine="560" w:firstLineChars="200"/>
        <w:rPr>
          <w:rFonts w:ascii="Times New Roman" w:hAnsi="Times New Roman" w:eastAsia="仿宋_GB2312" w:cs="Times New Roman"/>
          <w:spacing w:val="4"/>
          <w:sz w:val="28"/>
          <w:szCs w:val="28"/>
        </w:rPr>
      </w:pPr>
      <w:r>
        <w:rPr>
          <w:rFonts w:hint="eastAsia" w:ascii="Times New Roman" w:hAnsi="Times New Roman" w:eastAsia="仿宋" w:cs="Times New Roman"/>
          <w:sz w:val="28"/>
          <w:szCs w:val="28"/>
        </w:rPr>
        <w:t>７、残疾人保障金支出</w:t>
      </w:r>
      <w:r>
        <w:rPr>
          <w:rFonts w:ascii="Times New Roman" w:hAnsi="Times New Roman" w:eastAsia="仿宋" w:cs="Times New Roman"/>
          <w:sz w:val="28"/>
          <w:szCs w:val="28"/>
        </w:rPr>
        <w:t>3,654.15</w:t>
      </w:r>
      <w:r>
        <w:rPr>
          <w:rFonts w:hint="eastAsia" w:ascii="Times New Roman" w:hAnsi="Times New Roman" w:eastAsia="仿宋" w:cs="Times New Roman"/>
          <w:sz w:val="28"/>
          <w:szCs w:val="28"/>
        </w:rPr>
        <w:t>元。</w:t>
      </w:r>
    </w:p>
    <w:p>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八、前期经费收、支、结余变化情况</w:t>
      </w:r>
    </w:p>
    <w:p>
      <w:pPr>
        <w:spacing w:line="590" w:lineRule="exact"/>
        <w:ind w:firstLine="576"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截至审计日，协议期2022年9月4日至2023年9月3日的结余资金发生变动，具体情况如下：</w:t>
      </w:r>
    </w:p>
    <w:p>
      <w:pPr>
        <w:spacing w:line="590" w:lineRule="exact"/>
        <w:ind w:firstLine="576"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经评估，本评估期内收到该协议期服务经费</w:t>
      </w:r>
      <w:r>
        <w:rPr>
          <w:rFonts w:ascii="Times New Roman" w:hAnsi="Times New Roman" w:eastAsia="仿宋_GB2312" w:cs="Times New Roman"/>
          <w:spacing w:val="4"/>
          <w:sz w:val="28"/>
          <w:szCs w:val="28"/>
        </w:rPr>
        <w:t>422,050.00</w:t>
      </w:r>
      <w:r>
        <w:rPr>
          <w:rFonts w:hint="eastAsia" w:ascii="Times New Roman" w:hAnsi="Times New Roman" w:eastAsia="仿宋_GB2312" w:cs="Times New Roman"/>
          <w:spacing w:val="4"/>
          <w:sz w:val="28"/>
          <w:szCs w:val="28"/>
        </w:rPr>
        <w:t>元，累计已收到该协议期政府采购服务经费</w:t>
      </w:r>
      <w:bookmarkStart w:id="4" w:name="_Hlk136947536"/>
      <w:r>
        <w:rPr>
          <w:rFonts w:ascii="Times New Roman" w:hAnsi="Times New Roman" w:eastAsia="仿宋_GB2312" w:cs="Times New Roman"/>
          <w:spacing w:val="4"/>
          <w:sz w:val="28"/>
          <w:szCs w:val="28"/>
        </w:rPr>
        <w:t>2,400,000.00</w:t>
      </w:r>
      <w:r>
        <w:rPr>
          <w:rFonts w:hint="eastAsia" w:ascii="Times New Roman" w:hAnsi="Times New Roman" w:eastAsia="仿宋_GB2312" w:cs="Times New Roman"/>
          <w:spacing w:val="4"/>
          <w:sz w:val="28"/>
          <w:szCs w:val="28"/>
        </w:rPr>
        <w:t>元</w:t>
      </w:r>
      <w:bookmarkEnd w:id="4"/>
      <w:r>
        <w:rPr>
          <w:rFonts w:hint="eastAsia" w:ascii="Times New Roman" w:hAnsi="Times New Roman" w:eastAsia="仿宋_GB2312" w:cs="Times New Roman"/>
          <w:spacing w:val="4"/>
          <w:sz w:val="28"/>
          <w:szCs w:val="28"/>
        </w:rPr>
        <w:t>。本评估期内支付归属于该协议期支出</w:t>
      </w:r>
      <w:r>
        <w:rPr>
          <w:rFonts w:ascii="Times New Roman" w:hAnsi="Times New Roman" w:eastAsia="仿宋_GB2312" w:cs="Times New Roman"/>
          <w:spacing w:val="4"/>
          <w:sz w:val="28"/>
          <w:szCs w:val="28"/>
        </w:rPr>
        <w:t>25,290.05</w:t>
      </w:r>
      <w:r>
        <w:rPr>
          <w:rFonts w:hint="eastAsia" w:ascii="Times New Roman" w:hAnsi="Times New Roman" w:eastAsia="仿宋_GB2312" w:cs="Times New Roman"/>
          <w:spacing w:val="4"/>
          <w:sz w:val="28"/>
          <w:szCs w:val="28"/>
        </w:rPr>
        <w:t>元，为运营管理费用支出（本评估期收到该协议期服务经费</w:t>
      </w:r>
      <w:r>
        <w:rPr>
          <w:rFonts w:ascii="Times New Roman" w:hAnsi="Times New Roman" w:eastAsia="仿宋_GB2312" w:cs="Times New Roman"/>
          <w:spacing w:val="4"/>
          <w:sz w:val="28"/>
          <w:szCs w:val="28"/>
        </w:rPr>
        <w:t>422,050.00</w:t>
      </w:r>
      <w:r>
        <w:rPr>
          <w:rFonts w:hint="eastAsia" w:ascii="Times New Roman" w:hAnsi="Times New Roman" w:eastAsia="仿宋_GB2312" w:cs="Times New Roman"/>
          <w:spacing w:val="4"/>
          <w:sz w:val="28"/>
          <w:szCs w:val="28"/>
        </w:rPr>
        <w:t>元产生的税费）。</w:t>
      </w:r>
    </w:p>
    <w:p>
      <w:pPr>
        <w:spacing w:line="590" w:lineRule="exact"/>
        <w:ind w:firstLine="576" w:firstLineChars="200"/>
        <w:rPr>
          <w:rFonts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rPr>
        <w:t>调整后，第四年协议期累计收到服务经费</w:t>
      </w:r>
      <w:r>
        <w:rPr>
          <w:rFonts w:ascii="Times New Roman" w:hAnsi="Times New Roman" w:eastAsia="仿宋_GB2312" w:cs="Times New Roman"/>
          <w:spacing w:val="4"/>
          <w:sz w:val="28"/>
          <w:szCs w:val="28"/>
        </w:rPr>
        <w:t>2,400,000.00</w:t>
      </w:r>
      <w:r>
        <w:rPr>
          <w:rFonts w:hint="eastAsia" w:ascii="Times New Roman" w:hAnsi="Times New Roman" w:eastAsia="仿宋_GB2312" w:cs="Times New Roman"/>
          <w:spacing w:val="4"/>
          <w:sz w:val="28"/>
          <w:szCs w:val="28"/>
        </w:rPr>
        <w:t>元，累计支出</w:t>
      </w:r>
      <w:r>
        <w:rPr>
          <w:rFonts w:ascii="Times New Roman" w:hAnsi="Times New Roman" w:eastAsia="仿宋_GB2312" w:cs="Times New Roman"/>
          <w:spacing w:val="4"/>
          <w:sz w:val="28"/>
          <w:szCs w:val="28"/>
        </w:rPr>
        <w:t>2,665,471.89</w:t>
      </w:r>
      <w:r>
        <w:rPr>
          <w:rFonts w:hint="eastAsia" w:ascii="Times New Roman" w:hAnsi="Times New Roman" w:eastAsia="仿宋_GB2312" w:cs="Times New Roman"/>
          <w:spacing w:val="4"/>
          <w:sz w:val="28"/>
          <w:szCs w:val="28"/>
        </w:rPr>
        <w:t>元（已剔除运营管理费用超15%部分</w:t>
      </w:r>
      <w:r>
        <w:rPr>
          <w:rFonts w:ascii="Times New Roman" w:hAnsi="Times New Roman" w:eastAsia="仿宋_GB2312" w:cs="Times New Roman"/>
          <w:spacing w:val="4"/>
          <w:sz w:val="28"/>
          <w:szCs w:val="28"/>
        </w:rPr>
        <w:t>18,480.00</w:t>
      </w:r>
      <w:r>
        <w:rPr>
          <w:rFonts w:hint="eastAsia" w:ascii="Times New Roman" w:hAnsi="Times New Roman" w:eastAsia="仿宋_GB2312" w:cs="Times New Roman"/>
          <w:spacing w:val="4"/>
          <w:sz w:val="28"/>
          <w:szCs w:val="28"/>
        </w:rPr>
        <w:t>元），结余资金为</w:t>
      </w:r>
      <w:r>
        <w:rPr>
          <w:rFonts w:ascii="Times New Roman" w:hAnsi="Times New Roman" w:eastAsia="仿宋_GB2312" w:cs="Times New Roman"/>
          <w:spacing w:val="4"/>
          <w:sz w:val="28"/>
          <w:szCs w:val="28"/>
        </w:rPr>
        <w:t>-265,471.89</w:t>
      </w:r>
      <w:r>
        <w:rPr>
          <w:rFonts w:hint="eastAsia" w:ascii="Times New Roman" w:hAnsi="Times New Roman" w:eastAsia="仿宋_GB2312" w:cs="Times New Roman"/>
          <w:spacing w:val="4"/>
          <w:sz w:val="28"/>
          <w:szCs w:val="28"/>
        </w:rPr>
        <w:t>元。该协议期人员费用该协议期人员费用及服务质量保障费用支出占服务总经费的</w:t>
      </w:r>
      <w:r>
        <w:rPr>
          <w:rFonts w:ascii="Times New Roman" w:hAnsi="Times New Roman" w:eastAsia="仿宋_GB2312" w:cs="Times New Roman"/>
          <w:spacing w:val="4"/>
          <w:sz w:val="28"/>
          <w:szCs w:val="28"/>
        </w:rPr>
        <w:t>96.06%</w:t>
      </w:r>
      <w:r>
        <w:rPr>
          <w:rFonts w:hint="eastAsia" w:ascii="Times New Roman" w:hAnsi="Times New Roman" w:eastAsia="仿宋_GB2312" w:cs="Times New Roman"/>
          <w:spacing w:val="4"/>
          <w:sz w:val="28"/>
          <w:szCs w:val="28"/>
        </w:rPr>
        <w:t>（其中人员费用占服务总经费的</w:t>
      </w:r>
      <w:r>
        <w:rPr>
          <w:rFonts w:ascii="Times New Roman" w:hAnsi="Times New Roman" w:eastAsia="仿宋_GB2312" w:cs="Times New Roman"/>
          <w:spacing w:val="4"/>
          <w:sz w:val="28"/>
          <w:szCs w:val="28"/>
        </w:rPr>
        <w:t>87.33%</w:t>
      </w:r>
      <w:r>
        <w:rPr>
          <w:rFonts w:hint="eastAsia" w:ascii="Times New Roman" w:hAnsi="Times New Roman" w:eastAsia="仿宋_GB2312" w:cs="Times New Roman"/>
          <w:spacing w:val="4"/>
          <w:sz w:val="28"/>
          <w:szCs w:val="28"/>
        </w:rPr>
        <w:t>），运营管理费用支出占服务总经费的</w:t>
      </w:r>
      <w:r>
        <w:rPr>
          <w:rFonts w:ascii="Times New Roman" w:hAnsi="Times New Roman" w:eastAsia="仿宋_GB2312" w:cs="Times New Roman"/>
          <w:spacing w:val="4"/>
          <w:sz w:val="28"/>
          <w:szCs w:val="28"/>
        </w:rPr>
        <w:t>15.00%</w:t>
      </w:r>
      <w:r>
        <w:rPr>
          <w:rFonts w:hint="eastAsia" w:ascii="Times New Roman" w:hAnsi="Times New Roman" w:eastAsia="仿宋_GB2312" w:cs="Times New Roman"/>
          <w:spacing w:val="4"/>
          <w:sz w:val="28"/>
          <w:szCs w:val="28"/>
        </w:rPr>
        <w:t>。</w:t>
      </w:r>
    </w:p>
    <w:p>
      <w:pPr>
        <w:spacing w:line="590" w:lineRule="exact"/>
        <w:ind w:right="-569" w:rightChars="-271"/>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九</w:t>
      </w:r>
      <w:r>
        <w:rPr>
          <w:rFonts w:ascii="Times New Roman" w:hAnsi="Times New Roman" w:eastAsia="仿宋_GB2312" w:cs="Times New Roman"/>
          <w:b/>
          <w:sz w:val="28"/>
          <w:szCs w:val="28"/>
        </w:rPr>
        <w:t>、累计结余情况（</w:t>
      </w:r>
      <w:r>
        <w:rPr>
          <w:rFonts w:hint="eastAsia" w:ascii="Times New Roman" w:hAnsi="Times New Roman" w:eastAsia="仿宋_GB2312" w:cs="Times New Roman"/>
          <w:b/>
          <w:sz w:val="28"/>
          <w:szCs w:val="28"/>
        </w:rPr>
        <w:t>2019年11月15日至2024年8月14日</w:t>
      </w:r>
      <w:r>
        <w:rPr>
          <w:rFonts w:ascii="Times New Roman" w:hAnsi="Times New Roman" w:eastAsia="仿宋_GB2312" w:cs="Times New Roman"/>
          <w:b/>
          <w:sz w:val="28"/>
          <w:szCs w:val="28"/>
        </w:rPr>
        <w:t>）</w:t>
      </w:r>
    </w:p>
    <w:p>
      <w:pPr>
        <w:spacing w:line="59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业会专审[2024]029号</w:t>
      </w:r>
      <w:r>
        <w:rPr>
          <w:rFonts w:ascii="Times New Roman" w:hAnsi="Times New Roman" w:eastAsia="仿宋_GB2312" w:cs="Times New Roman"/>
          <w:sz w:val="28"/>
          <w:szCs w:val="28"/>
        </w:rPr>
        <w:t>”财务管理情况评估报告及本次</w:t>
      </w:r>
      <w:r>
        <w:rPr>
          <w:rFonts w:hint="eastAsia" w:ascii="Times New Roman" w:hAnsi="Times New Roman" w:eastAsia="仿宋_GB2312" w:cs="Times New Roman"/>
          <w:sz w:val="28"/>
          <w:szCs w:val="28"/>
        </w:rPr>
        <w:t>2024年3月4日至</w:t>
      </w:r>
      <w:bookmarkStart w:id="5" w:name="_Hlk179905828"/>
      <w:r>
        <w:rPr>
          <w:rFonts w:hint="eastAsia" w:ascii="Times New Roman" w:hAnsi="Times New Roman" w:eastAsia="仿宋_GB2312" w:cs="Times New Roman"/>
          <w:sz w:val="28"/>
          <w:szCs w:val="28"/>
        </w:rPr>
        <w:t>2024年8月14日</w:t>
      </w:r>
      <w:bookmarkEnd w:id="5"/>
      <w:r>
        <w:rPr>
          <w:rFonts w:ascii="Times New Roman" w:hAnsi="Times New Roman" w:eastAsia="仿宋_GB2312" w:cs="Times New Roman"/>
          <w:sz w:val="28"/>
          <w:szCs w:val="28"/>
        </w:rPr>
        <w:t>财务管理评估情况，</w:t>
      </w:r>
      <w:r>
        <w:rPr>
          <w:rFonts w:hint="eastAsia" w:ascii="Times New Roman" w:hAnsi="Times New Roman" w:eastAsia="仿宋_GB2312" w:cs="Times New Roman"/>
          <w:color w:val="000000" w:themeColor="text1"/>
          <w:sz w:val="28"/>
          <w:szCs w:val="28"/>
          <w14:textFill>
            <w14:solidFill>
              <w14:schemeClr w14:val="tx1"/>
            </w14:solidFill>
          </w14:textFill>
        </w:rPr>
        <w:t>自2019年11月15日起至2024年8月14日</w:t>
      </w:r>
      <w:r>
        <w:rPr>
          <w:rFonts w:ascii="Times New Roman" w:hAnsi="Times New Roman" w:eastAsia="仿宋_GB2312" w:cs="Times New Roman"/>
          <w:sz w:val="28"/>
          <w:szCs w:val="28"/>
        </w:rPr>
        <w:t>，</w:t>
      </w:r>
      <w:r>
        <w:rPr>
          <w:rFonts w:hint="eastAsia" w:ascii="Times New Roman" w:hAnsi="Times New Roman" w:eastAsia="仿宋_GB2312" w:cs="Times New Roman"/>
          <w:color w:val="000000" w:themeColor="text1"/>
          <w:sz w:val="28"/>
          <w:szCs w:val="28"/>
          <w14:textFill>
            <w14:solidFill>
              <w14:schemeClr w14:val="tx1"/>
            </w14:solidFill>
          </w14:textFill>
        </w:rPr>
        <w:t>小谷围社工站</w:t>
      </w:r>
      <w:r>
        <w:rPr>
          <w:rFonts w:ascii="Times New Roman" w:hAnsi="Times New Roman" w:eastAsia="仿宋_GB2312" w:cs="Times New Roman"/>
          <w:sz w:val="28"/>
          <w:szCs w:val="28"/>
        </w:rPr>
        <w:t>服务经费累计结余50,392.51。具体每期结余情况如下：</w:t>
      </w:r>
    </w:p>
    <w:p>
      <w:pPr>
        <w:spacing w:line="58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2019年11月15日至2024年8月14日为小谷围社工站的四年九个月服务周期，其中：</w:t>
      </w:r>
    </w:p>
    <w:p>
      <w:pPr>
        <w:spacing w:line="58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第一年协议期2019年11月15日至2020年8月14日，结余资金569,317.54元。</w:t>
      </w:r>
    </w:p>
    <w:p>
      <w:pPr>
        <w:spacing w:line="58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第二年协议期2020年8月15日至2021年8月14日，结余资金-80,281.31元。</w:t>
      </w:r>
    </w:p>
    <w:p>
      <w:pPr>
        <w:spacing w:line="58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第三年协议期2021年8月15日至2022年9月3日，结余资金-73,120.79元。</w:t>
      </w:r>
    </w:p>
    <w:p>
      <w:pPr>
        <w:spacing w:line="58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第四年协议期2022年9月4日至2023年9月3日结余资金由-680,711.84元调整为</w:t>
      </w:r>
      <w:r>
        <w:rPr>
          <w:rFonts w:ascii="Times New Roman" w:hAnsi="Times New Roman" w:eastAsia="仿宋_GB2312"/>
          <w:color w:val="000000" w:themeColor="text1"/>
          <w:spacing w:val="-8"/>
          <w:sz w:val="28"/>
          <w:szCs w:val="28"/>
          <w14:textFill>
            <w14:solidFill>
              <w14:schemeClr w14:val="tx1"/>
            </w14:solidFill>
          </w14:textFill>
        </w:rPr>
        <w:t>-265,471.89</w:t>
      </w:r>
      <w:r>
        <w:rPr>
          <w:rFonts w:hint="eastAsia" w:ascii="Times New Roman" w:hAnsi="Times New Roman" w:eastAsia="仿宋_GB2312"/>
          <w:color w:val="000000" w:themeColor="text1"/>
          <w:spacing w:val="-8"/>
          <w:sz w:val="28"/>
          <w:szCs w:val="28"/>
          <w14:textFill>
            <w14:solidFill>
              <w14:schemeClr w14:val="tx1"/>
            </w14:solidFill>
          </w14:textFill>
        </w:rPr>
        <w:t>元（调整原因详见本报告第八点、前期经费收、支、结余变化情况）。</w:t>
      </w:r>
    </w:p>
    <w:p>
      <w:pPr>
        <w:spacing w:line="580" w:lineRule="exact"/>
        <w:ind w:firstLine="528" w:firstLineChars="200"/>
        <w:rPr>
          <w:rFonts w:ascii="Times New Roman" w:hAnsi="Times New Roman" w:eastAsia="仿宋_GB2312" w:cs="Times New Roman"/>
          <w:spacing w:val="-6"/>
          <w:sz w:val="28"/>
          <w:szCs w:val="28"/>
        </w:rPr>
      </w:pPr>
      <w:r>
        <w:rPr>
          <w:rFonts w:hint="eastAsia" w:ascii="Times New Roman" w:hAnsi="Times New Roman" w:eastAsia="仿宋_GB2312"/>
          <w:color w:val="000000" w:themeColor="text1"/>
          <w:spacing w:val="-8"/>
          <w:sz w:val="28"/>
          <w:szCs w:val="28"/>
          <w14:textFill>
            <w14:solidFill>
              <w14:schemeClr w14:val="tx1"/>
            </w14:solidFill>
          </w14:textFill>
        </w:rPr>
        <w:t>第五年协议期2023年9月4日至2024年8月14日，结余金额</w:t>
      </w:r>
      <w:r>
        <w:rPr>
          <w:rFonts w:ascii="Times New Roman" w:hAnsi="Times New Roman" w:eastAsia="仿宋_GB2312"/>
          <w:color w:val="000000" w:themeColor="text1"/>
          <w:spacing w:val="-8"/>
          <w:sz w:val="28"/>
          <w:szCs w:val="28"/>
          <w14:textFill>
            <w14:solidFill>
              <w14:schemeClr w14:val="tx1"/>
            </w14:solidFill>
          </w14:textFill>
        </w:rPr>
        <w:t>-100,051.04</w:t>
      </w:r>
      <w:r>
        <w:rPr>
          <w:rFonts w:hint="eastAsia" w:ascii="Times New Roman" w:hAnsi="Times New Roman" w:eastAsia="仿宋_GB2312"/>
          <w:color w:val="000000" w:themeColor="text1"/>
          <w:spacing w:val="-8"/>
          <w:sz w:val="28"/>
          <w:szCs w:val="28"/>
          <w14:textFill>
            <w14:solidFill>
              <w14:schemeClr w14:val="tx1"/>
            </w14:solidFill>
          </w14:textFill>
        </w:rPr>
        <w:t>元（不含未拨</w:t>
      </w:r>
      <w:r>
        <w:rPr>
          <w:rFonts w:hint="eastAsia" w:ascii="Times New Roman" w:hAnsi="Times New Roman" w:eastAsia="仿宋_GB2312"/>
          <w:spacing w:val="-8"/>
          <w:sz w:val="28"/>
          <w:szCs w:val="28"/>
        </w:rPr>
        <w:t>入经费</w:t>
      </w:r>
      <w:r>
        <w:rPr>
          <w:rFonts w:ascii="Times New Roman" w:hAnsi="Times New Roman" w:eastAsia="仿宋_GB2312"/>
          <w:spacing w:val="-8"/>
          <w:sz w:val="28"/>
          <w:szCs w:val="28"/>
        </w:rPr>
        <w:t>113,500.00</w:t>
      </w:r>
      <w:r>
        <w:rPr>
          <w:rFonts w:hint="eastAsia" w:ascii="Times New Roman" w:hAnsi="Times New Roman" w:eastAsia="仿宋_GB2312"/>
          <w:spacing w:val="-8"/>
          <w:sz w:val="28"/>
          <w:szCs w:val="28"/>
        </w:rPr>
        <w:t>元）。</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十、评估结论</w:t>
      </w:r>
    </w:p>
    <w:p>
      <w:pPr>
        <w:spacing w:line="5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经上述审核，我们认为</w:t>
      </w:r>
      <w:r>
        <w:rPr>
          <w:rFonts w:hint="eastAsia" w:ascii="Times New Roman" w:hAnsi="Times New Roman" w:eastAsia="仿宋_GB2312" w:cs="Times New Roman"/>
          <w:sz w:val="28"/>
          <w:szCs w:val="28"/>
        </w:rPr>
        <w:t>广州市番禺区小谷围街社工服务站</w:t>
      </w:r>
      <w:r>
        <w:rPr>
          <w:rFonts w:ascii="Times New Roman" w:hAnsi="Times New Roman" w:eastAsia="仿宋_GB2312" w:cs="Times New Roman"/>
          <w:sz w:val="28"/>
          <w:szCs w:val="28"/>
        </w:rPr>
        <w:t>本次财务评估等级为：合格。</w:t>
      </w:r>
    </w:p>
    <w:p>
      <w:pPr>
        <w:spacing w:line="580" w:lineRule="exact"/>
        <w:ind w:right="-569" w:rightChars="-271"/>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十</w:t>
      </w:r>
      <w:r>
        <w:rPr>
          <w:rFonts w:hint="eastAsia" w:ascii="Times New Roman" w:hAnsi="Times New Roman" w:eastAsia="仿宋_GB2312" w:cs="Times New Roman"/>
          <w:b/>
          <w:sz w:val="28"/>
          <w:szCs w:val="28"/>
        </w:rPr>
        <w:t>一</w:t>
      </w:r>
      <w:r>
        <w:rPr>
          <w:rFonts w:ascii="Times New Roman" w:hAnsi="Times New Roman" w:eastAsia="仿宋_GB2312" w:cs="Times New Roman"/>
          <w:b/>
          <w:sz w:val="28"/>
          <w:szCs w:val="28"/>
        </w:rPr>
        <w:t>、其他事项</w:t>
      </w:r>
    </w:p>
    <w:p>
      <w:pPr>
        <w:spacing w:line="5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本报告仅供本次委托目的，即对</w:t>
      </w:r>
      <w:r>
        <w:rPr>
          <w:rFonts w:hint="eastAsia" w:ascii="Times New Roman" w:hAnsi="Times New Roman" w:eastAsia="仿宋_GB2312" w:cs="Times New Roman"/>
          <w:sz w:val="28"/>
          <w:szCs w:val="28"/>
        </w:rPr>
        <w:t>小谷围社工站</w:t>
      </w:r>
      <w:r>
        <w:rPr>
          <w:rFonts w:ascii="Times New Roman" w:hAnsi="Times New Roman" w:eastAsia="仿宋" w:cs="Times New Roman"/>
          <w:sz w:val="28"/>
          <w:szCs w:val="28"/>
        </w:rPr>
        <w:t>财务评估使用，本事务所及本注册会计师不对运用本报告于其他目的造成的经济后果负责。</w:t>
      </w:r>
    </w:p>
    <w:p>
      <w:pPr>
        <w:spacing w:line="580" w:lineRule="exact"/>
        <w:ind w:firstLine="560" w:firstLineChars="200"/>
        <w:rPr>
          <w:rFonts w:ascii="Times New Roman" w:hAnsi="Times New Roman" w:eastAsia="仿宋" w:cs="Times New Roman"/>
          <w:sz w:val="28"/>
          <w:szCs w:val="28"/>
        </w:rPr>
      </w:pPr>
    </w:p>
    <w:p>
      <w:pPr>
        <w:spacing w:line="580" w:lineRule="exact"/>
        <w:ind w:firstLine="440" w:firstLineChars="200"/>
        <w:rPr>
          <w:rFonts w:ascii="Times New Roman" w:hAnsi="Times New Roman" w:eastAsia="仿宋_GB2312" w:cs="Times New Roman"/>
          <w:sz w:val="22"/>
          <w:szCs w:val="28"/>
        </w:rPr>
      </w:pPr>
    </w:p>
    <w:p>
      <w:pPr>
        <w:spacing w:line="580" w:lineRule="exact"/>
        <w:ind w:firstLine="440" w:firstLineChars="200"/>
        <w:rPr>
          <w:rFonts w:ascii="Times New Roman" w:hAnsi="Times New Roman" w:eastAsia="仿宋_GB2312" w:cs="Times New Roman"/>
          <w:sz w:val="22"/>
          <w:szCs w:val="28"/>
        </w:rPr>
      </w:pPr>
    </w:p>
    <w:tbl>
      <w:tblPr>
        <w:tblStyle w:val="7"/>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rPr>
          <w:trHeight w:val="1511" w:hRule="atLeast"/>
        </w:trPr>
        <w:tc>
          <w:tcPr>
            <w:tcW w:w="4482" w:type="dxa"/>
          </w:tcPr>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30"/>
                <w14:textFill>
                  <w14:solidFill>
                    <w14:schemeClr w14:val="tx1"/>
                  </w14:solidFill>
                </w14:textFill>
              </w:rPr>
              <w:t>广州业勤会计师事务所有限公司</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jc w:val="center"/>
              <w:rPr>
                <w:rFonts w:ascii="Times New Roman" w:hAnsi="Times New Roman" w:eastAsia="华文新魏"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广州·番禺</w:t>
            </w:r>
          </w:p>
          <w:p>
            <w:pPr>
              <w:spacing w:line="320" w:lineRule="exact"/>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jc w:val="center"/>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二</w:t>
            </w:r>
            <w:r>
              <w:rPr>
                <w:rFonts w:hint="eastAsia" w:ascii="宋体" w:hAnsi="宋体" w:eastAsia="宋体" w:cs="宋体"/>
                <w:b/>
                <w:color w:val="000000" w:themeColor="text1"/>
                <w:sz w:val="28"/>
                <w14:textFill>
                  <w14:solidFill>
                    <w14:schemeClr w14:val="tx1"/>
                  </w14:solidFill>
                </w14:textFill>
              </w:rPr>
              <w:t>〇</w:t>
            </w:r>
            <w:r>
              <w:rPr>
                <w:rFonts w:ascii="Times New Roman" w:hAnsi="Times New Roman" w:eastAsia="华文新魏" w:cs="Times New Roman"/>
                <w:b/>
                <w:color w:val="000000" w:themeColor="text1"/>
                <w:sz w:val="28"/>
                <w14:textFill>
                  <w14:solidFill>
                    <w14:schemeClr w14:val="tx1"/>
                  </w14:solidFill>
                </w14:textFill>
              </w:rPr>
              <w:t>二</w:t>
            </w:r>
            <w:r>
              <w:rPr>
                <w:rFonts w:hint="eastAsia" w:ascii="Times New Roman" w:hAnsi="Times New Roman" w:eastAsia="华文新魏" w:cs="Times New Roman"/>
                <w:b/>
                <w:color w:val="000000" w:themeColor="text1"/>
                <w:sz w:val="28"/>
                <w14:textFill>
                  <w14:solidFill>
                    <w14:schemeClr w14:val="tx1"/>
                  </w14:solidFill>
                </w14:textFill>
              </w:rPr>
              <w:t>四</w:t>
            </w:r>
            <w:r>
              <w:rPr>
                <w:rFonts w:ascii="Times New Roman" w:hAnsi="Times New Roman" w:eastAsia="华文新魏" w:cs="Times New Roman"/>
                <w:b/>
                <w:color w:val="000000" w:themeColor="text1"/>
                <w:sz w:val="28"/>
                <w14:textFill>
                  <w14:solidFill>
                    <w14:schemeClr w14:val="tx1"/>
                  </w14:solidFill>
                </w14:textFill>
              </w:rPr>
              <w:t>年</w:t>
            </w:r>
            <w:r>
              <w:rPr>
                <w:rFonts w:hint="eastAsia" w:ascii="Times New Roman" w:hAnsi="Times New Roman" w:eastAsia="华文新魏" w:cs="Times New Roman"/>
                <w:b/>
                <w:color w:val="000000" w:themeColor="text1"/>
                <w:sz w:val="28"/>
                <w14:textFill>
                  <w14:solidFill>
                    <w14:schemeClr w14:val="tx1"/>
                  </w14:solidFill>
                </w14:textFill>
              </w:rPr>
              <w:t>十</w:t>
            </w:r>
            <w:r>
              <w:rPr>
                <w:rFonts w:ascii="Times New Roman" w:hAnsi="Times New Roman" w:eastAsia="华文新魏" w:cs="Times New Roman"/>
                <w:b/>
                <w:color w:val="000000" w:themeColor="text1"/>
                <w:sz w:val="28"/>
                <w14:textFill>
                  <w14:solidFill>
                    <w14:schemeClr w14:val="tx1"/>
                  </w14:solidFill>
                </w14:textFill>
              </w:rPr>
              <w:t>月</w:t>
            </w:r>
            <w:r>
              <w:rPr>
                <w:rFonts w:hint="eastAsia" w:ascii="Times New Roman" w:hAnsi="Times New Roman" w:eastAsia="华文新魏" w:cs="Times New Roman"/>
                <w:b/>
                <w:color w:val="000000" w:themeColor="text1"/>
                <w:sz w:val="28"/>
                <w14:textFill>
                  <w14:solidFill>
                    <w14:schemeClr w14:val="tx1"/>
                  </w14:solidFill>
                </w14:textFill>
              </w:rPr>
              <w:t>十七</w:t>
            </w:r>
            <w:r>
              <w:rPr>
                <w:rFonts w:ascii="Times New Roman" w:hAnsi="Times New Roman" w:eastAsia="华文新魏" w:cs="Times New Roman"/>
                <w:b/>
                <w:color w:val="000000" w:themeColor="text1"/>
                <w:sz w:val="28"/>
                <w14:textFill>
                  <w14:solidFill>
                    <w14:schemeClr w14:val="tx1"/>
                  </w14:solidFill>
                </w14:textFill>
              </w:rPr>
              <w:t>日</w:t>
            </w:r>
          </w:p>
        </w:tc>
        <w:tc>
          <w:tcPr>
            <w:tcW w:w="246" w:type="dxa"/>
          </w:tcPr>
          <w:p>
            <w:pPr>
              <w:spacing w:line="560" w:lineRule="exact"/>
              <w:ind w:right="-6"/>
              <w:rPr>
                <w:rFonts w:ascii="Times New Roman" w:hAnsi="Times New Roman" w:eastAsia="华文新魏" w:cs="Times New Roman"/>
                <w:sz w:val="28"/>
                <w:szCs w:val="28"/>
              </w:rPr>
            </w:pPr>
          </w:p>
        </w:tc>
        <w:tc>
          <w:tcPr>
            <w:tcW w:w="4618" w:type="dxa"/>
          </w:tcPr>
          <w:p>
            <w:pPr>
              <w:spacing w:line="320" w:lineRule="exact"/>
              <w:rPr>
                <w:rFonts w:ascii="Times New Roman" w:hAnsi="Times New Roman" w:cs="Times New Roman"/>
                <w:b/>
                <w:color w:val="000000" w:themeColor="text1"/>
                <w:sz w:val="30"/>
                <w14:textFill>
                  <w14:solidFill>
                    <w14:schemeClr w14:val="tx1"/>
                  </w14:solidFill>
                </w14:textFill>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28"/>
                <w:szCs w:val="28"/>
                <w14:textFill>
                  <w14:solidFill>
                    <w14:schemeClr w14:val="tx1"/>
                  </w14:solidFill>
                </w14:textFill>
              </w:rPr>
            </w:pPr>
            <w:r>
              <w:rPr>
                <w:rFonts w:ascii="Times New Roman" w:hAnsi="Times New Roman" w:eastAsia="仿宋" w:cs="Times New Roman"/>
                <w:b/>
                <w:color w:val="000000" w:themeColor="text1"/>
                <w:sz w:val="28"/>
                <w:szCs w:val="28"/>
                <w14:textFill>
                  <w14:solidFill>
                    <w14:schemeClr w14:val="tx1"/>
                  </w14:solidFill>
                </w14:textFill>
              </w:rPr>
              <w:t>（</w:t>
            </w:r>
            <w:r>
              <w:rPr>
                <w:rFonts w:ascii="Times New Roman" w:hAnsi="Times New Roman" w:eastAsia="华文新魏" w:cs="Times New Roman"/>
                <w:b/>
                <w:color w:val="000000" w:themeColor="text1"/>
                <w:sz w:val="28"/>
                <w:szCs w:val="28"/>
                <w14:textFill>
                  <w14:solidFill>
                    <w14:schemeClr w14:val="tx1"/>
                  </w14:solidFill>
                </w14:textFill>
              </w:rPr>
              <w:t>项目负责人</w:t>
            </w:r>
            <w:r>
              <w:rPr>
                <w:rFonts w:ascii="Times New Roman" w:hAnsi="Times New Roman" w:eastAsia="仿宋" w:cs="Times New Roman"/>
                <w:b/>
                <w:color w:val="000000" w:themeColor="text1"/>
                <w:sz w:val="28"/>
                <w:szCs w:val="28"/>
                <w14:textFill>
                  <w14:solidFill>
                    <w14:schemeClr w14:val="tx1"/>
                  </w14:solidFill>
                </w14:textFill>
              </w:rPr>
              <w:t>）</w:t>
            </w:r>
          </w:p>
          <w:p>
            <w:pPr>
              <w:spacing w:line="320" w:lineRule="exact"/>
              <w:ind w:left="3513" w:hanging="3512"/>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left="84"/>
              <w:rPr>
                <w:rFonts w:ascii="Times New Roman" w:hAnsi="Times New Roman" w:eastAsia="华文新魏" w:cs="Times New Roman"/>
                <w:b/>
                <w:color w:val="000000" w:themeColor="text1"/>
                <w:sz w:val="30"/>
                <w14:textFill>
                  <w14:solidFill>
                    <w14:schemeClr w14:val="tx1"/>
                  </w14:solidFill>
                </w14:textFill>
              </w:rPr>
            </w:pPr>
          </w:p>
          <w:p>
            <w:pPr>
              <w:spacing w:line="320" w:lineRule="exact"/>
              <w:ind w:right="-6"/>
              <w:rPr>
                <w:rFonts w:ascii="Times New Roman" w:hAnsi="Times New Roman" w:eastAsia="华文新魏" w:cs="Times New Roman"/>
                <w:sz w:val="28"/>
                <w:szCs w:val="28"/>
              </w:rPr>
            </w:pPr>
            <w:r>
              <w:rPr>
                <w:rFonts w:ascii="Times New Roman" w:hAnsi="Times New Roman" w:eastAsia="华文新魏" w:cs="Times New Roman"/>
                <w:b/>
                <w:color w:val="000000" w:themeColor="text1"/>
                <w:sz w:val="28"/>
                <w14:textFill>
                  <w14:solidFill>
                    <w14:schemeClr w14:val="tx1"/>
                  </w14:solidFill>
                </w14:textFill>
              </w:rPr>
              <w:t>中国注册会计师</w:t>
            </w:r>
            <w:r>
              <w:rPr>
                <w:rFonts w:ascii="Times New Roman" w:hAnsi="Times New Roman" w:cs="Times New Roman"/>
                <w:b/>
                <w:color w:val="000000" w:themeColor="text1"/>
                <w:sz w:val="30"/>
                <w14:textFill>
                  <w14:solidFill>
                    <w14:schemeClr w14:val="tx1"/>
                  </w14:solidFill>
                </w14:textFill>
              </w:rPr>
              <w:t>：</w:t>
            </w:r>
          </w:p>
        </w:tc>
      </w:tr>
    </w:tbl>
    <w:p>
      <w:pPr>
        <w:spacing w:line="20" w:lineRule="exact"/>
        <w:rPr>
          <w:rFonts w:ascii="Times New Roman" w:hAnsi="Times New Roman" w:eastAsia="仿宋_GB2312" w:cs="Times New Roman"/>
          <w:sz w:val="28"/>
          <w:szCs w:val="28"/>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公文小&lt;">
    <w:panose1 w:val="02010609010101010101"/>
    <w:charset w:val="86"/>
    <w:family w:val="auto"/>
    <w:pitch w:val="default"/>
    <w:sig w:usb0="00000000" w:usb1="00000000" w:usb2="00000000" w:usb3="00000000" w:csb0="20160004" w:csb1="001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991162"/>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380C"/>
    <w:rsid w:val="00006946"/>
    <w:rsid w:val="00010BDE"/>
    <w:rsid w:val="00012500"/>
    <w:rsid w:val="00013248"/>
    <w:rsid w:val="000159B7"/>
    <w:rsid w:val="00015B74"/>
    <w:rsid w:val="00031879"/>
    <w:rsid w:val="00036EC4"/>
    <w:rsid w:val="00043252"/>
    <w:rsid w:val="00046C3F"/>
    <w:rsid w:val="0005317D"/>
    <w:rsid w:val="00062B39"/>
    <w:rsid w:val="0007054A"/>
    <w:rsid w:val="000705E1"/>
    <w:rsid w:val="00070D72"/>
    <w:rsid w:val="000737BD"/>
    <w:rsid w:val="00082C00"/>
    <w:rsid w:val="000877CC"/>
    <w:rsid w:val="000909F2"/>
    <w:rsid w:val="00092A58"/>
    <w:rsid w:val="000931EE"/>
    <w:rsid w:val="000A330F"/>
    <w:rsid w:val="000A75B2"/>
    <w:rsid w:val="000B0C99"/>
    <w:rsid w:val="000C1F1B"/>
    <w:rsid w:val="000C5EB3"/>
    <w:rsid w:val="000C7546"/>
    <w:rsid w:val="000D13DD"/>
    <w:rsid w:val="000D1FDB"/>
    <w:rsid w:val="000D4295"/>
    <w:rsid w:val="000D4C35"/>
    <w:rsid w:val="000E1815"/>
    <w:rsid w:val="000F322D"/>
    <w:rsid w:val="000F3F46"/>
    <w:rsid w:val="000F45B6"/>
    <w:rsid w:val="000F74B6"/>
    <w:rsid w:val="00120555"/>
    <w:rsid w:val="00121C69"/>
    <w:rsid w:val="0012230B"/>
    <w:rsid w:val="0013380D"/>
    <w:rsid w:val="001363B7"/>
    <w:rsid w:val="00154457"/>
    <w:rsid w:val="001555FC"/>
    <w:rsid w:val="00157670"/>
    <w:rsid w:val="001707CA"/>
    <w:rsid w:val="00193221"/>
    <w:rsid w:val="001A28F1"/>
    <w:rsid w:val="001A4760"/>
    <w:rsid w:val="001B4A1D"/>
    <w:rsid w:val="001C151B"/>
    <w:rsid w:val="001C60E4"/>
    <w:rsid w:val="001D5008"/>
    <w:rsid w:val="001E0EE1"/>
    <w:rsid w:val="001E1963"/>
    <w:rsid w:val="001E1F85"/>
    <w:rsid w:val="001E6171"/>
    <w:rsid w:val="001F08D5"/>
    <w:rsid w:val="001F73F7"/>
    <w:rsid w:val="002006E8"/>
    <w:rsid w:val="00210220"/>
    <w:rsid w:val="00216618"/>
    <w:rsid w:val="00221B8F"/>
    <w:rsid w:val="0022377A"/>
    <w:rsid w:val="0022690C"/>
    <w:rsid w:val="00230B88"/>
    <w:rsid w:val="00234439"/>
    <w:rsid w:val="00234F33"/>
    <w:rsid w:val="0023709F"/>
    <w:rsid w:val="0024371A"/>
    <w:rsid w:val="00243EB3"/>
    <w:rsid w:val="00245153"/>
    <w:rsid w:val="002557D3"/>
    <w:rsid w:val="00260FCC"/>
    <w:rsid w:val="002618A7"/>
    <w:rsid w:val="00261B70"/>
    <w:rsid w:val="00261C13"/>
    <w:rsid w:val="00262B80"/>
    <w:rsid w:val="0027231E"/>
    <w:rsid w:val="00273BCE"/>
    <w:rsid w:val="00282B1E"/>
    <w:rsid w:val="00285604"/>
    <w:rsid w:val="00286EAF"/>
    <w:rsid w:val="00287338"/>
    <w:rsid w:val="00287778"/>
    <w:rsid w:val="002907F9"/>
    <w:rsid w:val="002915D7"/>
    <w:rsid w:val="00292DA9"/>
    <w:rsid w:val="002A207D"/>
    <w:rsid w:val="002A6087"/>
    <w:rsid w:val="002B7AD5"/>
    <w:rsid w:val="002B7B76"/>
    <w:rsid w:val="002C4DFA"/>
    <w:rsid w:val="002C59A5"/>
    <w:rsid w:val="002D313E"/>
    <w:rsid w:val="002D612F"/>
    <w:rsid w:val="002E1842"/>
    <w:rsid w:val="002E3398"/>
    <w:rsid w:val="002E4330"/>
    <w:rsid w:val="002E4695"/>
    <w:rsid w:val="002F16C4"/>
    <w:rsid w:val="002F241A"/>
    <w:rsid w:val="002F4C38"/>
    <w:rsid w:val="002F5421"/>
    <w:rsid w:val="0030183E"/>
    <w:rsid w:val="00306805"/>
    <w:rsid w:val="0030788D"/>
    <w:rsid w:val="00314D30"/>
    <w:rsid w:val="00331E74"/>
    <w:rsid w:val="003327FC"/>
    <w:rsid w:val="00332C2E"/>
    <w:rsid w:val="0033395A"/>
    <w:rsid w:val="00333A70"/>
    <w:rsid w:val="00341923"/>
    <w:rsid w:val="00341D2A"/>
    <w:rsid w:val="00341EFE"/>
    <w:rsid w:val="0034361B"/>
    <w:rsid w:val="003460CE"/>
    <w:rsid w:val="003475FE"/>
    <w:rsid w:val="003542A6"/>
    <w:rsid w:val="00354454"/>
    <w:rsid w:val="003557CD"/>
    <w:rsid w:val="003607E2"/>
    <w:rsid w:val="00364A12"/>
    <w:rsid w:val="00377534"/>
    <w:rsid w:val="00377B7E"/>
    <w:rsid w:val="003808E9"/>
    <w:rsid w:val="003832E2"/>
    <w:rsid w:val="0038409B"/>
    <w:rsid w:val="003858E5"/>
    <w:rsid w:val="00390BCD"/>
    <w:rsid w:val="003A0B20"/>
    <w:rsid w:val="003A2E84"/>
    <w:rsid w:val="003A57F0"/>
    <w:rsid w:val="003B4E86"/>
    <w:rsid w:val="003C702E"/>
    <w:rsid w:val="003D0B93"/>
    <w:rsid w:val="003D168D"/>
    <w:rsid w:val="003D4230"/>
    <w:rsid w:val="003E16DC"/>
    <w:rsid w:val="003E43EB"/>
    <w:rsid w:val="003E53B0"/>
    <w:rsid w:val="003F7ED0"/>
    <w:rsid w:val="00400901"/>
    <w:rsid w:val="00400E2F"/>
    <w:rsid w:val="00412430"/>
    <w:rsid w:val="00415036"/>
    <w:rsid w:val="004165DF"/>
    <w:rsid w:val="00433629"/>
    <w:rsid w:val="00434BC3"/>
    <w:rsid w:val="004364BD"/>
    <w:rsid w:val="0044096F"/>
    <w:rsid w:val="00444DAA"/>
    <w:rsid w:val="00446BB1"/>
    <w:rsid w:val="004542EB"/>
    <w:rsid w:val="00456A81"/>
    <w:rsid w:val="00462BC0"/>
    <w:rsid w:val="00462ED0"/>
    <w:rsid w:val="004634CF"/>
    <w:rsid w:val="00472018"/>
    <w:rsid w:val="0047423C"/>
    <w:rsid w:val="004802B6"/>
    <w:rsid w:val="00480B95"/>
    <w:rsid w:val="00485C30"/>
    <w:rsid w:val="00491AAE"/>
    <w:rsid w:val="004A4F80"/>
    <w:rsid w:val="004B0616"/>
    <w:rsid w:val="004B0E3B"/>
    <w:rsid w:val="004B28C9"/>
    <w:rsid w:val="004B4FAD"/>
    <w:rsid w:val="004B5997"/>
    <w:rsid w:val="004B6FBD"/>
    <w:rsid w:val="004B7F45"/>
    <w:rsid w:val="004C0C70"/>
    <w:rsid w:val="004C47F4"/>
    <w:rsid w:val="004C74AF"/>
    <w:rsid w:val="004D0234"/>
    <w:rsid w:val="004D1C44"/>
    <w:rsid w:val="004D3332"/>
    <w:rsid w:val="004D495B"/>
    <w:rsid w:val="004D4C7E"/>
    <w:rsid w:val="004D4F04"/>
    <w:rsid w:val="004E1044"/>
    <w:rsid w:val="004E5656"/>
    <w:rsid w:val="004F3592"/>
    <w:rsid w:val="004F3E48"/>
    <w:rsid w:val="00504BFB"/>
    <w:rsid w:val="0050697D"/>
    <w:rsid w:val="00512291"/>
    <w:rsid w:val="00516B0D"/>
    <w:rsid w:val="00523022"/>
    <w:rsid w:val="00545CED"/>
    <w:rsid w:val="005479F1"/>
    <w:rsid w:val="00547EB3"/>
    <w:rsid w:val="0055103A"/>
    <w:rsid w:val="00551E53"/>
    <w:rsid w:val="0055429C"/>
    <w:rsid w:val="0055681D"/>
    <w:rsid w:val="00557734"/>
    <w:rsid w:val="00563E90"/>
    <w:rsid w:val="0056511C"/>
    <w:rsid w:val="00565F6D"/>
    <w:rsid w:val="0058362F"/>
    <w:rsid w:val="00591E59"/>
    <w:rsid w:val="0059335D"/>
    <w:rsid w:val="00593FE8"/>
    <w:rsid w:val="005960FE"/>
    <w:rsid w:val="005965E3"/>
    <w:rsid w:val="005A31FB"/>
    <w:rsid w:val="005A62A9"/>
    <w:rsid w:val="005A686A"/>
    <w:rsid w:val="005A6C84"/>
    <w:rsid w:val="005A768B"/>
    <w:rsid w:val="005B452F"/>
    <w:rsid w:val="005B53AB"/>
    <w:rsid w:val="005B7240"/>
    <w:rsid w:val="005C4189"/>
    <w:rsid w:val="005D4272"/>
    <w:rsid w:val="005D7468"/>
    <w:rsid w:val="005E1DA9"/>
    <w:rsid w:val="005E56D0"/>
    <w:rsid w:val="005F09F1"/>
    <w:rsid w:val="005F3232"/>
    <w:rsid w:val="005F711C"/>
    <w:rsid w:val="00601F26"/>
    <w:rsid w:val="00610144"/>
    <w:rsid w:val="00614D7C"/>
    <w:rsid w:val="00615C64"/>
    <w:rsid w:val="00615FF6"/>
    <w:rsid w:val="00621022"/>
    <w:rsid w:val="006210D5"/>
    <w:rsid w:val="00621A8E"/>
    <w:rsid w:val="00626394"/>
    <w:rsid w:val="0062796A"/>
    <w:rsid w:val="006329B5"/>
    <w:rsid w:val="00635406"/>
    <w:rsid w:val="00637380"/>
    <w:rsid w:val="0064008E"/>
    <w:rsid w:val="006417FE"/>
    <w:rsid w:val="006427E2"/>
    <w:rsid w:val="00642E9F"/>
    <w:rsid w:val="006435C2"/>
    <w:rsid w:val="006446B9"/>
    <w:rsid w:val="00651B02"/>
    <w:rsid w:val="00654282"/>
    <w:rsid w:val="0065675D"/>
    <w:rsid w:val="0065748E"/>
    <w:rsid w:val="00657E03"/>
    <w:rsid w:val="00663189"/>
    <w:rsid w:val="006637E5"/>
    <w:rsid w:val="006646D8"/>
    <w:rsid w:val="00667B50"/>
    <w:rsid w:val="0067594B"/>
    <w:rsid w:val="00676913"/>
    <w:rsid w:val="0069023C"/>
    <w:rsid w:val="006905BE"/>
    <w:rsid w:val="00693280"/>
    <w:rsid w:val="00693716"/>
    <w:rsid w:val="006A6E64"/>
    <w:rsid w:val="006B0BCE"/>
    <w:rsid w:val="006B2680"/>
    <w:rsid w:val="006B5914"/>
    <w:rsid w:val="006C004B"/>
    <w:rsid w:val="006C01CC"/>
    <w:rsid w:val="006C3281"/>
    <w:rsid w:val="006C4341"/>
    <w:rsid w:val="006C45F3"/>
    <w:rsid w:val="006C76B0"/>
    <w:rsid w:val="006D11E7"/>
    <w:rsid w:val="006E5832"/>
    <w:rsid w:val="006E5A25"/>
    <w:rsid w:val="006F203B"/>
    <w:rsid w:val="006F3A18"/>
    <w:rsid w:val="006F4A4A"/>
    <w:rsid w:val="006F6427"/>
    <w:rsid w:val="006F7B57"/>
    <w:rsid w:val="00700432"/>
    <w:rsid w:val="00710A61"/>
    <w:rsid w:val="00710ED5"/>
    <w:rsid w:val="00724324"/>
    <w:rsid w:val="007262DB"/>
    <w:rsid w:val="00730E67"/>
    <w:rsid w:val="00733271"/>
    <w:rsid w:val="00735848"/>
    <w:rsid w:val="00735FFD"/>
    <w:rsid w:val="007375AC"/>
    <w:rsid w:val="0074347B"/>
    <w:rsid w:val="007474E3"/>
    <w:rsid w:val="00761C3D"/>
    <w:rsid w:val="00764304"/>
    <w:rsid w:val="00770E29"/>
    <w:rsid w:val="00775C78"/>
    <w:rsid w:val="00777671"/>
    <w:rsid w:val="007810A4"/>
    <w:rsid w:val="00781742"/>
    <w:rsid w:val="00782148"/>
    <w:rsid w:val="00785D57"/>
    <w:rsid w:val="00787618"/>
    <w:rsid w:val="00794999"/>
    <w:rsid w:val="007C4DB5"/>
    <w:rsid w:val="007D2AF7"/>
    <w:rsid w:val="007E1C90"/>
    <w:rsid w:val="007E67C9"/>
    <w:rsid w:val="007E71DA"/>
    <w:rsid w:val="007F50D8"/>
    <w:rsid w:val="008005B1"/>
    <w:rsid w:val="00803773"/>
    <w:rsid w:val="00824124"/>
    <w:rsid w:val="00826D6B"/>
    <w:rsid w:val="008300B1"/>
    <w:rsid w:val="008341FB"/>
    <w:rsid w:val="00844A89"/>
    <w:rsid w:val="00844E3F"/>
    <w:rsid w:val="00846578"/>
    <w:rsid w:val="008475DC"/>
    <w:rsid w:val="00851E10"/>
    <w:rsid w:val="008520BE"/>
    <w:rsid w:val="00852226"/>
    <w:rsid w:val="0085290D"/>
    <w:rsid w:val="00852D37"/>
    <w:rsid w:val="00853CA6"/>
    <w:rsid w:val="00854784"/>
    <w:rsid w:val="0086728C"/>
    <w:rsid w:val="008719AC"/>
    <w:rsid w:val="00874D8C"/>
    <w:rsid w:val="008770A7"/>
    <w:rsid w:val="0088169B"/>
    <w:rsid w:val="00886F92"/>
    <w:rsid w:val="00892B7A"/>
    <w:rsid w:val="00894463"/>
    <w:rsid w:val="0089681C"/>
    <w:rsid w:val="0089731E"/>
    <w:rsid w:val="008A2DF9"/>
    <w:rsid w:val="008A5F8B"/>
    <w:rsid w:val="008B6622"/>
    <w:rsid w:val="008C21DE"/>
    <w:rsid w:val="008C552E"/>
    <w:rsid w:val="008D48E3"/>
    <w:rsid w:val="008D5AAA"/>
    <w:rsid w:val="008E609A"/>
    <w:rsid w:val="008F1C12"/>
    <w:rsid w:val="008F219E"/>
    <w:rsid w:val="009005D9"/>
    <w:rsid w:val="009123C0"/>
    <w:rsid w:val="00915BCF"/>
    <w:rsid w:val="0092093D"/>
    <w:rsid w:val="009269D3"/>
    <w:rsid w:val="00931B67"/>
    <w:rsid w:val="009420C6"/>
    <w:rsid w:val="009565FC"/>
    <w:rsid w:val="0095757B"/>
    <w:rsid w:val="00957C94"/>
    <w:rsid w:val="00961394"/>
    <w:rsid w:val="0097008C"/>
    <w:rsid w:val="00975FEF"/>
    <w:rsid w:val="00976EEA"/>
    <w:rsid w:val="00982B92"/>
    <w:rsid w:val="00987CCD"/>
    <w:rsid w:val="0099026E"/>
    <w:rsid w:val="00991DF0"/>
    <w:rsid w:val="00994B3E"/>
    <w:rsid w:val="00997BCF"/>
    <w:rsid w:val="009A2B26"/>
    <w:rsid w:val="009A3C33"/>
    <w:rsid w:val="009A650B"/>
    <w:rsid w:val="009B2EDA"/>
    <w:rsid w:val="009B40D0"/>
    <w:rsid w:val="009B530B"/>
    <w:rsid w:val="009C3790"/>
    <w:rsid w:val="009C51FB"/>
    <w:rsid w:val="009C652C"/>
    <w:rsid w:val="009C7B3C"/>
    <w:rsid w:val="009D09E0"/>
    <w:rsid w:val="009D37F5"/>
    <w:rsid w:val="009E2B23"/>
    <w:rsid w:val="009E3880"/>
    <w:rsid w:val="009E47DA"/>
    <w:rsid w:val="009E4968"/>
    <w:rsid w:val="009E549B"/>
    <w:rsid w:val="009F5754"/>
    <w:rsid w:val="00A001E8"/>
    <w:rsid w:val="00A01452"/>
    <w:rsid w:val="00A03D49"/>
    <w:rsid w:val="00A0420F"/>
    <w:rsid w:val="00A140DD"/>
    <w:rsid w:val="00A14FDB"/>
    <w:rsid w:val="00A20634"/>
    <w:rsid w:val="00A20B14"/>
    <w:rsid w:val="00A22BB4"/>
    <w:rsid w:val="00A305EE"/>
    <w:rsid w:val="00A31EAF"/>
    <w:rsid w:val="00A3454C"/>
    <w:rsid w:val="00A34711"/>
    <w:rsid w:val="00A34E77"/>
    <w:rsid w:val="00A4370E"/>
    <w:rsid w:val="00A446FF"/>
    <w:rsid w:val="00A53AF2"/>
    <w:rsid w:val="00A566C9"/>
    <w:rsid w:val="00A63004"/>
    <w:rsid w:val="00A66ABE"/>
    <w:rsid w:val="00A67201"/>
    <w:rsid w:val="00A71E6D"/>
    <w:rsid w:val="00A72418"/>
    <w:rsid w:val="00A73804"/>
    <w:rsid w:val="00A76D2C"/>
    <w:rsid w:val="00A86628"/>
    <w:rsid w:val="00A87045"/>
    <w:rsid w:val="00A9121C"/>
    <w:rsid w:val="00A91284"/>
    <w:rsid w:val="00AA2F6F"/>
    <w:rsid w:val="00AA41B1"/>
    <w:rsid w:val="00AA7E94"/>
    <w:rsid w:val="00AB4C57"/>
    <w:rsid w:val="00AB5D8B"/>
    <w:rsid w:val="00AC12C5"/>
    <w:rsid w:val="00AC3804"/>
    <w:rsid w:val="00AD0ECF"/>
    <w:rsid w:val="00AD3C7B"/>
    <w:rsid w:val="00AD4A87"/>
    <w:rsid w:val="00AD6E2A"/>
    <w:rsid w:val="00AD6FCE"/>
    <w:rsid w:val="00AE0555"/>
    <w:rsid w:val="00AE13C0"/>
    <w:rsid w:val="00AE52FA"/>
    <w:rsid w:val="00AF0658"/>
    <w:rsid w:val="00AF0920"/>
    <w:rsid w:val="00AF15B1"/>
    <w:rsid w:val="00AF2327"/>
    <w:rsid w:val="00AF3A3F"/>
    <w:rsid w:val="00AF4509"/>
    <w:rsid w:val="00AF507F"/>
    <w:rsid w:val="00B04038"/>
    <w:rsid w:val="00B154A5"/>
    <w:rsid w:val="00B20C0F"/>
    <w:rsid w:val="00B20C81"/>
    <w:rsid w:val="00B21FB2"/>
    <w:rsid w:val="00B22940"/>
    <w:rsid w:val="00B2337A"/>
    <w:rsid w:val="00B312F5"/>
    <w:rsid w:val="00B31A8F"/>
    <w:rsid w:val="00B338F9"/>
    <w:rsid w:val="00B33E67"/>
    <w:rsid w:val="00B34F37"/>
    <w:rsid w:val="00B361FB"/>
    <w:rsid w:val="00B37833"/>
    <w:rsid w:val="00B4011B"/>
    <w:rsid w:val="00B414B5"/>
    <w:rsid w:val="00B451D7"/>
    <w:rsid w:val="00B546A8"/>
    <w:rsid w:val="00B549F1"/>
    <w:rsid w:val="00B566A9"/>
    <w:rsid w:val="00B60DF1"/>
    <w:rsid w:val="00B616A1"/>
    <w:rsid w:val="00B66584"/>
    <w:rsid w:val="00B66EF3"/>
    <w:rsid w:val="00B672E6"/>
    <w:rsid w:val="00B67411"/>
    <w:rsid w:val="00B72521"/>
    <w:rsid w:val="00B729E1"/>
    <w:rsid w:val="00B740AE"/>
    <w:rsid w:val="00B777CF"/>
    <w:rsid w:val="00B8329C"/>
    <w:rsid w:val="00B8512A"/>
    <w:rsid w:val="00B85D28"/>
    <w:rsid w:val="00B86660"/>
    <w:rsid w:val="00B9249B"/>
    <w:rsid w:val="00B92658"/>
    <w:rsid w:val="00B94CDC"/>
    <w:rsid w:val="00BA06C3"/>
    <w:rsid w:val="00BA20D8"/>
    <w:rsid w:val="00BA2FEE"/>
    <w:rsid w:val="00BA31D2"/>
    <w:rsid w:val="00BA75CD"/>
    <w:rsid w:val="00BA788A"/>
    <w:rsid w:val="00BC76F2"/>
    <w:rsid w:val="00BC786E"/>
    <w:rsid w:val="00BC7ED9"/>
    <w:rsid w:val="00BD0DA1"/>
    <w:rsid w:val="00BD7E9A"/>
    <w:rsid w:val="00BF40C3"/>
    <w:rsid w:val="00BF5669"/>
    <w:rsid w:val="00BF6D1F"/>
    <w:rsid w:val="00BF70AC"/>
    <w:rsid w:val="00C13D80"/>
    <w:rsid w:val="00C175CA"/>
    <w:rsid w:val="00C2045C"/>
    <w:rsid w:val="00C20A6F"/>
    <w:rsid w:val="00C2341D"/>
    <w:rsid w:val="00C35565"/>
    <w:rsid w:val="00C415AF"/>
    <w:rsid w:val="00C53D86"/>
    <w:rsid w:val="00C6157E"/>
    <w:rsid w:val="00C6356D"/>
    <w:rsid w:val="00C7099A"/>
    <w:rsid w:val="00C71FAB"/>
    <w:rsid w:val="00C74347"/>
    <w:rsid w:val="00C81C71"/>
    <w:rsid w:val="00C872F0"/>
    <w:rsid w:val="00C9491C"/>
    <w:rsid w:val="00C96A8A"/>
    <w:rsid w:val="00CA28CE"/>
    <w:rsid w:val="00CA4315"/>
    <w:rsid w:val="00CA55E8"/>
    <w:rsid w:val="00CB1E47"/>
    <w:rsid w:val="00CB372D"/>
    <w:rsid w:val="00CB42C3"/>
    <w:rsid w:val="00CC1F35"/>
    <w:rsid w:val="00CC27C8"/>
    <w:rsid w:val="00CC299C"/>
    <w:rsid w:val="00CC5B3A"/>
    <w:rsid w:val="00CC780E"/>
    <w:rsid w:val="00CD17BC"/>
    <w:rsid w:val="00CD3041"/>
    <w:rsid w:val="00CD3970"/>
    <w:rsid w:val="00CE16BD"/>
    <w:rsid w:val="00CE605E"/>
    <w:rsid w:val="00CF1F8C"/>
    <w:rsid w:val="00CF6110"/>
    <w:rsid w:val="00D14C5B"/>
    <w:rsid w:val="00D15EA6"/>
    <w:rsid w:val="00D22C6A"/>
    <w:rsid w:val="00D25149"/>
    <w:rsid w:val="00D25474"/>
    <w:rsid w:val="00D27607"/>
    <w:rsid w:val="00D30D8F"/>
    <w:rsid w:val="00D31249"/>
    <w:rsid w:val="00D346B9"/>
    <w:rsid w:val="00D45324"/>
    <w:rsid w:val="00D46386"/>
    <w:rsid w:val="00D50A25"/>
    <w:rsid w:val="00D51723"/>
    <w:rsid w:val="00D73697"/>
    <w:rsid w:val="00D7637A"/>
    <w:rsid w:val="00D764A4"/>
    <w:rsid w:val="00D8032D"/>
    <w:rsid w:val="00D82F0E"/>
    <w:rsid w:val="00D84DA0"/>
    <w:rsid w:val="00D974A5"/>
    <w:rsid w:val="00D97771"/>
    <w:rsid w:val="00DA27F0"/>
    <w:rsid w:val="00DB097D"/>
    <w:rsid w:val="00DB0A79"/>
    <w:rsid w:val="00DB2D17"/>
    <w:rsid w:val="00DB5445"/>
    <w:rsid w:val="00DB7B03"/>
    <w:rsid w:val="00DC23A6"/>
    <w:rsid w:val="00DC30FC"/>
    <w:rsid w:val="00DC4B31"/>
    <w:rsid w:val="00DC4C3C"/>
    <w:rsid w:val="00DD35DB"/>
    <w:rsid w:val="00DE2491"/>
    <w:rsid w:val="00DE312B"/>
    <w:rsid w:val="00DF1DE5"/>
    <w:rsid w:val="00DF596B"/>
    <w:rsid w:val="00E01AAD"/>
    <w:rsid w:val="00E12AC2"/>
    <w:rsid w:val="00E155E1"/>
    <w:rsid w:val="00E15730"/>
    <w:rsid w:val="00E22EA2"/>
    <w:rsid w:val="00E24A57"/>
    <w:rsid w:val="00E26800"/>
    <w:rsid w:val="00E27A2D"/>
    <w:rsid w:val="00E302A1"/>
    <w:rsid w:val="00E30DC9"/>
    <w:rsid w:val="00E32CEA"/>
    <w:rsid w:val="00E37ACC"/>
    <w:rsid w:val="00E411A9"/>
    <w:rsid w:val="00E4358B"/>
    <w:rsid w:val="00E45150"/>
    <w:rsid w:val="00E45BC6"/>
    <w:rsid w:val="00E4642D"/>
    <w:rsid w:val="00E56A2A"/>
    <w:rsid w:val="00E60A74"/>
    <w:rsid w:val="00E61FEF"/>
    <w:rsid w:val="00E63F7A"/>
    <w:rsid w:val="00E65097"/>
    <w:rsid w:val="00E65D7F"/>
    <w:rsid w:val="00E72CF3"/>
    <w:rsid w:val="00E74212"/>
    <w:rsid w:val="00E758BE"/>
    <w:rsid w:val="00E80031"/>
    <w:rsid w:val="00E80967"/>
    <w:rsid w:val="00E80EB6"/>
    <w:rsid w:val="00E8106C"/>
    <w:rsid w:val="00E81B45"/>
    <w:rsid w:val="00E83B0F"/>
    <w:rsid w:val="00E8431F"/>
    <w:rsid w:val="00E90DC1"/>
    <w:rsid w:val="00E92987"/>
    <w:rsid w:val="00E950D2"/>
    <w:rsid w:val="00EA0170"/>
    <w:rsid w:val="00EA1A6B"/>
    <w:rsid w:val="00EB5966"/>
    <w:rsid w:val="00EC2F15"/>
    <w:rsid w:val="00EC56C7"/>
    <w:rsid w:val="00EE0841"/>
    <w:rsid w:val="00EE6257"/>
    <w:rsid w:val="00EE68EA"/>
    <w:rsid w:val="00EF7E87"/>
    <w:rsid w:val="00F0303C"/>
    <w:rsid w:val="00F04B9A"/>
    <w:rsid w:val="00F11A4A"/>
    <w:rsid w:val="00F14039"/>
    <w:rsid w:val="00F1786E"/>
    <w:rsid w:val="00F178E9"/>
    <w:rsid w:val="00F22F9B"/>
    <w:rsid w:val="00F24951"/>
    <w:rsid w:val="00F24C05"/>
    <w:rsid w:val="00F26462"/>
    <w:rsid w:val="00F26997"/>
    <w:rsid w:val="00F31B5E"/>
    <w:rsid w:val="00F37A52"/>
    <w:rsid w:val="00F41726"/>
    <w:rsid w:val="00F41F43"/>
    <w:rsid w:val="00F44F35"/>
    <w:rsid w:val="00F55EA2"/>
    <w:rsid w:val="00F56BE0"/>
    <w:rsid w:val="00F609DB"/>
    <w:rsid w:val="00F61229"/>
    <w:rsid w:val="00F615B3"/>
    <w:rsid w:val="00F62FB4"/>
    <w:rsid w:val="00F64CE5"/>
    <w:rsid w:val="00F676C2"/>
    <w:rsid w:val="00F72338"/>
    <w:rsid w:val="00F84273"/>
    <w:rsid w:val="00F90F86"/>
    <w:rsid w:val="00F9706B"/>
    <w:rsid w:val="00FA1C1B"/>
    <w:rsid w:val="00FB3FF2"/>
    <w:rsid w:val="00FB480A"/>
    <w:rsid w:val="00FC129D"/>
    <w:rsid w:val="00FC2544"/>
    <w:rsid w:val="00FC32CC"/>
    <w:rsid w:val="00FC63E3"/>
    <w:rsid w:val="00FD3E88"/>
    <w:rsid w:val="00FD5FE0"/>
    <w:rsid w:val="00FE1194"/>
    <w:rsid w:val="00FE58D6"/>
    <w:rsid w:val="00FF00F0"/>
    <w:rsid w:val="00FF01BB"/>
    <w:rsid w:val="00FF2A5B"/>
    <w:rsid w:val="00FF5302"/>
    <w:rsid w:val="17FF8A38"/>
    <w:rsid w:val="291A7B7E"/>
    <w:rsid w:val="5FEFF796"/>
    <w:rsid w:val="EBDF4937"/>
    <w:rsid w:val="FFB7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link w:val="14"/>
    <w:qFormat/>
    <w:uiPriority w:val="0"/>
    <w:pPr>
      <w:spacing w:line="240" w:lineRule="exact"/>
      <w:ind w:left="1050" w:leftChars="500"/>
    </w:pPr>
    <w:rPr>
      <w:rFonts w:ascii="Times New Roman" w:hAnsi="Times New Roman" w:eastAsia="宋体" w:cs="Times New Roman"/>
      <w:sz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正文文本缩进 字符"/>
    <w:basedOn w:val="9"/>
    <w:link w:val="3"/>
    <w:qFormat/>
    <w:uiPriority w:val="0"/>
    <w:rPr>
      <w:kern w:val="2"/>
      <w:sz w:val="18"/>
      <w:szCs w:val="24"/>
    </w:rPr>
  </w:style>
  <w:style w:type="character" w:customStyle="1" w:styleId="1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qFormat/>
    <w:uiPriority w:val="0"/>
    <w:rPr>
      <w:rFonts w:asciiTheme="minorHAnsi" w:hAnsiTheme="minorHAnsi" w:eastAsiaTheme="minorEastAsia" w:cstheme="minorBidi"/>
      <w:b/>
      <w:bCs/>
      <w:kern w:val="2"/>
      <w:sz w:val="21"/>
      <w:szCs w:val="24"/>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914</Words>
  <Characters>5216</Characters>
  <Lines>43</Lines>
  <Paragraphs>12</Paragraphs>
  <TotalTime>6</TotalTime>
  <ScaleCrop>false</ScaleCrop>
  <LinksUpToDate>false</LinksUpToDate>
  <CharactersWithSpaces>6118</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2024-06-28T23:05:00Z</dcterms:created>
  <dc:creator>Dumpling</dc:creator>
  <cp:lastModifiedBy>彭裕惠</cp:lastModifiedBy>
  <cp:lastPrinted>2024-10-17T23:24:00Z</cp:lastPrinted>
  <dcterms:modified xsi:type="dcterms:W3CDTF">2024-11-11T17:02:28Z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DBDAA557E3AB4E19815F85778EA03EFE</vt:lpwstr>
  </property>
</Properties>
</file>