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271</w:t>
      </w:r>
      <w:r>
        <w:rPr>
          <w:rFonts w:ascii="Times New Roman" w:hAnsi="Times New Roman" w:eastAsia="仿宋_GB2312" w:cs="Times New Roman"/>
          <w:color w:val="000000"/>
          <w:sz w:val="28"/>
          <w:szCs w:val="28"/>
        </w:rPr>
        <w:t>号</w:t>
      </w:r>
    </w:p>
    <w:bookmarkEnd w:id="0"/>
    <w:bookmarkEnd w:id="1"/>
    <w:p>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p>
    <w:p>
      <w:pPr>
        <w:spacing w:line="5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w:t>
      </w:r>
      <w:r>
        <w:rPr>
          <w:rFonts w:hint="eastAsia" w:ascii="Times New Roman" w:hAnsi="Times New Roman" w:eastAsia="宋体" w:cs="Times New Roman"/>
          <w:b/>
          <w:sz w:val="28"/>
          <w:szCs w:val="30"/>
        </w:rPr>
        <w:t>广州市番禺区石碁镇社工服务站</w:t>
      </w:r>
    </w:p>
    <w:p>
      <w:pPr>
        <w:spacing w:line="500" w:lineRule="exact"/>
        <w:jc w:val="center"/>
        <w:rPr>
          <w:rFonts w:ascii="Times New Roman" w:hAnsi="Times New Roman" w:eastAsia="宋体" w:cs="Times New Roman"/>
          <w:b/>
          <w:sz w:val="28"/>
          <w:szCs w:val="30"/>
        </w:rPr>
      </w:pPr>
      <w:r>
        <w:rPr>
          <w:rFonts w:hint="eastAsia" w:ascii="Times New Roman" w:hAnsi="Times New Roman" w:eastAsia="宋体" w:cs="Times New Roman"/>
          <w:b/>
          <w:sz w:val="28"/>
          <w:szCs w:val="30"/>
        </w:rPr>
        <w:t>2024年3月1日至2024年8月23日</w:t>
      </w:r>
      <w:r>
        <w:rPr>
          <w:rFonts w:ascii="Times New Roman" w:hAnsi="Times New Roman" w:eastAsia="宋体" w:cs="Times New Roman"/>
          <w:b/>
          <w:sz w:val="28"/>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广州市番禺区石碁镇社工服务站</w:t>
      </w:r>
      <w:r>
        <w:rPr>
          <w:rFonts w:ascii="Times New Roman" w:hAnsi="Times New Roman" w:eastAsia="仿宋_GB2312" w:cs="Times New Roman"/>
          <w:sz w:val="28"/>
          <w:szCs w:val="28"/>
        </w:rPr>
        <w:t>（以下简称</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2024年3月1日至2024年8月23日</w:t>
      </w:r>
      <w:r>
        <w:rPr>
          <w:rFonts w:ascii="Times New Roman" w:hAnsi="Times New Roman" w:eastAsia="仿宋_GB2312" w:cs="Times New Roman"/>
          <w:sz w:val="28"/>
          <w:szCs w:val="28"/>
        </w:rPr>
        <w:t>财务管理情况进行财务评估。</w:t>
      </w:r>
      <w:r>
        <w:rPr>
          <w:rFonts w:ascii="Times New Roman" w:hAnsi="Times New Roman" w:eastAsia="仿宋" w:cs="Times New Roman"/>
          <w:sz w:val="28"/>
          <w:szCs w:val="28"/>
        </w:rPr>
        <w:t>提供真实、合法、完整的会计资料和评估相关资料</w:t>
      </w: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97号）</w:t>
      </w:r>
      <w:r>
        <w:rPr>
          <w:rFonts w:ascii="Times New Roman" w:hAnsi="Times New Roman" w:eastAsia="仿宋" w:cs="Times New Roman"/>
          <w:sz w:val="28"/>
          <w:szCs w:val="28"/>
        </w:rPr>
        <w:t>及</w:t>
      </w:r>
      <w:r>
        <w:rPr>
          <w:rFonts w:hint="eastAsia" w:ascii="Times New Roman" w:hAnsi="Times New Roman" w:eastAsia="仿宋_GB2312" w:cs="Times New Roman"/>
          <w:color w:val="000000" w:themeColor="text1"/>
          <w:sz w:val="28"/>
          <w:szCs w:val="28"/>
          <w14:textFill>
            <w14:solidFill>
              <w14:schemeClr w14:val="tx1"/>
            </w14:solidFill>
          </w14:textFill>
        </w:rPr>
        <w:t>广州市番禺区石碁镇人民政府</w:t>
      </w:r>
      <w:r>
        <w:rPr>
          <w:rFonts w:ascii="Times New Roman" w:hAnsi="Times New Roman" w:eastAsia="仿宋" w:cs="Times New Roman"/>
          <w:sz w:val="28"/>
          <w:szCs w:val="28"/>
        </w:rPr>
        <w:t>与社工服务站承接机构签订的购买服务协议中相关约定，对</w:t>
      </w:r>
      <w:r>
        <w:rPr>
          <w:rFonts w:hint="eastAsia" w:ascii="Times New Roman" w:hAnsi="Times New Roman" w:eastAsia="仿宋_GB2312" w:cs="Times New Roman"/>
          <w:sz w:val="28"/>
          <w:szCs w:val="28"/>
        </w:rPr>
        <w:t>石碁社工站</w:t>
      </w:r>
      <w:r>
        <w:rPr>
          <w:rFonts w:ascii="Times New Roman" w:hAnsi="Times New Roman" w:eastAsia="仿宋" w:cs="Times New Roman"/>
          <w:sz w:val="28"/>
          <w:szCs w:val="28"/>
        </w:rPr>
        <w:t>的财务管理情况进行审核，并出具财务评估报告</w:t>
      </w:r>
      <w:r>
        <w:rPr>
          <w:rFonts w:ascii="Times New Roman" w:hAnsi="Times New Roman" w:eastAsia="仿宋_GB2312" w:cs="Times New Roman"/>
          <w:sz w:val="28"/>
          <w:szCs w:val="28"/>
        </w:rPr>
        <w:t>。</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按照中国注册会计师职业道德守则，我们独立于</w:t>
      </w:r>
      <w:r>
        <w:rPr>
          <w:rFonts w:hint="eastAsia" w:ascii="Times New Roman" w:hAnsi="Times New Roman" w:eastAsia="仿宋_GB2312" w:cs="Times New Roman"/>
          <w:sz w:val="28"/>
          <w:szCs w:val="28"/>
        </w:rPr>
        <w:t>石碁社工站</w:t>
      </w:r>
      <w:r>
        <w:rPr>
          <w:rFonts w:ascii="Times New Roman" w:hAnsi="Times New Roman" w:eastAsia="仿宋" w:cs="Times New Roman"/>
          <w:sz w:val="28"/>
          <w:szCs w:val="28"/>
        </w:rPr>
        <w:t>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ascii="Times New Roman" w:hAnsi="Times New Roman" w:eastAsia="仿宋_GB2312" w:cs="Times New Roman"/>
          <w:sz w:val="28"/>
          <w:szCs w:val="28"/>
        </w:rPr>
        <w:t>。现将评估结果报告如下：</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一、</w:t>
      </w:r>
      <w:r>
        <w:rPr>
          <w:rFonts w:hint="eastAsia" w:ascii="Times New Roman" w:hAnsi="Times New Roman" w:eastAsia="仿宋_GB2312" w:cs="Times New Roman"/>
          <w:b/>
          <w:sz w:val="28"/>
          <w:szCs w:val="28"/>
        </w:rPr>
        <w:t>石碁社工站</w:t>
      </w:r>
      <w:r>
        <w:rPr>
          <w:rFonts w:ascii="Times New Roman" w:hAnsi="Times New Roman" w:eastAsia="仿宋_GB2312" w:cs="Times New Roman"/>
          <w:b/>
          <w:sz w:val="28"/>
          <w:szCs w:val="28"/>
        </w:rPr>
        <w:t>基本情况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承接机构名称：广州市番禺区和悦社会工作服务中心。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承接机构法定代表人：李永华。</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招标采购周期：2019年8月24日至2024年8月23日。</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本次服务协议期限：2023年9月1日至2024年8月23日。</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购买服务经费：本服务协议期限2023年9月1日至2024年8月23日的服务经费总计2,346,667.00元，分为三期拨付。其中：协议签订生效之日起30个工作日内拨付55%即1,290,667.00元，项目年度中期评估为合格以上的拨付40%即938,667.00元，年度末期评估为合格以上的拨付5%即117,333.00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w:t>
      </w:r>
      <w:r>
        <w:rPr>
          <w:rFonts w:hint="eastAsia" w:ascii="Times New Roman" w:hAnsi="Times New Roman" w:eastAsia="仿宋_GB2312" w:cs="Times New Roman"/>
          <w:b/>
          <w:sz w:val="28"/>
          <w:szCs w:val="28"/>
        </w:rPr>
        <w:t>石碁社工站</w:t>
      </w:r>
      <w:r>
        <w:rPr>
          <w:rFonts w:ascii="Times New Roman" w:hAnsi="Times New Roman" w:eastAsia="仿宋_GB2312" w:cs="Times New Roman"/>
          <w:b/>
          <w:sz w:val="28"/>
          <w:szCs w:val="28"/>
        </w:rPr>
        <w:t>财务管理制度执行情况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w:t>
      </w:r>
      <w:r>
        <w:rPr>
          <w:rFonts w:hint="eastAsia" w:ascii="Times New Roman" w:hAnsi="Times New Roman" w:eastAsia="仿宋_GB2312" w:cs="Times New Roman"/>
          <w:color w:val="000000" w:themeColor="text1"/>
          <w:sz w:val="28"/>
          <w:szCs w:val="28"/>
          <w14:textFill>
            <w14:solidFill>
              <w14:schemeClr w14:val="tx1"/>
            </w14:solidFill>
          </w14:textFill>
        </w:rPr>
        <w:t>石碁社工站</w:t>
      </w:r>
      <w:r>
        <w:rPr>
          <w:rFonts w:ascii="Times New Roman" w:hAnsi="Times New Roman" w:eastAsia="仿宋" w:cs="Times New Roman"/>
          <w:sz w:val="28"/>
          <w:szCs w:val="28"/>
        </w:rPr>
        <w:t>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㈡财务监管、风控制度的执行情况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hint="eastAsia" w:ascii="Times New Roman" w:hAnsi="Times New Roman" w:eastAsia="仿宋" w:cs="Times New Roman"/>
          <w:sz w:val="28"/>
          <w:szCs w:val="28"/>
        </w:rPr>
        <w:t>承接机构广州市番禺区和悦社会工作服务中心根据自身业务特点建立了《财务管理制度》《报销流程管理办法》等财务监管、风控制度。石碁社工站在实际工作中能按上述制度要求编制“预决算对比表”；除本报告第九点“存在问题”所列事项外，在经费报销和预支申请等方面基本能执行承接机构制度规定的程序、权限。</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w:t>
      </w:r>
      <w:r>
        <w:rPr>
          <w:rFonts w:hint="eastAsia" w:ascii="Times New Roman" w:hAnsi="Times New Roman" w:eastAsia="仿宋_GB2312" w:cs="Times New Roman"/>
          <w:color w:val="000000" w:themeColor="text1"/>
          <w:sz w:val="28"/>
          <w:szCs w:val="28"/>
          <w14:textFill>
            <w14:solidFill>
              <w14:schemeClr w14:val="tx1"/>
            </w14:solidFill>
          </w14:textFill>
        </w:rPr>
        <w:t>承接机构广州市番禺区和悦社会工作服务中心除建立上述管理制度外，还建立了《固定资产管理制度》，石碁社工站严格执行该项制度，并定期对固定资产进行盘点，详见本报告后附2024年8月23日固定资产明细表。</w:t>
      </w:r>
    </w:p>
    <w:p>
      <w:pPr>
        <w:spacing w:line="620" w:lineRule="exact"/>
        <w:ind w:firstLine="552" w:firstLineChars="200"/>
        <w:rPr>
          <w:rFonts w:ascii="Times New Roman" w:hAnsi="Times New Roman" w:eastAsia="仿宋" w:cs="Times New Roman"/>
          <w:spacing w:val="-2"/>
          <w:sz w:val="28"/>
          <w:szCs w:val="28"/>
        </w:rPr>
      </w:pPr>
      <w:r>
        <w:rPr>
          <w:rFonts w:ascii="Times New Roman" w:hAnsi="Times New Roman" w:eastAsia="仿宋_GB2312" w:cs="Times New Roman"/>
          <w:spacing w:val="-2"/>
          <w:sz w:val="28"/>
          <w:szCs w:val="28"/>
        </w:rPr>
        <w:t>３、承接机构</w:t>
      </w:r>
      <w:r>
        <w:rPr>
          <w:rFonts w:hint="eastAsia" w:ascii="Times New Roman" w:hAnsi="Times New Roman" w:eastAsia="仿宋_GB2312" w:cs="Times New Roman"/>
          <w:spacing w:val="-2"/>
          <w:sz w:val="28"/>
          <w:szCs w:val="28"/>
        </w:rPr>
        <w:t>广州市番禺区和悦社会工作服务中心</w:t>
      </w:r>
      <w:r>
        <w:rPr>
          <w:rFonts w:ascii="Times New Roman" w:hAnsi="Times New Roman" w:eastAsia="仿宋_GB2312" w:cs="Times New Roman"/>
          <w:spacing w:val="-2"/>
          <w:sz w:val="28"/>
          <w:szCs w:val="28"/>
        </w:rPr>
        <w:t>已按要求编制服务期内</w:t>
      </w:r>
      <w:r>
        <w:rPr>
          <w:rFonts w:hint="eastAsia" w:ascii="Times New Roman" w:hAnsi="Times New Roman" w:eastAsia="仿宋_GB2312" w:cs="Times New Roman"/>
          <w:color w:val="000000" w:themeColor="text1"/>
          <w:spacing w:val="-2"/>
          <w:sz w:val="28"/>
          <w:szCs w:val="28"/>
          <w14:textFill>
            <w14:solidFill>
              <w14:schemeClr w14:val="tx1"/>
            </w14:solidFill>
          </w14:textFill>
        </w:rPr>
        <w:t>石碁社工站</w:t>
      </w:r>
      <w:r>
        <w:rPr>
          <w:rFonts w:ascii="Times New Roman" w:hAnsi="Times New Roman" w:eastAsia="仿宋_GB2312" w:cs="Times New Roman"/>
          <w:spacing w:val="-2"/>
          <w:sz w:val="28"/>
          <w:szCs w:val="28"/>
        </w:rPr>
        <w:t>的财务自评报告；</w:t>
      </w:r>
      <w:r>
        <w:rPr>
          <w:rFonts w:hint="eastAsia" w:ascii="Times New Roman" w:hAnsi="Times New Roman" w:eastAsia="仿宋_GB2312"/>
          <w:color w:val="000000" w:themeColor="text1"/>
          <w:spacing w:val="-2"/>
          <w:sz w:val="28"/>
          <w:szCs w:val="28"/>
          <w14:textFill>
            <w14:solidFill>
              <w14:schemeClr w14:val="tx1"/>
            </w14:solidFill>
          </w14:textFill>
        </w:rPr>
        <w:t>中心</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3年度财务报表已经广州致圣会计师事务所（普通合伙）审计，并取得致圣审字[2024]第ZS0041号无保留意见审计报告；</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3年度企业所得税纳税情况已经拓斯（广州）税务师事务所有限公司复核，并取得拓斯税字[2024]第0073号汇算清缴纳税调整报告</w:t>
      </w:r>
      <w:r>
        <w:rPr>
          <w:rFonts w:ascii="Times New Roman" w:hAnsi="Times New Roman" w:eastAsia="仿宋_GB2312" w:cs="Times New Roman"/>
          <w:spacing w:val="-2"/>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rPr>
        <w:t>石碁社工站</w:t>
      </w:r>
      <w:r>
        <w:rPr>
          <w:rFonts w:ascii="Times New Roman" w:hAnsi="Times New Roman" w:eastAsia="仿宋_GB2312" w:cs="Times New Roman"/>
          <w:b/>
          <w:sz w:val="28"/>
          <w:szCs w:val="28"/>
        </w:rPr>
        <w:t>人员配备情况</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广州市番禺区和悦社会工作服务中心严格贯彻不相容职务分离原则，为石碁社工站配置财务人员3名，分别担任会计主管、会计、出纳岗位，负责包括石碁社工站在内的中心财务工作，其中会计主管黄艳芳已取得会计从业资格证书。</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经查阅，会计主管黄艳芳、会计郑健慧和出纳陈燕均已完成2023年度会计专业系列专业技术人员继续教育学习任务，且相应工资、五险一金等薪金支出未计入社工人员经费支出，符合要求。</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w:t>
      </w:r>
      <w:r>
        <w:rPr>
          <w:rFonts w:hint="eastAsia" w:ascii="Times New Roman" w:hAnsi="Times New Roman" w:eastAsia="仿宋_GB2312" w:cs="Times New Roman"/>
          <w:b/>
          <w:sz w:val="28"/>
          <w:szCs w:val="28"/>
        </w:rPr>
        <w:t>石碁社工站</w:t>
      </w:r>
      <w:r>
        <w:rPr>
          <w:rFonts w:ascii="Times New Roman" w:hAnsi="Times New Roman" w:eastAsia="仿宋_GB2312" w:cs="Times New Roman"/>
          <w:b/>
          <w:sz w:val="28"/>
          <w:szCs w:val="28"/>
        </w:rPr>
        <w:t>经费支出情况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承接机构广州市番禺区和悦社会工作服务中心根据《广州市社工服务站管理办法》（穗府办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97号）等相关规定，结合实际情况建立了《报销流程管理办法》，明确了财务经费支出的审核程序及支出权限。制度规定：机构各级管理人员都拥有一定权限的费用支出审批权。单笔费用支出审批权如下：机构各中心主任审批：费用≤500元；项目负责人审批：500元＜费用≤1000元；机构负责人理事长审批：费用＞1000元；机构负责人理事长经手的费用应由其他理事进行审核签字方可报批。经费支出由经办人、证明人、审核人签名。本评估期内石碁社工站经费支出具体情况如下：</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㈠财务支出的合规性</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碁社工站经费使用的范围、比例基本能按《广州市社工服务站管理办法》有关规定执行。石碁社工站每年有制定“预决算对比表”，明确规划了协议期内的收入和支出预算计划，经费支出预算表基本能符合《民间非营利组织会计制度》和广州市番禺区石碁镇人民政府与社工服务站承接机构签订的购买服务协议中人员费用、服务质量保障费用和运营管理费用规定的使用范围，活动经费预算表有机构理事会负责人签名确认。</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㈡财务支出的合理性</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除本报告第九点“存在问题”所列事项外，石碁社工站财务支出的事由、票据、标准基本合理。石碁社工站有经费预算程序，财务支出根据经费预算计划执行、基本能按预算标准支出，并有财务支出票据。</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㈢财务支出审批机制情况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经审核，石碁社工站能按承接机构广州市番禺区和悦社会工作服务中心财务制度规定的审批权限进行审批。经费支出均有经办人、证明人、审核人签名。</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㈣财务支出监控机制执行情况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经审核，承接机构广州市番禺区和悦社会工作服务中心已建立财务支出管理的监控机制，并在石碁社工站得到较规范执行。</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１、承接机构广州市番禺区和悦社会工作服务中心能按规定开设银行基本账户，按规定对该石碁社工站开设银行一般账户（专户），日常财务支出采用专户支付和基本户代付后专户转回结合的方式。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２、为确保政府购买服务经费用于指定用途，承接机构广州市番禺区和悦社会工作服务中心有定期向购买方提交石碁社工站服务经费使用情况报告，对经费预算及使用情况作比对分析。</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㈤财务支出票据的完整性、规范性</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石碁社工站财务支出票据、凭证填制较完整，账目设置、票据管理较规范。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w:t>
      </w:r>
      <w:r>
        <w:rPr>
          <w:rFonts w:hint="eastAsia" w:ascii="Times New Roman" w:hAnsi="Times New Roman" w:eastAsia="仿宋_GB2312" w:cs="Times New Roman"/>
          <w:b/>
          <w:sz w:val="28"/>
          <w:szCs w:val="28"/>
        </w:rPr>
        <w:t>石碁社工站</w:t>
      </w:r>
      <w:r>
        <w:rPr>
          <w:rFonts w:ascii="Times New Roman" w:hAnsi="Times New Roman" w:eastAsia="仿宋_GB2312" w:cs="Times New Roman"/>
          <w:b/>
          <w:sz w:val="28"/>
          <w:szCs w:val="28"/>
        </w:rPr>
        <w:t>会计核算情况</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bookmarkStart w:id="2" w:name="_Hlk110777849"/>
      <w:r>
        <w:rPr>
          <w:rFonts w:ascii="Times New Roman" w:hAnsi="Times New Roman" w:eastAsia="仿宋" w:cs="Times New Roman"/>
          <w:color w:val="000000" w:themeColor="text1"/>
          <w:sz w:val="28"/>
          <w:szCs w:val="28"/>
          <w14:textFill>
            <w14:solidFill>
              <w14:schemeClr w14:val="tx1"/>
            </w14:solidFill>
          </w14:textFill>
        </w:rPr>
        <w:t>㈠是否设置会计科目，编制会计报表</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sz w:val="28"/>
          <w:szCs w:val="28"/>
        </w:rPr>
        <w:t>经审核，承接机构广州市番禺区和悦社会工作服务中心对石碁社工站会计科目设置合理，所有服务业务均编制了记账凭证、登记了明细分类账簿和总账，核算做到账册、账账、账表相符，编制了会计报表，并符合相关会计制度独立核算。</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㈡是否分项目核算</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经审核，承接机构</w:t>
      </w:r>
      <w:r>
        <w:rPr>
          <w:rFonts w:hint="eastAsia" w:ascii="Times New Roman" w:hAnsi="Times New Roman" w:eastAsia="仿宋" w:cs="Times New Roman"/>
          <w:color w:val="000000" w:themeColor="text1"/>
          <w:sz w:val="28"/>
          <w:szCs w:val="28"/>
          <w14:textFill>
            <w14:solidFill>
              <w14:schemeClr w14:val="tx1"/>
            </w14:solidFill>
          </w14:textFill>
        </w:rPr>
        <w:t>广州市番禺区和悦社会工作服务中心</w:t>
      </w:r>
      <w:r>
        <w:rPr>
          <w:rFonts w:ascii="Times New Roman" w:hAnsi="Times New Roman" w:eastAsia="仿宋" w:cs="Times New Roman"/>
          <w:color w:val="000000" w:themeColor="text1"/>
          <w:sz w:val="28"/>
          <w:szCs w:val="28"/>
          <w14:textFill>
            <w14:solidFill>
              <w14:schemeClr w14:val="tx1"/>
            </w14:solidFill>
          </w14:textFill>
        </w:rPr>
        <w:t>对承接的</w:t>
      </w:r>
      <w:r>
        <w:rPr>
          <w:rFonts w:hint="eastAsia" w:ascii="Times New Roman" w:hAnsi="Times New Roman" w:eastAsia="仿宋_GB2312" w:cs="Times New Roman"/>
          <w:sz w:val="28"/>
          <w:szCs w:val="28"/>
        </w:rPr>
        <w:t>石碁社工站</w:t>
      </w:r>
      <w:r>
        <w:rPr>
          <w:rFonts w:ascii="Times New Roman" w:hAnsi="Times New Roman" w:eastAsia="仿宋" w:cs="Times New Roman"/>
          <w:color w:val="000000" w:themeColor="text1"/>
          <w:sz w:val="28"/>
          <w:szCs w:val="28"/>
          <w14:textFill>
            <w14:solidFill>
              <w14:schemeClr w14:val="tx1"/>
            </w14:solidFill>
          </w14:textFill>
        </w:rPr>
        <w:t>政府购买服务资金的服务经费支出，能按要求做到分项目核算。</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㈢是否领域服务经费分开归集</w:t>
      </w:r>
    </w:p>
    <w:p>
      <w:pPr>
        <w:spacing w:line="620" w:lineRule="exact"/>
        <w:ind w:firstLine="552" w:firstLineChars="200"/>
        <w:rPr>
          <w:rFonts w:ascii="Times New Roman" w:hAnsi="Times New Roman" w:eastAsia="仿宋" w:cs="Times New Roman"/>
          <w:color w:val="000000" w:themeColor="text1"/>
          <w:spacing w:val="-2"/>
          <w:sz w:val="28"/>
          <w:szCs w:val="28"/>
          <w14:textFill>
            <w14:solidFill>
              <w14:schemeClr w14:val="tx1"/>
            </w14:solidFill>
          </w14:textFill>
        </w:rPr>
      </w:pPr>
      <w:r>
        <w:rPr>
          <w:rFonts w:ascii="Times New Roman" w:hAnsi="Times New Roman" w:eastAsia="仿宋" w:cs="Times New Roman"/>
          <w:color w:val="000000" w:themeColor="text1"/>
          <w:spacing w:val="-2"/>
          <w:sz w:val="28"/>
          <w:szCs w:val="28"/>
          <w14:textFill>
            <w14:solidFill>
              <w14:schemeClr w14:val="tx1"/>
            </w14:solidFill>
          </w14:textFill>
        </w:rPr>
        <w:t>经审核，承接机构</w:t>
      </w:r>
      <w:r>
        <w:rPr>
          <w:rFonts w:hint="eastAsia" w:ascii="Times New Roman" w:hAnsi="Times New Roman" w:eastAsia="仿宋" w:cs="Times New Roman"/>
          <w:color w:val="000000" w:themeColor="text1"/>
          <w:spacing w:val="-2"/>
          <w:sz w:val="28"/>
          <w:szCs w:val="28"/>
          <w14:textFill>
            <w14:solidFill>
              <w14:schemeClr w14:val="tx1"/>
            </w14:solidFill>
          </w14:textFill>
        </w:rPr>
        <w:t>广州市番禺区和悦社会工作服务中心</w:t>
      </w:r>
      <w:r>
        <w:rPr>
          <w:rFonts w:ascii="Times New Roman" w:hAnsi="Times New Roman" w:eastAsia="仿宋" w:cs="Times New Roman"/>
          <w:color w:val="000000" w:themeColor="text1"/>
          <w:spacing w:val="-2"/>
          <w:sz w:val="28"/>
          <w:szCs w:val="28"/>
          <w14:textFill>
            <w14:solidFill>
              <w14:schemeClr w14:val="tx1"/>
            </w14:solidFill>
          </w14:textFill>
        </w:rPr>
        <w:t>对承接的</w:t>
      </w:r>
      <w:r>
        <w:rPr>
          <w:rFonts w:hint="eastAsia" w:ascii="Times New Roman" w:hAnsi="Times New Roman" w:eastAsia="仿宋_GB2312" w:cs="Times New Roman"/>
          <w:spacing w:val="-2"/>
          <w:sz w:val="28"/>
          <w:szCs w:val="28"/>
        </w:rPr>
        <w:t>石碁社工站</w:t>
      </w:r>
      <w:r>
        <w:rPr>
          <w:rFonts w:ascii="Times New Roman" w:hAnsi="Times New Roman" w:eastAsia="仿宋" w:cs="Times New Roman"/>
          <w:color w:val="000000" w:themeColor="text1"/>
          <w:spacing w:val="-2"/>
          <w:sz w:val="28"/>
          <w:szCs w:val="28"/>
          <w14:textFill>
            <w14:solidFill>
              <w14:schemeClr w14:val="tx1"/>
            </w14:solidFill>
          </w14:textFill>
        </w:rPr>
        <w:t>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w:t>
      </w:r>
      <w:bookmarkEnd w:id="2"/>
      <w:r>
        <w:rPr>
          <w:rFonts w:ascii="Times New Roman" w:hAnsi="Times New Roman" w:eastAsia="仿宋_GB2312" w:cs="Times New Roman"/>
          <w:b/>
          <w:sz w:val="28"/>
          <w:szCs w:val="28"/>
        </w:rPr>
        <w:t>本评估期服务经费拨入、支出、结余情况</w:t>
      </w:r>
    </w:p>
    <w:p>
      <w:pPr>
        <w:spacing w:line="620" w:lineRule="exact"/>
        <w:ind w:right="-2" w:firstLine="560" w:firstLineChars="200"/>
        <w:outlineLvl w:val="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sz w:val="28"/>
          <w:szCs w:val="28"/>
        </w:rPr>
        <w:t>2024年3月1日至2024年8月23日</w:t>
      </w:r>
      <w:r>
        <w:rPr>
          <w:rFonts w:ascii="Times New Roman" w:hAnsi="Times New Roman" w:eastAsia="仿宋" w:cs="Times New Roman"/>
          <w:color w:val="000000" w:themeColor="text1"/>
          <w:sz w:val="28"/>
          <w:szCs w:val="28"/>
          <w14:textFill>
            <w14:solidFill>
              <w14:schemeClr w14:val="tx1"/>
            </w14:solidFill>
          </w14:textFill>
        </w:rPr>
        <w:t>期间（以下简称本评估期），</w:t>
      </w:r>
      <w:r>
        <w:rPr>
          <w:rFonts w:hint="eastAsia" w:ascii="Times New Roman" w:hAnsi="Times New Roman" w:eastAsia="仿宋_GB2312" w:cs="Times New Roman"/>
          <w:sz w:val="28"/>
          <w:szCs w:val="28"/>
        </w:rPr>
        <w:t>石碁社工站</w:t>
      </w:r>
      <w:r>
        <w:rPr>
          <w:rFonts w:ascii="Times New Roman" w:hAnsi="Times New Roman" w:eastAsia="仿宋_GB2312" w:cs="Times New Roman"/>
          <w:color w:val="000000" w:themeColor="text1"/>
          <w:spacing w:val="-4"/>
          <w:sz w:val="28"/>
          <w:szCs w:val="28"/>
          <w14:textFill>
            <w14:solidFill>
              <w14:schemeClr w14:val="tx1"/>
            </w14:solidFill>
          </w14:textFill>
        </w:rPr>
        <w:t>收到本评估期内政府购买服务经费693,067.00元</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归属于本评估期的服务经费支出累计1,258,189.62元，</w:t>
      </w:r>
      <w:r>
        <w:rPr>
          <w:rFonts w:hint="eastAsia" w:ascii="Times New Roman" w:hAnsi="Times New Roman" w:eastAsia="仿宋" w:cs="Times New Roman"/>
          <w:color w:val="000000" w:themeColor="text1"/>
          <w:sz w:val="28"/>
          <w:szCs w:val="28"/>
          <w14:textFill>
            <w14:solidFill>
              <w14:schemeClr w14:val="tx1"/>
            </w14:solidFill>
          </w14:textFill>
        </w:rPr>
        <w:t>其中：已支付</w:t>
      </w:r>
      <w:r>
        <w:rPr>
          <w:rFonts w:ascii="Times New Roman" w:hAnsi="Times New Roman" w:eastAsia="仿宋" w:cs="Times New Roman"/>
          <w:color w:val="000000" w:themeColor="text1"/>
          <w:sz w:val="28"/>
          <w:szCs w:val="28"/>
          <w14:textFill>
            <w14:solidFill>
              <w14:schemeClr w14:val="tx1"/>
            </w14:solidFill>
          </w14:textFill>
        </w:rPr>
        <w:t>1,250,244.21</w:t>
      </w:r>
      <w:r>
        <w:rPr>
          <w:rFonts w:hint="eastAsia" w:ascii="Times New Roman" w:hAnsi="Times New Roman" w:eastAsia="仿宋" w:cs="Times New Roman"/>
          <w:color w:val="000000" w:themeColor="text1"/>
          <w:sz w:val="28"/>
          <w:szCs w:val="28"/>
          <w14:textFill>
            <w14:solidFill>
              <w14:schemeClr w14:val="tx1"/>
            </w14:solidFill>
          </w14:textFill>
        </w:rPr>
        <w:t>元，未支付税金</w:t>
      </w:r>
      <w:r>
        <w:rPr>
          <w:rFonts w:ascii="Times New Roman" w:hAnsi="Times New Roman" w:eastAsia="仿宋" w:cs="Times New Roman"/>
          <w:color w:val="000000" w:themeColor="text1"/>
          <w:sz w:val="28"/>
          <w:szCs w:val="28"/>
          <w14:textFill>
            <w14:solidFill>
              <w14:schemeClr w14:val="tx1"/>
            </w14:solidFill>
          </w14:textFill>
        </w:rPr>
        <w:t>7,945.41</w:t>
      </w:r>
      <w:r>
        <w:rPr>
          <w:rFonts w:hint="eastAsia" w:ascii="Times New Roman" w:hAnsi="Times New Roman" w:eastAsia="仿宋" w:cs="Times New Roman"/>
          <w:color w:val="000000" w:themeColor="text1"/>
          <w:sz w:val="28"/>
          <w:szCs w:val="28"/>
          <w14:textFill>
            <w14:solidFill>
              <w14:schemeClr w14:val="tx1"/>
            </w14:solidFill>
          </w14:textFill>
        </w:rPr>
        <w:t>元</w:t>
      </w:r>
      <w:r>
        <w:rPr>
          <w:rFonts w:ascii="Times New Roman" w:hAnsi="Times New Roman" w:eastAsia="仿宋" w:cs="Times New Roman"/>
          <w:color w:val="000000" w:themeColor="text1"/>
          <w:sz w:val="28"/>
          <w:szCs w:val="28"/>
          <w14:textFill>
            <w14:solidFill>
              <w14:schemeClr w14:val="tx1"/>
            </w14:solidFill>
          </w14:textFill>
        </w:rPr>
        <w:t>；本评估期结余金额-565,122.62元，占实际拨入经费的-81.54%。具体经费支出情况如下：</w:t>
      </w:r>
    </w:p>
    <w:p>
      <w:pPr>
        <w:spacing w:line="620" w:lineRule="exact"/>
        <w:ind w:right="139" w:rightChars="66"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㈠用于人员费用支出1,101,404.19元，占本评估期实收服务总经费的158.92%。其中：</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１、工资总额支出938,349.58元</w:t>
      </w:r>
      <w:r>
        <w:rPr>
          <w:rFonts w:hint="eastAsia" w:ascii="Times New Roman" w:hAnsi="Times New Roman" w:eastAsia="仿宋_GB2312" w:cs="Times New Roman"/>
          <w:sz w:val="28"/>
          <w:szCs w:val="28"/>
        </w:rPr>
        <w:t>（包含生活保障金83,050.00元、辞退赔偿金69,262.50元）</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２、五险金支出147,704.61元；</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３、公积金支出15,350.00元</w:t>
      </w:r>
      <w:r>
        <w:rPr>
          <w:rFonts w:hint="eastAsia" w:ascii="Times New Roman" w:hAnsi="Times New Roman" w:eastAsia="仿宋_GB2312" w:cs="Times New Roman"/>
          <w:sz w:val="28"/>
          <w:szCs w:val="28"/>
        </w:rPr>
        <w:t>。</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㈡用于服务质量保障费用的支出合计129,161.33元，占本评估期实收服务总经费的18.64%，其中：</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１、专业支持的支出15,000.00元，占本评估期实收服务总经费的2.16%。</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培训费支出</w:t>
      </w:r>
      <w:r>
        <w:rPr>
          <w:rFonts w:ascii="Times New Roman" w:hAnsi="Times New Roman" w:eastAsia="仿宋_GB2312" w:cs="Times New Roman"/>
          <w:color w:val="000000" w:themeColor="text1"/>
          <w:sz w:val="28"/>
          <w:szCs w:val="28"/>
          <w14:textFill>
            <w14:solidFill>
              <w14:schemeClr w14:val="tx1"/>
            </w14:solidFill>
          </w14:textFill>
        </w:rPr>
        <w:t>15,000.00</w:t>
      </w:r>
      <w:r>
        <w:rPr>
          <w:rFonts w:hint="eastAsia" w:ascii="Times New Roman" w:hAnsi="Times New Roman" w:eastAsia="仿宋_GB2312" w:cs="Times New Roman"/>
          <w:color w:val="000000" w:themeColor="text1"/>
          <w:sz w:val="28"/>
          <w:szCs w:val="28"/>
          <w14:textFill>
            <w14:solidFill>
              <w14:schemeClr w14:val="tx1"/>
            </w14:solidFill>
          </w14:textFill>
        </w:rPr>
        <w:t>元，为支付广州兴帆文化传播有限公司培训费。</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２、</w:t>
      </w:r>
      <w:r>
        <w:rPr>
          <w:rFonts w:ascii="Times New Roman" w:hAnsi="Times New Roman" w:eastAsia="仿宋_GB2312" w:cs="Times New Roman"/>
          <w:sz w:val="28"/>
          <w:szCs w:val="28"/>
        </w:rPr>
        <w:t>用于开展与专业服务和活动的支出59,837.17元，占本评估期实收服务总经费的8.63%。</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20,787.09</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⑵宣传费支出</w:t>
      </w:r>
      <w:r>
        <w:rPr>
          <w:rFonts w:ascii="Times New Roman" w:hAnsi="Times New Roman" w:eastAsia="仿宋_GB2312"/>
          <w:color w:val="000000" w:themeColor="text1"/>
          <w:sz w:val="28"/>
          <w:szCs w:val="28"/>
          <w14:textFill>
            <w14:solidFill>
              <w14:schemeClr w14:val="tx1"/>
            </w14:solidFill>
          </w14:textFill>
        </w:rPr>
        <w:t>28,720.00</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⑶交通费支出</w:t>
      </w:r>
      <w:r>
        <w:rPr>
          <w:rFonts w:ascii="Times New Roman" w:hAnsi="Times New Roman" w:eastAsia="仿宋_GB2312"/>
          <w:color w:val="000000" w:themeColor="text1"/>
          <w:sz w:val="28"/>
          <w:szCs w:val="28"/>
          <w14:textFill>
            <w14:solidFill>
              <w14:schemeClr w14:val="tx1"/>
            </w14:solidFill>
          </w14:textFill>
        </w:rPr>
        <w:t>1,798.06</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⑷误餐费支出</w:t>
      </w:r>
      <w:r>
        <w:rPr>
          <w:rFonts w:ascii="Times New Roman" w:hAnsi="Times New Roman" w:eastAsia="仿宋_GB2312"/>
          <w:color w:val="000000" w:themeColor="text1"/>
          <w:sz w:val="28"/>
          <w:szCs w:val="28"/>
          <w14:textFill>
            <w14:solidFill>
              <w14:schemeClr w14:val="tx1"/>
            </w14:solidFill>
          </w14:textFill>
        </w:rPr>
        <w:t>8,372.80</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⑸其他支出</w:t>
      </w:r>
      <w:r>
        <w:rPr>
          <w:rFonts w:ascii="Times New Roman" w:hAnsi="Times New Roman" w:eastAsia="仿宋_GB2312"/>
          <w:color w:val="000000" w:themeColor="text1"/>
          <w:sz w:val="28"/>
          <w:szCs w:val="28"/>
          <w14:textFill>
            <w14:solidFill>
              <w14:schemeClr w14:val="tx1"/>
            </w14:solidFill>
          </w14:textFill>
        </w:rPr>
        <w:t>159.22</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20" w:firstLineChars="200"/>
        <w:rPr>
          <w:rFonts w:ascii="Times New Roman" w:hAnsi="Times New Roman" w:eastAsia="仿宋_GB2312" w:cs="Times New Roman"/>
          <w:spacing w:val="-10"/>
          <w:sz w:val="28"/>
          <w:szCs w:val="28"/>
        </w:rPr>
      </w:pPr>
      <w:r>
        <w:rPr>
          <w:rFonts w:hint="eastAsia" w:ascii="Times New Roman" w:hAnsi="Times New Roman" w:eastAsia="仿宋_GB2312"/>
          <w:color w:val="000000" w:themeColor="text1"/>
          <w:spacing w:val="-10"/>
          <w:sz w:val="28"/>
          <w:szCs w:val="28"/>
          <w14:textFill>
            <w14:solidFill>
              <w14:schemeClr w14:val="tx1"/>
            </w14:solidFill>
          </w14:textFill>
        </w:rPr>
        <w:t>３、</w:t>
      </w:r>
      <w:r>
        <w:rPr>
          <w:rFonts w:ascii="Times New Roman" w:hAnsi="Times New Roman" w:eastAsia="仿宋_GB2312" w:cs="Times New Roman"/>
          <w:spacing w:val="-10"/>
          <w:sz w:val="28"/>
          <w:szCs w:val="28"/>
        </w:rPr>
        <w:t>用于日常办公费用支出39,104.98元，占本评估期实收服务总经费的5.64%。</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hint="eastAsia" w:ascii="Times New Roman" w:hAnsi="Times New Roman" w:eastAsia="仿宋" w:cs="Times New Roman"/>
          <w:sz w:val="28"/>
          <w:szCs w:val="28"/>
        </w:rPr>
        <w:t>办公费耗材支出</w:t>
      </w:r>
      <w:r>
        <w:rPr>
          <w:rFonts w:ascii="Times New Roman" w:hAnsi="Times New Roman" w:eastAsia="仿宋" w:cs="Times New Roman"/>
          <w:sz w:val="28"/>
          <w:szCs w:val="28"/>
        </w:rPr>
        <w:t>21,768.76</w:t>
      </w:r>
      <w:r>
        <w:rPr>
          <w:rFonts w:hint="eastAsia"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hint="eastAsia" w:ascii="Times New Roman" w:hAnsi="Times New Roman" w:eastAsia="仿宋" w:cs="Times New Roman"/>
          <w:sz w:val="28"/>
          <w:szCs w:val="28"/>
        </w:rPr>
        <w:t>水电费支出</w:t>
      </w:r>
      <w:r>
        <w:rPr>
          <w:rFonts w:ascii="Times New Roman" w:hAnsi="Times New Roman" w:eastAsia="仿宋" w:cs="Times New Roman"/>
          <w:sz w:val="28"/>
          <w:szCs w:val="28"/>
        </w:rPr>
        <w:t>12,000.00</w:t>
      </w:r>
      <w:r>
        <w:rPr>
          <w:rFonts w:hint="eastAsia"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hint="eastAsia" w:ascii="Times New Roman" w:hAnsi="Times New Roman" w:eastAsia="仿宋" w:cs="Times New Roman"/>
          <w:sz w:val="28"/>
          <w:szCs w:val="28"/>
        </w:rPr>
        <w:t>通讯费支出</w:t>
      </w:r>
      <w:r>
        <w:rPr>
          <w:rFonts w:ascii="Times New Roman" w:hAnsi="Times New Roman" w:eastAsia="仿宋" w:cs="Times New Roman"/>
          <w:sz w:val="28"/>
          <w:szCs w:val="28"/>
        </w:rPr>
        <w:t>4,777.58</w:t>
      </w:r>
      <w:r>
        <w:rPr>
          <w:rFonts w:hint="eastAsia"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⑷</w:t>
      </w:r>
      <w:r>
        <w:rPr>
          <w:rFonts w:hint="eastAsia" w:ascii="Times New Roman" w:hAnsi="Times New Roman" w:eastAsia="仿宋" w:cs="Times New Roman"/>
          <w:sz w:val="28"/>
          <w:szCs w:val="28"/>
        </w:rPr>
        <w:t>折旧费支出</w:t>
      </w:r>
      <w:r>
        <w:rPr>
          <w:rFonts w:ascii="Times New Roman" w:hAnsi="Times New Roman" w:eastAsia="仿宋" w:cs="Times New Roman"/>
          <w:sz w:val="28"/>
          <w:szCs w:val="28"/>
        </w:rPr>
        <w:t>233.18</w:t>
      </w:r>
      <w:r>
        <w:rPr>
          <w:rFonts w:hint="eastAsia"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⑸</w:t>
      </w:r>
      <w:r>
        <w:rPr>
          <w:rFonts w:hint="eastAsia" w:ascii="Times New Roman" w:hAnsi="Times New Roman" w:eastAsia="仿宋" w:cs="Times New Roman"/>
          <w:sz w:val="28"/>
          <w:szCs w:val="28"/>
        </w:rPr>
        <w:t>交通费支出</w:t>
      </w:r>
      <w:r>
        <w:rPr>
          <w:rFonts w:ascii="Times New Roman" w:hAnsi="Times New Roman" w:eastAsia="仿宋" w:cs="Times New Roman"/>
          <w:sz w:val="28"/>
          <w:szCs w:val="28"/>
        </w:rPr>
        <w:t>325.46</w:t>
      </w:r>
      <w:r>
        <w:rPr>
          <w:rFonts w:hint="eastAsia" w:ascii="Times New Roman" w:hAnsi="Times New Roman" w:eastAsia="仿宋" w:cs="Times New Roman"/>
          <w:sz w:val="28"/>
          <w:szCs w:val="28"/>
        </w:rPr>
        <w:t>元。</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15,219.18</w:t>
      </w:r>
      <w:r>
        <w:rPr>
          <w:rFonts w:hint="eastAsia" w:ascii="Times New Roman" w:hAnsi="Times New Roman" w:eastAsia="仿宋_GB2312"/>
          <w:color w:val="000000" w:themeColor="text1"/>
          <w:sz w:val="28"/>
          <w:szCs w:val="28"/>
          <w14:textFill>
            <w14:solidFill>
              <w14:schemeClr w14:val="tx1"/>
            </w14:solidFill>
          </w14:textFill>
        </w:rPr>
        <w:t>元（其中</w:t>
      </w:r>
      <w:r>
        <w:rPr>
          <w:rFonts w:ascii="Times New Roman" w:hAnsi="Times New Roman" w:eastAsia="仿宋_GB2312"/>
          <w:color w:val="000000" w:themeColor="text1"/>
          <w:sz w:val="28"/>
          <w:szCs w:val="28"/>
          <w14:textFill>
            <w14:solidFill>
              <w14:schemeClr w14:val="tx1"/>
            </w14:solidFill>
          </w14:textFill>
        </w:rPr>
        <w:t>7,945.41</w:t>
      </w:r>
      <w:r>
        <w:rPr>
          <w:rFonts w:hint="eastAsia" w:ascii="Times New Roman" w:hAnsi="Times New Roman" w:eastAsia="仿宋_GB2312"/>
          <w:color w:val="000000" w:themeColor="text1"/>
          <w:sz w:val="28"/>
          <w:szCs w:val="28"/>
          <w14:textFill>
            <w14:solidFill>
              <w14:schemeClr w14:val="tx1"/>
            </w14:solidFill>
          </w14:textFill>
        </w:rPr>
        <w:t>元增值税及城建税、附加税尚未申报缴纳，待收到服务经费后开票、申报缴纳税额），占本评估期实收服务总经费的</w:t>
      </w:r>
      <w:r>
        <w:rPr>
          <w:rFonts w:ascii="Times New Roman" w:hAnsi="Times New Roman" w:eastAsia="仿宋_GB2312"/>
          <w:color w:val="000000" w:themeColor="text1"/>
          <w:sz w:val="28"/>
          <w:szCs w:val="28"/>
          <w14:textFill>
            <w14:solidFill>
              <w14:schemeClr w14:val="tx1"/>
            </w14:solidFill>
          </w14:textFill>
        </w:rPr>
        <w:t>2.20%</w:t>
      </w:r>
      <w:r>
        <w:rPr>
          <w:rFonts w:hint="eastAsia" w:ascii="Times New Roman" w:hAnsi="Times New Roman" w:eastAsia="仿宋_GB2312"/>
          <w:color w:val="000000" w:themeColor="text1"/>
          <w:sz w:val="28"/>
          <w:szCs w:val="28"/>
          <w14:textFill>
            <w14:solidFill>
              <w14:schemeClr w14:val="tx1"/>
            </w14:solidFill>
          </w14:textFill>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㈢用于运营管理费用支出27,624.10元，占本评估期实收服务总经费的3.99%，其中：</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１、分摊机构人员工资</w:t>
      </w:r>
      <w:r>
        <w:rPr>
          <w:rFonts w:ascii="Times New Roman" w:hAnsi="Times New Roman" w:eastAsia="仿宋" w:cs="Times New Roman"/>
          <w:sz w:val="28"/>
          <w:szCs w:val="28"/>
        </w:rPr>
        <w:t>11,548.55</w:t>
      </w:r>
      <w:r>
        <w:rPr>
          <w:rFonts w:hint="eastAsia" w:ascii="Times New Roman" w:hAnsi="Times New Roman" w:eastAsia="仿宋" w:cs="Times New Roman"/>
          <w:sz w:val="28"/>
          <w:szCs w:val="28"/>
        </w:rPr>
        <w:t>元；</w:t>
      </w:r>
      <w:r>
        <w:rPr>
          <w:rFonts w:ascii="Times New Roman" w:hAnsi="Times New Roman" w:eastAsia="仿宋" w:cs="Times New Roman"/>
          <w:sz w:val="28"/>
          <w:szCs w:val="28"/>
        </w:rPr>
        <w:t xml:space="preserve"> </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２、分摊机构人员社保</w:t>
      </w:r>
      <w:r>
        <w:rPr>
          <w:rFonts w:ascii="Times New Roman" w:hAnsi="Times New Roman" w:eastAsia="仿宋" w:cs="Times New Roman"/>
          <w:sz w:val="28"/>
          <w:szCs w:val="28"/>
        </w:rPr>
        <w:t>2,082.47</w:t>
      </w:r>
      <w:r>
        <w:rPr>
          <w:rFonts w:hint="eastAsia" w:ascii="Times New Roman" w:hAnsi="Times New Roman" w:eastAsia="仿宋" w:cs="Times New Roman"/>
          <w:sz w:val="28"/>
          <w:szCs w:val="28"/>
        </w:rPr>
        <w:t>元</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３、分摊机构人员公积金</w:t>
      </w:r>
      <w:r>
        <w:rPr>
          <w:rFonts w:ascii="Times New Roman" w:hAnsi="Times New Roman" w:eastAsia="仿宋" w:cs="Times New Roman"/>
          <w:sz w:val="28"/>
          <w:szCs w:val="28"/>
        </w:rPr>
        <w:t>395.52</w:t>
      </w:r>
      <w:r>
        <w:rPr>
          <w:rFonts w:hint="eastAsia" w:ascii="Times New Roman" w:hAnsi="Times New Roman" w:eastAsia="仿宋" w:cs="Times New Roman"/>
          <w:sz w:val="28"/>
          <w:szCs w:val="28"/>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 w:cs="Times New Roman"/>
          <w:sz w:val="28"/>
          <w:szCs w:val="28"/>
        </w:rPr>
        <w:t>４、机构费用分摊</w:t>
      </w:r>
      <w:r>
        <w:rPr>
          <w:rFonts w:ascii="Times New Roman" w:hAnsi="Times New Roman" w:eastAsia="仿宋" w:cs="Times New Roman"/>
          <w:sz w:val="28"/>
          <w:szCs w:val="28"/>
        </w:rPr>
        <w:t>13,597.56</w:t>
      </w:r>
      <w:r>
        <w:rPr>
          <w:rFonts w:hint="eastAsia" w:ascii="Times New Roman" w:hAnsi="Times New Roman" w:eastAsia="仿宋" w:cs="Times New Roman"/>
          <w:sz w:val="28"/>
          <w:szCs w:val="28"/>
        </w:rPr>
        <w:t>元。</w:t>
      </w:r>
    </w:p>
    <w:p>
      <w:pPr>
        <w:spacing w:line="620" w:lineRule="exact"/>
        <w:ind w:right="-2"/>
        <w:outlineLvl w:val="0"/>
        <w:rPr>
          <w:rFonts w:ascii="Times New Roman" w:hAnsi="Times New Roman" w:eastAsia="仿宋_GB2312" w:cs="Times New Roman"/>
          <w:sz w:val="28"/>
          <w:szCs w:val="28"/>
        </w:rPr>
      </w:pPr>
      <w:r>
        <w:rPr>
          <w:rFonts w:ascii="Times New Roman" w:hAnsi="Times New Roman" w:eastAsia="仿宋_GB2312" w:cs="Times New Roman"/>
          <w:b/>
          <w:color w:val="000000" w:themeColor="text1"/>
          <w:sz w:val="28"/>
          <w:szCs w:val="28"/>
          <w14:textFill>
            <w14:solidFill>
              <w14:schemeClr w14:val="tx1"/>
            </w14:solidFill>
          </w14:textFill>
        </w:rPr>
        <w:t>七、本次服务协议期（</w:t>
      </w:r>
      <w:r>
        <w:rPr>
          <w:rFonts w:hint="eastAsia" w:ascii="Times New Roman" w:hAnsi="Times New Roman" w:eastAsia="仿宋_GB2312" w:cs="Times New Roman"/>
          <w:b/>
          <w:color w:val="000000" w:themeColor="text1"/>
          <w:sz w:val="28"/>
          <w:szCs w:val="28"/>
          <w14:textFill>
            <w14:solidFill>
              <w14:schemeClr w14:val="tx1"/>
            </w14:solidFill>
          </w14:textFill>
        </w:rPr>
        <w:t>2023年9月1日至2024年8月23日</w:t>
      </w:r>
      <w:r>
        <w:rPr>
          <w:rFonts w:ascii="Times New Roman" w:hAnsi="Times New Roman" w:eastAsia="仿宋_GB2312" w:cs="Times New Roman"/>
          <w:b/>
          <w:sz w:val="28"/>
          <w:szCs w:val="28"/>
        </w:rPr>
        <w:t>）经费总拨入、支出、结余情况</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业会专审[2024]042号</w:t>
      </w:r>
      <w:r>
        <w:rPr>
          <w:rFonts w:ascii="Times New Roman" w:hAnsi="Times New Roman" w:eastAsia="仿宋_GB2312" w:cs="Times New Roman"/>
          <w:sz w:val="28"/>
          <w:szCs w:val="28"/>
        </w:rPr>
        <w:t>”财务管理情况评估报告并结合本评估报告</w:t>
      </w:r>
      <w:r>
        <w:rPr>
          <w:rFonts w:hint="eastAsia" w:ascii="Times New Roman" w:hAnsi="Times New Roman" w:eastAsia="仿宋_GB2312" w:cs="Times New Roman"/>
          <w:sz w:val="28"/>
          <w:szCs w:val="28"/>
        </w:rPr>
        <w:t>2024年3月1日至2024年8月23日</w:t>
      </w:r>
      <w:r>
        <w:rPr>
          <w:rFonts w:ascii="Times New Roman" w:hAnsi="Times New Roman" w:eastAsia="仿宋_GB2312" w:cs="Times New Roman"/>
          <w:sz w:val="28"/>
          <w:szCs w:val="28"/>
        </w:rPr>
        <w:t>财务管理评估情况，截至</w:t>
      </w:r>
      <w:r>
        <w:rPr>
          <w:rFonts w:hint="eastAsia" w:ascii="Times New Roman" w:hAnsi="Times New Roman" w:eastAsia="仿宋_GB2312" w:cs="Times New Roman"/>
          <w:sz w:val="28"/>
          <w:szCs w:val="28"/>
        </w:rPr>
        <w:t>报告</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累计已收到本次服务协议期政府采购服务经费1,572,267.00元，</w:t>
      </w:r>
      <w:r>
        <w:rPr>
          <w:rFonts w:hint="eastAsia" w:ascii="Times New Roman" w:hAnsi="Times New Roman" w:eastAsia="仿宋_GB2312" w:cs="Times New Roman"/>
          <w:sz w:val="28"/>
          <w:szCs w:val="28"/>
        </w:rPr>
        <w:t>累计支出服务经费</w:t>
      </w:r>
      <w:r>
        <w:rPr>
          <w:rFonts w:ascii="Times New Roman" w:hAnsi="Times New Roman" w:eastAsia="仿宋_GB2312" w:cs="Times New Roman"/>
          <w:sz w:val="28"/>
          <w:szCs w:val="28"/>
        </w:rPr>
        <w:t>2,505,661.42</w:t>
      </w:r>
      <w:r>
        <w:rPr>
          <w:rFonts w:hint="eastAsia" w:ascii="Times New Roman" w:hAnsi="Times New Roman" w:eastAsia="仿宋_GB2312" w:cs="Times New Roman"/>
          <w:sz w:val="28"/>
          <w:szCs w:val="28"/>
        </w:rPr>
        <w:t>元，剔除</w:t>
      </w:r>
      <w:bookmarkStart w:id="3" w:name="_Hlk180358541"/>
      <w:r>
        <w:rPr>
          <w:rFonts w:hint="eastAsia" w:ascii="Times New Roman" w:hAnsi="Times New Roman" w:eastAsia="仿宋_GB2312" w:cs="Times New Roman"/>
          <w:color w:val="000000" w:themeColor="text1"/>
          <w:sz w:val="28"/>
          <w:szCs w:val="28"/>
          <w14:textFill>
            <w14:solidFill>
              <w14:schemeClr w14:val="tx1"/>
            </w14:solidFill>
          </w14:textFill>
        </w:rPr>
        <w:t>承接机构管理费用</w:t>
      </w:r>
      <w:r>
        <w:rPr>
          <w:rFonts w:hint="eastAsia" w:ascii="Times New Roman" w:hAnsi="Times New Roman" w:eastAsia="仿宋_GB2312" w:cs="Times New Roman"/>
          <w:sz w:val="28"/>
          <w:szCs w:val="28"/>
        </w:rPr>
        <w:t>超10%部分</w:t>
      </w:r>
      <w:bookmarkEnd w:id="3"/>
      <w:r>
        <w:rPr>
          <w:rFonts w:ascii="Times New Roman" w:hAnsi="Times New Roman" w:eastAsia="仿宋_GB2312" w:cs="Times New Roman"/>
          <w:sz w:val="28"/>
          <w:szCs w:val="28"/>
        </w:rPr>
        <w:t>1,259.60</w:t>
      </w:r>
      <w:r>
        <w:rPr>
          <w:rFonts w:hint="eastAsia" w:ascii="Times New Roman" w:hAnsi="Times New Roman" w:eastAsia="仿宋_GB2312" w:cs="Times New Roman"/>
          <w:sz w:val="28"/>
          <w:szCs w:val="28"/>
        </w:rPr>
        <w:t>元后，服务经费实际累计支出</w:t>
      </w:r>
      <w:r>
        <w:rPr>
          <w:rFonts w:ascii="Times New Roman" w:hAnsi="Times New Roman" w:eastAsia="仿宋_GB2312" w:cs="Times New Roman"/>
          <w:sz w:val="28"/>
          <w:szCs w:val="28"/>
        </w:rPr>
        <w:t>2,504,401.82</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，结余金额为-932,134.82元（不含未拨入的774,400.00元）</w:t>
      </w:r>
      <w:r>
        <w:rPr>
          <w:rFonts w:ascii="Times New Roman" w:hAnsi="Times New Roman" w:eastAsia="仿宋_GB2312" w:cs="Times New Roman"/>
          <w:color w:val="000000" w:themeColor="text1"/>
          <w:sz w:val="28"/>
          <w:szCs w:val="28"/>
          <w14:textFill>
            <w14:solidFill>
              <w14:schemeClr w14:val="tx1"/>
            </w14:solidFill>
          </w14:textFill>
        </w:rPr>
        <w:t>。</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经评估，用于人员费用支出占服务总经费的86.96%，</w:t>
      </w:r>
      <w:r>
        <w:rPr>
          <w:rFonts w:hint="eastAsia" w:ascii="Times New Roman" w:hAnsi="Times New Roman" w:eastAsia="仿宋_GB2312" w:cs="Times New Roman"/>
          <w:color w:val="000000" w:themeColor="text1"/>
          <w:sz w:val="28"/>
          <w:szCs w:val="28"/>
          <w14:textFill>
            <w14:solidFill>
              <w14:schemeClr w14:val="tx1"/>
            </w14:solidFill>
          </w14:textFill>
        </w:rPr>
        <w:t>服务质量保障费用及承接机构管理费用占服务总经费的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19.82%</w:t>
      </w:r>
      <w:r>
        <w:rPr>
          <w:rFonts w:hint="eastAsia" w:ascii="Times New Roman" w:hAnsi="Times New Roman" w:eastAsia="仿宋_GB2312" w:cs="Times New Roman"/>
          <w:color w:val="000000" w:themeColor="text1"/>
          <w:sz w:val="28"/>
          <w:szCs w:val="28"/>
          <w14:textFill>
            <w14:solidFill>
              <w14:schemeClr w14:val="tx1"/>
            </w14:solidFill>
          </w14:textFill>
        </w:rPr>
        <w:t>，其中承接机构管理费用占服务总经费的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10.05%</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按广州市社工服务站管理办法的通知“承接机构管理费用应当不高于项目经费总额的10%”，承接机构管理费用应剔除金额</w:t>
      </w:r>
      <w:r>
        <w:rPr>
          <w:rFonts w:ascii="Times New Roman" w:hAnsi="Times New Roman" w:eastAsia="仿宋_GB2312" w:cs="Times New Roman"/>
          <w:color w:val="000000" w:themeColor="text1"/>
          <w:sz w:val="28"/>
          <w:szCs w:val="28"/>
          <w14:textFill>
            <w14:solidFill>
              <w14:schemeClr w14:val="tx1"/>
            </w14:solidFill>
          </w14:textFill>
        </w:rPr>
        <w:t>1,259.60</w:t>
      </w:r>
      <w:r>
        <w:rPr>
          <w:rFonts w:hint="eastAsia" w:ascii="Times New Roman" w:hAnsi="Times New Roman" w:eastAsia="仿宋_GB2312" w:cs="Times New Roman"/>
          <w:color w:val="000000" w:themeColor="text1"/>
          <w:sz w:val="28"/>
          <w:szCs w:val="28"/>
          <w14:textFill>
            <w14:solidFill>
              <w14:schemeClr w14:val="tx1"/>
            </w14:solidFill>
          </w14:textFill>
        </w:rPr>
        <w:t>元，剔除后，服务质量保障费用及承接机构管理费用占服务总经费的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19.76%</w:t>
      </w:r>
      <w:r>
        <w:rPr>
          <w:rFonts w:hint="eastAsia" w:ascii="Times New Roman" w:hAnsi="Times New Roman" w:eastAsia="仿宋_GB2312" w:cs="Times New Roman"/>
          <w:color w:val="000000" w:themeColor="text1"/>
          <w:sz w:val="28"/>
          <w:szCs w:val="28"/>
          <w14:textFill>
            <w14:solidFill>
              <w14:schemeClr w14:val="tx1"/>
            </w14:solidFill>
          </w14:textFill>
        </w:rPr>
        <w:t>，其中承接机构管理费用占服务总经费的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10.</w:t>
      </w:r>
      <w:r>
        <w:rPr>
          <w:rFonts w:hint="eastAsia" w:ascii="Times New Roman" w:hAnsi="Times New Roman" w:eastAsia="仿宋_GB2312" w:cs="Times New Roman"/>
          <w:color w:val="000000" w:themeColor="text1"/>
          <w:sz w:val="28"/>
          <w:szCs w:val="28"/>
          <w14:textFill>
            <w14:solidFill>
              <w14:schemeClr w14:val="tx1"/>
            </w14:solidFill>
          </w14:textFill>
        </w:rPr>
        <w:t>00</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具体经费支出情况如下：</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㈠用于</w:t>
      </w:r>
      <w:r>
        <w:rPr>
          <w:rFonts w:hint="eastAsia" w:ascii="Times New Roman" w:hAnsi="Times New Roman" w:eastAsia="仿宋_GB2312" w:cs="Times New Roman"/>
          <w:sz w:val="28"/>
          <w:szCs w:val="28"/>
        </w:rPr>
        <w:t>石碁社工站</w:t>
      </w:r>
      <w:r>
        <w:rPr>
          <w:rFonts w:ascii="Times New Roman" w:hAnsi="Times New Roman" w:eastAsia="仿宋_GB2312" w:cs="Times New Roman"/>
          <w:color w:val="000000" w:themeColor="text1"/>
          <w:sz w:val="28"/>
          <w:szCs w:val="28"/>
          <w14:textFill>
            <w14:solidFill>
              <w14:schemeClr w14:val="tx1"/>
            </w14:solidFill>
          </w14:textFill>
        </w:rPr>
        <w:t>人员费用支出</w:t>
      </w:r>
      <w:r>
        <w:rPr>
          <w:rFonts w:hint="eastAsia" w:ascii="Times New Roman" w:hAnsi="Times New Roman" w:eastAsia="仿宋_GB2312" w:cs="Times New Roman"/>
          <w:color w:val="000000" w:themeColor="text1"/>
          <w:sz w:val="28"/>
          <w:szCs w:val="28"/>
          <w14:textFill>
            <w14:solidFill>
              <w14:schemeClr w14:val="tx1"/>
            </w14:solidFill>
          </w14:textFill>
        </w:rPr>
        <w:t>2,040,589.05</w:t>
      </w:r>
      <w:r>
        <w:rPr>
          <w:rFonts w:ascii="Times New Roman" w:hAnsi="Times New Roman" w:eastAsia="仿宋_GB2312" w:cs="Times New Roman"/>
          <w:color w:val="000000" w:themeColor="text1"/>
          <w:sz w:val="28"/>
          <w:szCs w:val="28"/>
          <w14:textFill>
            <w14:solidFill>
              <w14:schemeClr w14:val="tx1"/>
            </w14:solidFill>
          </w14:textFill>
        </w:rPr>
        <w:t>元，占服务总经费的</w:t>
      </w:r>
      <w:r>
        <w:rPr>
          <w:rFonts w:hint="eastAsia" w:ascii="Times New Roman" w:hAnsi="Times New Roman" w:eastAsia="仿宋_GB2312" w:cs="Times New Roman"/>
          <w:color w:val="000000" w:themeColor="text1"/>
          <w:sz w:val="28"/>
          <w:szCs w:val="28"/>
          <w14:textFill>
            <w14:solidFill>
              <w14:schemeClr w14:val="tx1"/>
            </w14:solidFill>
          </w14:textFill>
        </w:rPr>
        <w:t>86.96</w:t>
      </w:r>
      <w:r>
        <w:rPr>
          <w:rFonts w:ascii="Times New Roman" w:hAnsi="Times New Roman" w:eastAsia="仿宋_GB2312" w:cs="Times New Roman"/>
          <w:color w:val="000000" w:themeColor="text1"/>
          <w:sz w:val="28"/>
          <w:szCs w:val="28"/>
          <w14:textFill>
            <w14:solidFill>
              <w14:schemeClr w14:val="tx1"/>
            </w14:solidFill>
          </w14:textFill>
        </w:rPr>
        <w:t>%，预算执行率10</w:t>
      </w:r>
      <w:r>
        <w:rPr>
          <w:rFonts w:hint="eastAsia" w:ascii="Times New Roman" w:hAnsi="Times New Roman" w:eastAsia="仿宋_GB2312" w:cs="Times New Roman"/>
          <w:color w:val="000000" w:themeColor="text1"/>
          <w:sz w:val="28"/>
          <w:szCs w:val="28"/>
          <w14:textFill>
            <w14:solidFill>
              <w14:schemeClr w14:val="tx1"/>
            </w14:solidFill>
          </w14:textFill>
        </w:rPr>
        <w:t>8.70</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１、工资总额支出1,724,658.38元（包含生活保障金83,050.00元、辞退赔偿金69,262.50元）；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２、五险金支出</w:t>
      </w:r>
      <w:r>
        <w:rPr>
          <w:rFonts w:ascii="Times New Roman" w:hAnsi="Times New Roman" w:eastAsia="仿宋_GB2312" w:cs="Times New Roman"/>
          <w:sz w:val="28"/>
          <w:szCs w:val="28"/>
        </w:rPr>
        <w:t>286,780.67</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３、公积金支出</w:t>
      </w:r>
      <w:r>
        <w:rPr>
          <w:rFonts w:ascii="Times New Roman" w:hAnsi="Times New Roman" w:eastAsia="仿宋_GB2312" w:cs="Times New Roman"/>
          <w:sz w:val="28"/>
          <w:szCs w:val="28"/>
        </w:rPr>
        <w:t>29,150.00</w:t>
      </w:r>
      <w:r>
        <w:rPr>
          <w:rFonts w:hint="eastAsia" w:ascii="Times New Roman" w:hAnsi="Times New Roman" w:eastAsia="仿宋_GB2312" w:cs="Times New Roman"/>
          <w:sz w:val="28"/>
          <w:szCs w:val="28"/>
        </w:rPr>
        <w:t>元。</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服务质量保障费用的支出合计229,146.07元，占服务总经费的9.76%，预算执行率97.65%，其中：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１、专业支持的支出</w:t>
      </w:r>
      <w:r>
        <w:rPr>
          <w:rFonts w:ascii="Times New Roman" w:hAnsi="Times New Roman" w:eastAsia="仿宋_GB2312" w:cs="Times New Roman"/>
          <w:sz w:val="28"/>
          <w:szCs w:val="28"/>
        </w:rPr>
        <w:t>22,000.00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占服务总经费的0.94%</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培训费支出</w:t>
      </w:r>
      <w:r>
        <w:rPr>
          <w:rFonts w:ascii="Times New Roman" w:hAnsi="Times New Roman" w:eastAsia="仿宋_GB2312" w:cs="Times New Roman"/>
          <w:sz w:val="28"/>
          <w:szCs w:val="28"/>
        </w:rPr>
        <w:t>22,000.00</w:t>
      </w:r>
      <w:r>
        <w:rPr>
          <w:rFonts w:hint="eastAsia" w:ascii="Times New Roman" w:hAnsi="Times New Roman" w:eastAsia="仿宋_GB2312" w:cs="Times New Roman"/>
          <w:sz w:val="28"/>
          <w:szCs w:val="28"/>
        </w:rPr>
        <w:t>元，为支付广州兴帆文化传播有限公司培训费。</w:t>
      </w:r>
    </w:p>
    <w:p>
      <w:pPr>
        <w:spacing w:line="59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114,697.14</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占服务总经费的4.89%</w:t>
      </w:r>
      <w:r>
        <w:rPr>
          <w:rFonts w:hint="eastAsia" w:ascii="Times New Roman" w:hAnsi="Times New Roman" w:eastAsia="仿宋_GB2312" w:cs="Times New Roman"/>
          <w:spacing w:val="-6"/>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⑴服务和活动物料支出</w:t>
      </w:r>
      <w:r>
        <w:rPr>
          <w:rFonts w:ascii="Times New Roman" w:hAnsi="Times New Roman" w:eastAsia="仿宋_GB2312" w:cs="Times New Roman"/>
          <w:sz w:val="28"/>
          <w:szCs w:val="28"/>
        </w:rPr>
        <w:t>63,191.21</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⑵宣传费支出</w:t>
      </w:r>
      <w:r>
        <w:rPr>
          <w:rFonts w:ascii="Times New Roman" w:hAnsi="Times New Roman" w:eastAsia="仿宋_GB2312" w:cs="Times New Roman"/>
          <w:sz w:val="28"/>
          <w:szCs w:val="28"/>
        </w:rPr>
        <w:t>30,010.00</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⑶交通费支出</w:t>
      </w:r>
      <w:r>
        <w:rPr>
          <w:rFonts w:ascii="Times New Roman" w:hAnsi="Times New Roman" w:eastAsia="仿宋_GB2312" w:cs="Times New Roman"/>
          <w:sz w:val="28"/>
          <w:szCs w:val="28"/>
        </w:rPr>
        <w:t>6,900.56</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⑷误餐费支出</w:t>
      </w:r>
      <w:r>
        <w:rPr>
          <w:rFonts w:ascii="Times New Roman" w:hAnsi="Times New Roman" w:eastAsia="仿宋_GB2312" w:cs="Times New Roman"/>
          <w:sz w:val="28"/>
          <w:szCs w:val="28"/>
        </w:rPr>
        <w:t>14,436.15</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⑸其他支出159.22元。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３、用于日常办公费用支出</w:t>
      </w:r>
      <w:r>
        <w:rPr>
          <w:rFonts w:ascii="Times New Roman" w:hAnsi="Times New Roman" w:eastAsia="仿宋_GB2312" w:cs="Times New Roman"/>
          <w:sz w:val="28"/>
          <w:szCs w:val="28"/>
        </w:rPr>
        <w:t>68,002.53</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占服务总经费的2.90%</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⑴办公费耗材支出45,433.38元；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⑵水电费支出12,000.00元；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⑶通讯费支出8,568.47元；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⑷折旧费支出1,633.22元；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⑸交通费支出325.46元；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⑹其他支出42.00元。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４、用于机构年度相关税费支出</w:t>
      </w:r>
      <w:r>
        <w:rPr>
          <w:rFonts w:ascii="Times New Roman" w:hAnsi="Times New Roman" w:eastAsia="仿宋_GB2312" w:cs="Times New Roman"/>
          <w:sz w:val="28"/>
          <w:szCs w:val="28"/>
        </w:rPr>
        <w:t>24,446.40</w:t>
      </w:r>
      <w:r>
        <w:rPr>
          <w:rFonts w:hint="eastAsia" w:ascii="Times New Roman" w:hAnsi="Times New Roman" w:eastAsia="仿宋_GB2312" w:cs="Times New Roman"/>
          <w:sz w:val="28"/>
          <w:szCs w:val="28"/>
        </w:rPr>
        <w:t>元（其中7,945.41元增值税及城建税、附加税尚未申报缴纳，待收到服务经费后开票、申报缴纳税额），</w:t>
      </w:r>
      <w:r>
        <w:rPr>
          <w:rFonts w:ascii="Times New Roman" w:hAnsi="Times New Roman" w:eastAsia="仿宋_GB2312" w:cs="Times New Roman"/>
          <w:sz w:val="28"/>
          <w:szCs w:val="28"/>
        </w:rPr>
        <w:t>占服务总经费的1.04%</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运营管理费用支出235,926.30元，占服务总经费的10.05%，预算执行率100.54%。其中：</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１、分摊机构人员工资</w:t>
      </w:r>
      <w:r>
        <w:rPr>
          <w:rFonts w:ascii="Times New Roman" w:hAnsi="Times New Roman" w:eastAsia="仿宋" w:cs="Times New Roman"/>
          <w:sz w:val="28"/>
          <w:szCs w:val="28"/>
        </w:rPr>
        <w:t>121,587.20</w:t>
      </w:r>
      <w:r>
        <w:rPr>
          <w:rFonts w:hint="eastAsia" w:ascii="Times New Roman" w:hAnsi="Times New Roman" w:eastAsia="仿宋" w:cs="Times New Roman"/>
          <w:sz w:val="28"/>
          <w:szCs w:val="28"/>
        </w:rPr>
        <w:t>元；</w:t>
      </w:r>
      <w:r>
        <w:rPr>
          <w:rFonts w:ascii="Times New Roman" w:hAnsi="Times New Roman" w:eastAsia="仿宋" w:cs="Times New Roman"/>
          <w:sz w:val="28"/>
          <w:szCs w:val="28"/>
        </w:rPr>
        <w:t xml:space="preserve"> </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２、分摊机构人员社保</w:t>
      </w:r>
      <w:r>
        <w:rPr>
          <w:rFonts w:ascii="Times New Roman" w:hAnsi="Times New Roman" w:eastAsia="仿宋" w:cs="Times New Roman"/>
          <w:sz w:val="28"/>
          <w:szCs w:val="28"/>
        </w:rPr>
        <w:t>15,511.81</w:t>
      </w:r>
      <w:r>
        <w:rPr>
          <w:rFonts w:hint="eastAsia"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３、分摊机构人员公积金</w:t>
      </w:r>
      <w:r>
        <w:rPr>
          <w:rFonts w:ascii="Times New Roman" w:hAnsi="Times New Roman" w:eastAsia="仿宋" w:cs="Times New Roman"/>
          <w:sz w:val="28"/>
          <w:szCs w:val="28"/>
        </w:rPr>
        <w:t>2,774.82</w:t>
      </w:r>
      <w:r>
        <w:rPr>
          <w:rFonts w:hint="eastAsia" w:ascii="Times New Roman" w:hAnsi="Times New Roman" w:eastAsia="仿宋" w:cs="Times New Roman"/>
          <w:sz w:val="28"/>
          <w:szCs w:val="28"/>
        </w:rPr>
        <w:t>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 w:cs="Times New Roman"/>
          <w:sz w:val="28"/>
          <w:szCs w:val="28"/>
        </w:rPr>
        <w:t>４、机构费用分摊</w:t>
      </w:r>
      <w:r>
        <w:rPr>
          <w:rFonts w:ascii="Times New Roman" w:hAnsi="Times New Roman" w:eastAsia="仿宋" w:cs="Times New Roman"/>
          <w:sz w:val="28"/>
          <w:szCs w:val="28"/>
        </w:rPr>
        <w:t>96,052.47</w:t>
      </w:r>
      <w:r>
        <w:rPr>
          <w:rFonts w:hint="eastAsia" w:ascii="Times New Roman" w:hAnsi="Times New Roman" w:eastAsia="仿宋" w:cs="Times New Roman"/>
          <w:sz w:val="28"/>
          <w:szCs w:val="28"/>
        </w:rPr>
        <w:t>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八、累计结余情况（</w:t>
      </w:r>
      <w:r>
        <w:rPr>
          <w:rFonts w:hint="eastAsia" w:ascii="Times New Roman" w:hAnsi="Times New Roman" w:eastAsia="仿宋_GB2312" w:cs="Times New Roman"/>
          <w:b/>
          <w:sz w:val="28"/>
          <w:szCs w:val="28"/>
        </w:rPr>
        <w:t>2016年8月24日-</w:t>
      </w:r>
      <w:r>
        <w:rPr>
          <w:rFonts w:ascii="Times New Roman" w:hAnsi="Times New Roman" w:eastAsia="仿宋_GB2312" w:cs="Times New Roman"/>
          <w:b/>
          <w:sz w:val="28"/>
          <w:szCs w:val="28"/>
        </w:rPr>
        <w:t>2024</w:t>
      </w:r>
      <w:r>
        <w:rPr>
          <w:rFonts w:hint="eastAsia" w:ascii="Times New Roman" w:hAnsi="Times New Roman" w:eastAsia="仿宋_GB2312" w:cs="Times New Roman"/>
          <w:b/>
          <w:sz w:val="28"/>
          <w:szCs w:val="28"/>
        </w:rPr>
        <w:t>年8月23日</w:t>
      </w:r>
      <w:r>
        <w:rPr>
          <w:rFonts w:ascii="Times New Roman" w:hAnsi="Times New Roman" w:eastAsia="仿宋_GB2312" w:cs="Times New Roman"/>
          <w:b/>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业会专审[2024]042号</w:t>
      </w:r>
      <w:r>
        <w:rPr>
          <w:rFonts w:ascii="Times New Roman" w:hAnsi="Times New Roman" w:eastAsia="仿宋_GB2312" w:cs="Times New Roman"/>
          <w:sz w:val="28"/>
          <w:szCs w:val="28"/>
        </w:rPr>
        <w:t>”财务管理情况评估报告及本次</w:t>
      </w:r>
      <w:r>
        <w:rPr>
          <w:rFonts w:hint="eastAsia" w:ascii="Times New Roman" w:hAnsi="Times New Roman" w:eastAsia="仿宋_GB2312" w:cs="Times New Roman"/>
          <w:sz w:val="28"/>
          <w:szCs w:val="28"/>
        </w:rPr>
        <w:t>2024年3月1日至2024年8月23日</w:t>
      </w:r>
      <w:r>
        <w:rPr>
          <w:rFonts w:ascii="Times New Roman" w:hAnsi="Times New Roman" w:eastAsia="仿宋_GB2312" w:cs="Times New Roman"/>
          <w:sz w:val="28"/>
          <w:szCs w:val="28"/>
        </w:rPr>
        <w:t>财务管理评估情况，</w:t>
      </w:r>
      <w:r>
        <w:rPr>
          <w:rFonts w:hint="eastAsia" w:ascii="Times New Roman" w:hAnsi="Times New Roman" w:eastAsia="仿宋_GB2312" w:cs="Times New Roman"/>
          <w:color w:val="000000" w:themeColor="text1"/>
          <w:sz w:val="28"/>
          <w:szCs w:val="28"/>
          <w14:textFill>
            <w14:solidFill>
              <w14:schemeClr w14:val="tx1"/>
            </w14:solidFill>
          </w14:textFill>
        </w:rPr>
        <w:t>自2016年8月24日至2024年8月23日</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石碁社工站</w:t>
      </w:r>
      <w:r>
        <w:rPr>
          <w:rFonts w:ascii="Times New Roman" w:hAnsi="Times New Roman" w:eastAsia="仿宋_GB2312" w:cs="Times New Roman"/>
          <w:sz w:val="28"/>
          <w:szCs w:val="28"/>
        </w:rPr>
        <w:t>服务经费累计结余-789,964.96元。具体每期结余情况如下：</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㈠石碁社工站2016年8月24日至2019年8月23日三年服务周期结束，结余资金-233,235.61元（负数不结转）。</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㈡2019年8月24日至2024年8月23日为石碁社工站的五年服务周期，其中：</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第一年协议期2019年8月24日至2020年8月23日，结余资金120,527.56元。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第二年协议期2020年8月24日至2021年8月23日，结余资金-7,037.50元。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第三年协议期2021年8月24日至2022年8月23日，结余资金60,056.55元。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第四年协议期2022年8月24日至2023年8月31日结余资金-31,376.75元。</w:t>
      </w:r>
    </w:p>
    <w:p>
      <w:pPr>
        <w:spacing w:line="610" w:lineRule="exact"/>
        <w:ind w:firstLine="560" w:firstLineChars="200"/>
        <w:rPr>
          <w:rFonts w:ascii="Times New Roman" w:hAnsi="Times New Roman" w:eastAsia="仿宋_GB2312" w:cs="Times New Roman"/>
          <w:spacing w:val="-6"/>
          <w:sz w:val="28"/>
          <w:szCs w:val="28"/>
        </w:rPr>
      </w:pPr>
      <w:r>
        <w:rPr>
          <w:rFonts w:hint="eastAsia" w:ascii="Times New Roman" w:hAnsi="Times New Roman" w:eastAsia="仿宋_GB2312"/>
          <w:color w:val="000000" w:themeColor="text1"/>
          <w:sz w:val="28"/>
          <w:szCs w:val="28"/>
          <w14:textFill>
            <w14:solidFill>
              <w14:schemeClr w14:val="tx1"/>
            </w14:solidFill>
          </w14:textFill>
        </w:rPr>
        <w:t>第五年协议期（本协议期）2023年9月1日至2024年8月23日，结余金额</w:t>
      </w:r>
      <w:r>
        <w:rPr>
          <w:rFonts w:ascii="Times New Roman" w:hAnsi="Times New Roman" w:eastAsia="仿宋_GB2312"/>
          <w:color w:val="000000" w:themeColor="text1"/>
          <w:sz w:val="28"/>
          <w:szCs w:val="28"/>
          <w14:textFill>
            <w14:solidFill>
              <w14:schemeClr w14:val="tx1"/>
            </w14:solidFill>
          </w14:textFill>
        </w:rPr>
        <w:t>-932,134.82</w:t>
      </w:r>
      <w:r>
        <w:rPr>
          <w:rFonts w:hint="eastAsia" w:ascii="Times New Roman" w:hAnsi="Times New Roman" w:eastAsia="仿宋_GB2312"/>
          <w:color w:val="000000" w:themeColor="text1"/>
          <w:sz w:val="28"/>
          <w:szCs w:val="28"/>
          <w14:textFill>
            <w14:solidFill>
              <w14:schemeClr w14:val="tx1"/>
            </w14:solidFill>
          </w14:textFill>
        </w:rPr>
        <w:t>元（不含未拨入的</w:t>
      </w:r>
      <w:r>
        <w:rPr>
          <w:rFonts w:ascii="Times New Roman" w:hAnsi="Times New Roman" w:eastAsia="仿宋_GB2312"/>
          <w:color w:val="000000" w:themeColor="text1"/>
          <w:sz w:val="28"/>
          <w:szCs w:val="28"/>
          <w14:textFill>
            <w14:solidFill>
              <w14:schemeClr w14:val="tx1"/>
            </w14:solidFill>
          </w14:textFill>
        </w:rPr>
        <w:t>774,400.00</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九、存在问题</w:t>
      </w:r>
      <w:r>
        <w:rPr>
          <w:rFonts w:hint="eastAsia" w:ascii="Times New Roman" w:hAnsi="Times New Roman" w:eastAsia="仿宋_GB2312" w:cs="Times New Roman"/>
          <w:b/>
          <w:sz w:val="28"/>
          <w:szCs w:val="28"/>
        </w:rPr>
        <w:t>及建议</w:t>
      </w:r>
    </w:p>
    <w:p>
      <w:pPr>
        <w:spacing w:line="61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１、培训费支出附件不合规。</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评估期</w:t>
      </w:r>
      <w:r>
        <w:rPr>
          <w:rFonts w:hint="eastAsia" w:ascii="Times New Roman" w:hAnsi="Times New Roman" w:eastAsia="仿宋" w:cs="Times New Roman"/>
          <w:sz w:val="28"/>
          <w:szCs w:val="28"/>
        </w:rPr>
        <w:t>向广州兴帆文化传播有限公司支付5场培训费用合计</w:t>
      </w:r>
      <w:r>
        <w:rPr>
          <w:rFonts w:ascii="Times New Roman" w:hAnsi="Times New Roman" w:eastAsia="仿宋" w:cs="Times New Roman"/>
          <w:sz w:val="28"/>
          <w:szCs w:val="28"/>
        </w:rPr>
        <w:t>15,000.00元，</w:t>
      </w:r>
      <w:r>
        <w:rPr>
          <w:rFonts w:hint="eastAsia" w:ascii="Times New Roman" w:hAnsi="Times New Roman" w:eastAsia="仿宋" w:cs="Times New Roman"/>
          <w:sz w:val="28"/>
          <w:szCs w:val="28"/>
        </w:rPr>
        <w:t>在主表“专业支持费用—培训费”中列支。</w:t>
      </w:r>
      <w:r>
        <w:rPr>
          <w:rFonts w:ascii="Times New Roman" w:hAnsi="Times New Roman" w:eastAsia="仿宋" w:cs="Times New Roman"/>
          <w:sz w:val="28"/>
          <w:szCs w:val="28"/>
        </w:rPr>
        <w:t>经审核，该项目支出存在以下问题：</w:t>
      </w:r>
    </w:p>
    <w:p>
      <w:pPr>
        <w:spacing w:line="61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fldChar w:fldCharType="begin"/>
      </w:r>
      <w:r>
        <w:rPr>
          <w:rFonts w:ascii="Times New Roman" w:hAnsi="Times New Roman" w:eastAsia="仿宋" w:cs="Times New Roman"/>
          <w:sz w:val="28"/>
          <w:szCs w:val="28"/>
          <w:highlight w:val="none"/>
        </w:rPr>
        <w:instrText xml:space="preserve"> </w:instrText>
      </w:r>
      <w:r>
        <w:rPr>
          <w:rFonts w:hint="eastAsia" w:ascii="Times New Roman" w:hAnsi="Times New Roman" w:eastAsia="仿宋" w:cs="Times New Roman"/>
          <w:sz w:val="28"/>
          <w:szCs w:val="28"/>
          <w:highlight w:val="none"/>
        </w:rPr>
        <w:instrText xml:space="preserve">= 1 \* GB2</w:instrText>
      </w:r>
      <w:r>
        <w:rPr>
          <w:rFonts w:ascii="Times New Roman" w:hAnsi="Times New Roman" w:eastAsia="仿宋" w:cs="Times New Roman"/>
          <w:sz w:val="28"/>
          <w:szCs w:val="28"/>
          <w:highlight w:val="none"/>
        </w:rPr>
        <w:instrText xml:space="preserve"> </w:instrText>
      </w:r>
      <w:r>
        <w:rPr>
          <w:rFonts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⑴</w:t>
      </w:r>
      <w:r>
        <w:rPr>
          <w:rFonts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t>培训信息反映不足。在审核过程中，我们发现2024年5月16日的培训照片中社工衣着与座位均与6月20日培训照片完全相同。经进一步查阅了承接机构重新提供的2024年5月16日的微信培训通知截图及培训现场照片，评估如下：</w:t>
      </w:r>
    </w:p>
    <w:p>
      <w:pPr>
        <w:spacing w:line="610" w:lineRule="exact"/>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①根据提供的微信记录截图所示：2024年5月16日上午，相关工作人员在“石碁社工站工作交流”微信群发布了培训通知，共有10名社工回复“收到”，而提供的培训现场照片显示参与培训人数为19名。</w:t>
      </w:r>
    </w:p>
    <w:p>
      <w:pPr>
        <w:spacing w:line="610" w:lineRule="exact"/>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②另外，所提供的培训照片中未见培训讲师、未能展示培训的具体内容，且照片中未添加任何日期或时间的水印。</w:t>
      </w:r>
    </w:p>
    <w:p>
      <w:pPr>
        <w:spacing w:line="610" w:lineRule="exact"/>
        <w:ind w:firstLine="560" w:firstLineChars="200"/>
        <w:rPr>
          <w:rFonts w:hint="eastAsia"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2 \* GB2</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⑵</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报价三方互为关联方。</w:t>
      </w:r>
    </w:p>
    <w:p>
      <w:pPr>
        <w:spacing w:line="61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该项培训支出合同价</w:t>
      </w:r>
      <w:r>
        <w:rPr>
          <w:rFonts w:ascii="Times New Roman" w:hAnsi="Times New Roman" w:eastAsia="仿宋" w:cs="Times New Roman"/>
          <w:sz w:val="28"/>
          <w:szCs w:val="28"/>
        </w:rPr>
        <w:t>15,000.00元</w:t>
      </w:r>
      <w:r>
        <w:rPr>
          <w:rFonts w:hint="eastAsia" w:ascii="Times New Roman" w:hAnsi="Times New Roman" w:eastAsia="仿宋" w:cs="Times New Roman"/>
          <w:sz w:val="28"/>
          <w:szCs w:val="28"/>
        </w:rPr>
        <w:t>，凭证有附3个单位的报价书，经登录“天眼查”查阅信息，我们发现参与报价的3个单位互为关联方，具体关联情况如下：</w:t>
      </w:r>
    </w:p>
    <w:tbl>
      <w:tblPr>
        <w:tblStyle w:val="7"/>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960"/>
        <w:gridCol w:w="224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1"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单位名称</w:t>
            </w:r>
          </w:p>
        </w:tc>
        <w:tc>
          <w:tcPr>
            <w:tcW w:w="960"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法人</w:t>
            </w:r>
          </w:p>
        </w:tc>
        <w:tc>
          <w:tcPr>
            <w:tcW w:w="2240"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股东</w:t>
            </w:r>
          </w:p>
        </w:tc>
        <w:tc>
          <w:tcPr>
            <w:tcW w:w="3231"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1" w:type="dxa"/>
            <w:shd w:val="clear" w:color="auto" w:fill="auto"/>
            <w:noWrap/>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广州兴帆文化传播有限公司</w:t>
            </w:r>
          </w:p>
        </w:tc>
        <w:tc>
          <w:tcPr>
            <w:tcW w:w="960"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张强</w:t>
            </w:r>
          </w:p>
        </w:tc>
        <w:tc>
          <w:tcPr>
            <w:tcW w:w="2240" w:type="dxa"/>
            <w:shd w:val="clear" w:color="auto" w:fill="auto"/>
            <w:noWrap/>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张强（持股100%）</w:t>
            </w:r>
          </w:p>
        </w:tc>
        <w:tc>
          <w:tcPr>
            <w:tcW w:w="3231" w:type="dxa"/>
            <w:shd w:val="clear" w:color="auto" w:fill="auto"/>
            <w:noWrap/>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现任监事及前任法定代表人为廖仁鲜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1" w:type="dxa"/>
            <w:shd w:val="clear" w:color="auto" w:fill="auto"/>
            <w:noWrap/>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广州苏氏文化传播有限公司</w:t>
            </w:r>
          </w:p>
        </w:tc>
        <w:tc>
          <w:tcPr>
            <w:tcW w:w="960"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张强</w:t>
            </w:r>
          </w:p>
        </w:tc>
        <w:tc>
          <w:tcPr>
            <w:tcW w:w="2240" w:type="dxa"/>
            <w:shd w:val="clear" w:color="auto" w:fill="auto"/>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张强（持股99%）；熊华（持股1%）</w:t>
            </w:r>
          </w:p>
        </w:tc>
        <w:tc>
          <w:tcPr>
            <w:tcW w:w="3231" w:type="dxa"/>
            <w:shd w:val="clear" w:color="auto" w:fill="auto"/>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前任股东为廖仁鲜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1" w:type="dxa"/>
            <w:shd w:val="clear" w:color="auto" w:fill="auto"/>
            <w:noWrap/>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广州星闪文化传播有限公司</w:t>
            </w:r>
          </w:p>
        </w:tc>
        <w:tc>
          <w:tcPr>
            <w:tcW w:w="960" w:type="dxa"/>
            <w:shd w:val="clear" w:color="auto" w:fill="auto"/>
            <w:noWrap/>
            <w:vAlign w:val="center"/>
          </w:tcPr>
          <w:p>
            <w:pPr>
              <w:widowControl/>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潘鲜凤</w:t>
            </w:r>
          </w:p>
        </w:tc>
        <w:tc>
          <w:tcPr>
            <w:tcW w:w="2240" w:type="dxa"/>
            <w:shd w:val="clear" w:color="auto" w:fill="auto"/>
            <w:vAlign w:val="center"/>
          </w:tcPr>
          <w:p>
            <w:pPr>
              <w:widowControl/>
              <w:jc w:val="left"/>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廖仁鲜（持股99%）；潘鲜凤（持股1%）</w:t>
            </w:r>
          </w:p>
        </w:tc>
        <w:tc>
          <w:tcPr>
            <w:tcW w:w="3231" w:type="dxa"/>
            <w:shd w:val="clear" w:color="auto" w:fill="auto"/>
            <w:vAlign w:val="center"/>
          </w:tcPr>
          <w:p>
            <w:pPr>
              <w:widowControl/>
              <w:jc w:val="left"/>
              <w:rPr>
                <w:rFonts w:ascii="Times New Roman" w:hAnsi="Times New Roman" w:eastAsia="仿宋" w:cs="Times New Roman"/>
                <w:color w:val="000000"/>
                <w:kern w:val="0"/>
                <w:sz w:val="22"/>
                <w:szCs w:val="22"/>
              </w:rPr>
            </w:pPr>
          </w:p>
        </w:tc>
      </w:tr>
    </w:tbl>
    <w:p>
      <w:pPr>
        <w:spacing w:line="610" w:lineRule="exact"/>
        <w:ind w:firstLine="560" w:firstLineChars="200"/>
        <w:rPr>
          <w:rFonts w:ascii="Times New Roman" w:hAnsi="Times New Roman" w:eastAsia="仿宋" w:cs="Times New Roman"/>
          <w:sz w:val="28"/>
          <w:szCs w:val="28"/>
        </w:rPr>
      </w:pPr>
      <w:bookmarkStart w:id="5" w:name="_GoBack"/>
      <w:bookmarkEnd w:id="5"/>
      <w:r>
        <w:rPr>
          <w:rFonts w:hint="eastAsia" w:ascii="Times New Roman" w:hAnsi="Times New Roman" w:eastAsia="仿宋" w:cs="Times New Roman"/>
          <w:sz w:val="28"/>
          <w:szCs w:val="28"/>
        </w:rPr>
        <w:t>建议严格按照单位制定的《财务管理内控制度》中第二部分财务报销流程管理相关规定执行，对不完善、不规范的报销单据，财务部应拒绝报销。</w:t>
      </w:r>
    </w:p>
    <w:p>
      <w:pPr>
        <w:spacing w:line="61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２、个别</w:t>
      </w:r>
      <w:r>
        <w:rPr>
          <w:rFonts w:hint="eastAsia" w:ascii="Times New Roman" w:hAnsi="Times New Roman" w:eastAsia="仿宋_GB2312"/>
          <w:color w:val="000000" w:themeColor="text1"/>
          <w:sz w:val="28"/>
          <w:szCs w:val="28"/>
          <w14:textFill>
            <w14:solidFill>
              <w14:schemeClr w14:val="tx1"/>
            </w14:solidFill>
          </w14:textFill>
        </w:rPr>
        <w:t>支出依据不足。如</w:t>
      </w:r>
      <w:r>
        <w:rPr>
          <w:rFonts w:hint="eastAsia" w:ascii="Times New Roman" w:hAnsi="Times New Roman" w:eastAsia="仿宋" w:cs="Times New Roman"/>
          <w:sz w:val="28"/>
          <w:szCs w:val="28"/>
        </w:rPr>
        <w:t>2024年8月20号凭证，向广州新思维设计服务有限公司支付印刷费及设计费共计</w:t>
      </w:r>
      <w:r>
        <w:rPr>
          <w:rFonts w:ascii="Times New Roman" w:hAnsi="Times New Roman" w:eastAsia="仿宋" w:cs="Times New Roman"/>
          <w:sz w:val="28"/>
          <w:szCs w:val="28"/>
        </w:rPr>
        <w:t>28,000.00</w:t>
      </w:r>
      <w:r>
        <w:rPr>
          <w:rFonts w:hint="eastAsia" w:ascii="Times New Roman" w:hAnsi="Times New Roman" w:eastAsia="仿宋" w:cs="Times New Roman"/>
          <w:sz w:val="28"/>
          <w:szCs w:val="28"/>
        </w:rPr>
        <w:t>元，在主表“专业服务和活动费用—宣传费”中列支，</w:t>
      </w:r>
      <w:r>
        <w:rPr>
          <w:rFonts w:ascii="Times New Roman" w:hAnsi="Times New Roman" w:eastAsia="仿宋" w:cs="Times New Roman"/>
          <w:sz w:val="28"/>
          <w:szCs w:val="28"/>
        </w:rPr>
        <w:t>经</w:t>
      </w:r>
      <w:r>
        <w:rPr>
          <w:rFonts w:hint="eastAsia" w:ascii="Times New Roman" w:hAnsi="Times New Roman" w:eastAsia="仿宋" w:cs="Times New Roman"/>
          <w:sz w:val="28"/>
          <w:szCs w:val="28"/>
        </w:rPr>
        <w:t>审核，凭证附件未见签收单、领用记录及三方报价或其他选定该服务商的标准等资料。建议严格按照单位制定的《财务管理内控制度》中第二部分财务报销流程管理相关规定执行，对不完善、不规范的报销单据，财务部应拒绝报销。</w:t>
      </w:r>
    </w:p>
    <w:p>
      <w:pPr>
        <w:spacing w:line="61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截至报告日，承接机构已补充三方报价书及出、入库单。</w:t>
      </w:r>
    </w:p>
    <w:p>
      <w:pPr>
        <w:spacing w:line="61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十、上期问题整改情况</w:t>
      </w:r>
    </w:p>
    <w:p>
      <w:pPr>
        <w:spacing w:line="610" w:lineRule="exact"/>
        <w:ind w:firstLine="560" w:firstLineChars="200"/>
        <w:rPr>
          <w:rFonts w:ascii="Times New Roman" w:hAnsi="Times New Roman" w:eastAsia="仿宋_GB2312"/>
          <w:sz w:val="28"/>
          <w:szCs w:val="28"/>
        </w:rPr>
      </w:pPr>
      <w:bookmarkStart w:id="4" w:name="_Hlk136820447"/>
      <w:r>
        <w:rPr>
          <w:rFonts w:hint="eastAsia" w:ascii="Times New Roman" w:hAnsi="Times New Roman" w:eastAsia="仿宋_GB2312"/>
          <w:sz w:val="28"/>
          <w:szCs w:val="28"/>
        </w:rPr>
        <w:t>根据“业会专审[2024]042号”财务管理情况评估报告，上一评估期（</w:t>
      </w:r>
      <w:r>
        <w:rPr>
          <w:rFonts w:hint="eastAsia" w:ascii="Times New Roman" w:hAnsi="Times New Roman" w:eastAsia="仿宋_GB2312"/>
          <w:color w:val="000000" w:themeColor="text1"/>
          <w:spacing w:val="-4"/>
          <w:sz w:val="28"/>
          <w:szCs w:val="28"/>
          <w14:textFill>
            <w14:solidFill>
              <w14:schemeClr w14:val="tx1"/>
            </w14:solidFill>
          </w14:textFill>
        </w:rPr>
        <w:t>2023年9月1日至2024年2月29日</w:t>
      </w:r>
      <w:r>
        <w:rPr>
          <w:rFonts w:hint="eastAsia" w:ascii="Times New Roman" w:hAnsi="Times New Roman" w:eastAsia="仿宋_GB2312"/>
          <w:sz w:val="28"/>
          <w:szCs w:val="28"/>
        </w:rPr>
        <w:t>）存在“个别误餐费支出报销依据不足”的问题，承接机构本评估期补充提供了工作人员签到表；针对上期“个别交通费支出报销附件相互矛盾”的问题，经审核，本评估期内石碁社工站尚未提供相关整改资料。</w:t>
      </w:r>
    </w:p>
    <w:bookmarkEnd w:id="4"/>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、评估结论</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经上述审核，我们认为</w:t>
      </w:r>
      <w:r>
        <w:rPr>
          <w:rFonts w:hint="eastAsia" w:ascii="Times New Roman" w:hAnsi="Times New Roman" w:eastAsia="仿宋_GB2312" w:cs="Times New Roman"/>
          <w:sz w:val="28"/>
          <w:szCs w:val="28"/>
        </w:rPr>
        <w:t>广州市番禺区石碁镇社工服务站</w:t>
      </w:r>
      <w:r>
        <w:rPr>
          <w:rFonts w:ascii="Times New Roman" w:hAnsi="Times New Roman" w:eastAsia="仿宋_GB2312" w:cs="Times New Roman"/>
          <w:sz w:val="28"/>
          <w:szCs w:val="28"/>
        </w:rPr>
        <w:t>本次财务评估等级为：合格。</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二</w:t>
      </w:r>
      <w:r>
        <w:rPr>
          <w:rFonts w:ascii="Times New Roman" w:hAnsi="Times New Roman" w:eastAsia="仿宋_GB2312" w:cs="Times New Roman"/>
          <w:b/>
          <w:sz w:val="28"/>
          <w:szCs w:val="28"/>
        </w:rPr>
        <w:t>、其他事项</w:t>
      </w:r>
    </w:p>
    <w:p>
      <w:pPr>
        <w:spacing w:line="59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w:t>
      </w:r>
      <w:r>
        <w:rPr>
          <w:rFonts w:hint="eastAsia" w:ascii="Times New Roman" w:hAnsi="Times New Roman" w:eastAsia="仿宋_GB2312" w:cs="Times New Roman"/>
          <w:sz w:val="28"/>
          <w:szCs w:val="28"/>
        </w:rPr>
        <w:t>石碁社工站</w:t>
      </w:r>
      <w:r>
        <w:rPr>
          <w:rFonts w:ascii="Times New Roman" w:hAnsi="Times New Roman" w:eastAsia="仿宋" w:cs="Times New Roman"/>
          <w:color w:val="000000" w:themeColor="text1"/>
          <w:sz w:val="28"/>
          <w:szCs w:val="28"/>
          <w14:textFill>
            <w14:solidFill>
              <w14:schemeClr w14:val="tx1"/>
            </w14:solidFill>
          </w14:textFill>
        </w:rPr>
        <w:t>财务评估使用，本事务所及本注册会计师不对运用本报告于其他目的造成的经济后果负责。</w:t>
      </w:r>
    </w:p>
    <w:p>
      <w:pPr>
        <w:spacing w:line="590" w:lineRule="exact"/>
        <w:ind w:firstLine="560" w:firstLineChars="200"/>
        <w:rPr>
          <w:rFonts w:ascii="Times New Roman" w:hAnsi="Times New Roman" w:eastAsia="仿宋" w:cs="Times New Roman"/>
          <w:sz w:val="28"/>
          <w:szCs w:val="28"/>
        </w:rPr>
      </w:pPr>
    </w:p>
    <w:p>
      <w:pPr>
        <w:spacing w:line="600" w:lineRule="exact"/>
        <w:ind w:firstLine="440" w:firstLineChars="200"/>
        <w:rPr>
          <w:rFonts w:ascii="Times New Roman" w:hAnsi="Times New Roman" w:eastAsia="仿宋_GB2312" w:cs="Times New Roman"/>
          <w:sz w:val="22"/>
          <w:szCs w:val="28"/>
        </w:rPr>
      </w:pPr>
    </w:p>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p>
    <w:tbl>
      <w:tblPr>
        <w:tblStyle w:val="7"/>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rPr>
          <w:trHeight w:val="1511" w:hRule="atLeast"/>
        </w:trPr>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三十一</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07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7B"/>
    <w:rsid w:val="0000380C"/>
    <w:rsid w:val="00006946"/>
    <w:rsid w:val="00010BDE"/>
    <w:rsid w:val="00011EEA"/>
    <w:rsid w:val="00013248"/>
    <w:rsid w:val="000142DD"/>
    <w:rsid w:val="000159B7"/>
    <w:rsid w:val="00015B74"/>
    <w:rsid w:val="00031879"/>
    <w:rsid w:val="00036EC4"/>
    <w:rsid w:val="00043252"/>
    <w:rsid w:val="00046C3F"/>
    <w:rsid w:val="00050F91"/>
    <w:rsid w:val="0005317D"/>
    <w:rsid w:val="00062B39"/>
    <w:rsid w:val="000705E1"/>
    <w:rsid w:val="00070D72"/>
    <w:rsid w:val="000720EE"/>
    <w:rsid w:val="000737BD"/>
    <w:rsid w:val="00082C00"/>
    <w:rsid w:val="000877CC"/>
    <w:rsid w:val="000909F2"/>
    <w:rsid w:val="00092A58"/>
    <w:rsid w:val="000931EE"/>
    <w:rsid w:val="000A330F"/>
    <w:rsid w:val="000A75B2"/>
    <w:rsid w:val="000A7E37"/>
    <w:rsid w:val="000B0C99"/>
    <w:rsid w:val="000B298B"/>
    <w:rsid w:val="000C1F1B"/>
    <w:rsid w:val="000C52D3"/>
    <w:rsid w:val="000C5EB3"/>
    <w:rsid w:val="000C7546"/>
    <w:rsid w:val="000D13DD"/>
    <w:rsid w:val="000D1FDB"/>
    <w:rsid w:val="000D4295"/>
    <w:rsid w:val="000D4C35"/>
    <w:rsid w:val="000E1815"/>
    <w:rsid w:val="000F2AE5"/>
    <w:rsid w:val="000F322D"/>
    <w:rsid w:val="000F3F46"/>
    <w:rsid w:val="000F45B6"/>
    <w:rsid w:val="000F74B6"/>
    <w:rsid w:val="00120555"/>
    <w:rsid w:val="00121B0A"/>
    <w:rsid w:val="00121C69"/>
    <w:rsid w:val="0012230B"/>
    <w:rsid w:val="0013380D"/>
    <w:rsid w:val="001363B7"/>
    <w:rsid w:val="001442B0"/>
    <w:rsid w:val="00154457"/>
    <w:rsid w:val="001555FC"/>
    <w:rsid w:val="00157670"/>
    <w:rsid w:val="001707CA"/>
    <w:rsid w:val="00187E79"/>
    <w:rsid w:val="00193221"/>
    <w:rsid w:val="001A28F1"/>
    <w:rsid w:val="001A4760"/>
    <w:rsid w:val="001B4A1D"/>
    <w:rsid w:val="001C151B"/>
    <w:rsid w:val="001C60E4"/>
    <w:rsid w:val="001D5008"/>
    <w:rsid w:val="001E1963"/>
    <w:rsid w:val="001E1F85"/>
    <w:rsid w:val="001F08D5"/>
    <w:rsid w:val="001F73F7"/>
    <w:rsid w:val="002006E8"/>
    <w:rsid w:val="00210220"/>
    <w:rsid w:val="00210375"/>
    <w:rsid w:val="00216618"/>
    <w:rsid w:val="00221B8F"/>
    <w:rsid w:val="002221D9"/>
    <w:rsid w:val="0022377A"/>
    <w:rsid w:val="0022690C"/>
    <w:rsid w:val="00234439"/>
    <w:rsid w:val="00234F33"/>
    <w:rsid w:val="0023709F"/>
    <w:rsid w:val="0024371A"/>
    <w:rsid w:val="00243EB3"/>
    <w:rsid w:val="00245153"/>
    <w:rsid w:val="00246952"/>
    <w:rsid w:val="002557D3"/>
    <w:rsid w:val="00260FCC"/>
    <w:rsid w:val="00261B70"/>
    <w:rsid w:val="00261C13"/>
    <w:rsid w:val="00262B80"/>
    <w:rsid w:val="00273BCE"/>
    <w:rsid w:val="00282B1E"/>
    <w:rsid w:val="00285604"/>
    <w:rsid w:val="00286EAF"/>
    <w:rsid w:val="00287338"/>
    <w:rsid w:val="00287778"/>
    <w:rsid w:val="002907F9"/>
    <w:rsid w:val="00292DA9"/>
    <w:rsid w:val="002A5E2B"/>
    <w:rsid w:val="002A6087"/>
    <w:rsid w:val="002A7AC4"/>
    <w:rsid w:val="002B61C2"/>
    <w:rsid w:val="002B7AD5"/>
    <w:rsid w:val="002B7B76"/>
    <w:rsid w:val="002C4DFA"/>
    <w:rsid w:val="002C59A5"/>
    <w:rsid w:val="002D313E"/>
    <w:rsid w:val="002D612F"/>
    <w:rsid w:val="002E1842"/>
    <w:rsid w:val="002E3398"/>
    <w:rsid w:val="002E3642"/>
    <w:rsid w:val="002E4330"/>
    <w:rsid w:val="002E4695"/>
    <w:rsid w:val="002F16C4"/>
    <w:rsid w:val="002F241A"/>
    <w:rsid w:val="002F4C38"/>
    <w:rsid w:val="002F5421"/>
    <w:rsid w:val="0030183E"/>
    <w:rsid w:val="0030660C"/>
    <w:rsid w:val="00306805"/>
    <w:rsid w:val="0030788D"/>
    <w:rsid w:val="0032250F"/>
    <w:rsid w:val="00331E74"/>
    <w:rsid w:val="003327FC"/>
    <w:rsid w:val="00332C2E"/>
    <w:rsid w:val="0033395A"/>
    <w:rsid w:val="00333A70"/>
    <w:rsid w:val="00341923"/>
    <w:rsid w:val="00341D2A"/>
    <w:rsid w:val="00341EFE"/>
    <w:rsid w:val="0034361B"/>
    <w:rsid w:val="003475FE"/>
    <w:rsid w:val="003509D8"/>
    <w:rsid w:val="003542A6"/>
    <w:rsid w:val="00354454"/>
    <w:rsid w:val="003557CD"/>
    <w:rsid w:val="003607E2"/>
    <w:rsid w:val="00364A0B"/>
    <w:rsid w:val="00364A12"/>
    <w:rsid w:val="003729FB"/>
    <w:rsid w:val="00377534"/>
    <w:rsid w:val="00377B7E"/>
    <w:rsid w:val="003808E9"/>
    <w:rsid w:val="003832E2"/>
    <w:rsid w:val="0038409B"/>
    <w:rsid w:val="003858E5"/>
    <w:rsid w:val="00390BCD"/>
    <w:rsid w:val="003A0B20"/>
    <w:rsid w:val="003A2E84"/>
    <w:rsid w:val="003A57F0"/>
    <w:rsid w:val="003B1840"/>
    <w:rsid w:val="003B20D1"/>
    <w:rsid w:val="003B4E86"/>
    <w:rsid w:val="003C702E"/>
    <w:rsid w:val="003D0B93"/>
    <w:rsid w:val="003D168D"/>
    <w:rsid w:val="003D4230"/>
    <w:rsid w:val="003E16DC"/>
    <w:rsid w:val="003E53B0"/>
    <w:rsid w:val="003F7ED0"/>
    <w:rsid w:val="00400901"/>
    <w:rsid w:val="00400E2F"/>
    <w:rsid w:val="004025E8"/>
    <w:rsid w:val="00412430"/>
    <w:rsid w:val="00415036"/>
    <w:rsid w:val="004165DF"/>
    <w:rsid w:val="00433629"/>
    <w:rsid w:val="00434BC3"/>
    <w:rsid w:val="004364BD"/>
    <w:rsid w:val="0044096F"/>
    <w:rsid w:val="00442F1D"/>
    <w:rsid w:val="00446BB1"/>
    <w:rsid w:val="004542EB"/>
    <w:rsid w:val="00456A81"/>
    <w:rsid w:val="00462BC0"/>
    <w:rsid w:val="00462ED0"/>
    <w:rsid w:val="004634CF"/>
    <w:rsid w:val="00472018"/>
    <w:rsid w:val="0047423C"/>
    <w:rsid w:val="004802B6"/>
    <w:rsid w:val="00480B95"/>
    <w:rsid w:val="004829D8"/>
    <w:rsid w:val="00491AAE"/>
    <w:rsid w:val="00495106"/>
    <w:rsid w:val="004A4F80"/>
    <w:rsid w:val="004B0616"/>
    <w:rsid w:val="004B0E3B"/>
    <w:rsid w:val="004B28C9"/>
    <w:rsid w:val="004B4FAD"/>
    <w:rsid w:val="004B52D5"/>
    <w:rsid w:val="004B5997"/>
    <w:rsid w:val="004B6FBD"/>
    <w:rsid w:val="004B7F45"/>
    <w:rsid w:val="004C0C70"/>
    <w:rsid w:val="004C47F4"/>
    <w:rsid w:val="004C74AF"/>
    <w:rsid w:val="004D1C44"/>
    <w:rsid w:val="004D495B"/>
    <w:rsid w:val="004D4C7E"/>
    <w:rsid w:val="004D4F04"/>
    <w:rsid w:val="004E1044"/>
    <w:rsid w:val="004E424B"/>
    <w:rsid w:val="004E5656"/>
    <w:rsid w:val="004F3592"/>
    <w:rsid w:val="004F3E48"/>
    <w:rsid w:val="00504BFB"/>
    <w:rsid w:val="0050697D"/>
    <w:rsid w:val="0050757A"/>
    <w:rsid w:val="00512291"/>
    <w:rsid w:val="00516B0D"/>
    <w:rsid w:val="00523022"/>
    <w:rsid w:val="00531B78"/>
    <w:rsid w:val="00534A69"/>
    <w:rsid w:val="00545CED"/>
    <w:rsid w:val="005479F1"/>
    <w:rsid w:val="00547EB3"/>
    <w:rsid w:val="0055103A"/>
    <w:rsid w:val="00551E53"/>
    <w:rsid w:val="0055429C"/>
    <w:rsid w:val="0055681D"/>
    <w:rsid w:val="00557734"/>
    <w:rsid w:val="00563E90"/>
    <w:rsid w:val="0056511C"/>
    <w:rsid w:val="00565E3F"/>
    <w:rsid w:val="00565F6D"/>
    <w:rsid w:val="005718EF"/>
    <w:rsid w:val="0057736A"/>
    <w:rsid w:val="0058362F"/>
    <w:rsid w:val="00591E59"/>
    <w:rsid w:val="0059335D"/>
    <w:rsid w:val="00593FE8"/>
    <w:rsid w:val="005960FE"/>
    <w:rsid w:val="005965E3"/>
    <w:rsid w:val="005A62A9"/>
    <w:rsid w:val="005A686A"/>
    <w:rsid w:val="005A768B"/>
    <w:rsid w:val="005B452F"/>
    <w:rsid w:val="005B7240"/>
    <w:rsid w:val="005C4189"/>
    <w:rsid w:val="005D4272"/>
    <w:rsid w:val="005D7468"/>
    <w:rsid w:val="005E1DA9"/>
    <w:rsid w:val="005E56D0"/>
    <w:rsid w:val="005F09F1"/>
    <w:rsid w:val="005F3232"/>
    <w:rsid w:val="005F711C"/>
    <w:rsid w:val="00601F26"/>
    <w:rsid w:val="006069C1"/>
    <w:rsid w:val="00610144"/>
    <w:rsid w:val="00614D7C"/>
    <w:rsid w:val="00615C64"/>
    <w:rsid w:val="00615FF6"/>
    <w:rsid w:val="00621022"/>
    <w:rsid w:val="006210D5"/>
    <w:rsid w:val="00621A8E"/>
    <w:rsid w:val="00626394"/>
    <w:rsid w:val="0062796A"/>
    <w:rsid w:val="006329B5"/>
    <w:rsid w:val="00635406"/>
    <w:rsid w:val="00637380"/>
    <w:rsid w:val="0064008E"/>
    <w:rsid w:val="006417FE"/>
    <w:rsid w:val="006427E2"/>
    <w:rsid w:val="00642E9F"/>
    <w:rsid w:val="006435C2"/>
    <w:rsid w:val="006446B9"/>
    <w:rsid w:val="00651B02"/>
    <w:rsid w:val="00654282"/>
    <w:rsid w:val="0065675D"/>
    <w:rsid w:val="0065748E"/>
    <w:rsid w:val="00657E03"/>
    <w:rsid w:val="00663189"/>
    <w:rsid w:val="006637E5"/>
    <w:rsid w:val="006646D8"/>
    <w:rsid w:val="00667B50"/>
    <w:rsid w:val="0067594B"/>
    <w:rsid w:val="00676913"/>
    <w:rsid w:val="0069023C"/>
    <w:rsid w:val="006905BE"/>
    <w:rsid w:val="00690F21"/>
    <w:rsid w:val="00693716"/>
    <w:rsid w:val="006965B3"/>
    <w:rsid w:val="006A6E64"/>
    <w:rsid w:val="006B0BCE"/>
    <w:rsid w:val="006B2680"/>
    <w:rsid w:val="006B2855"/>
    <w:rsid w:val="006B5914"/>
    <w:rsid w:val="006B5E08"/>
    <w:rsid w:val="006C004B"/>
    <w:rsid w:val="006C01CC"/>
    <w:rsid w:val="006C3281"/>
    <w:rsid w:val="006C4341"/>
    <w:rsid w:val="006C45F3"/>
    <w:rsid w:val="006C76B0"/>
    <w:rsid w:val="006D11E7"/>
    <w:rsid w:val="006D6C99"/>
    <w:rsid w:val="006E5832"/>
    <w:rsid w:val="006E5A25"/>
    <w:rsid w:val="006F203B"/>
    <w:rsid w:val="006F3A18"/>
    <w:rsid w:val="006F4A4A"/>
    <w:rsid w:val="006F59C8"/>
    <w:rsid w:val="006F6427"/>
    <w:rsid w:val="006F7B57"/>
    <w:rsid w:val="00700432"/>
    <w:rsid w:val="00710A61"/>
    <w:rsid w:val="00710ED5"/>
    <w:rsid w:val="00724324"/>
    <w:rsid w:val="007262DB"/>
    <w:rsid w:val="00730E67"/>
    <w:rsid w:val="00733271"/>
    <w:rsid w:val="00735848"/>
    <w:rsid w:val="00735FFD"/>
    <w:rsid w:val="00737E52"/>
    <w:rsid w:val="0074347B"/>
    <w:rsid w:val="007474E3"/>
    <w:rsid w:val="00756DC0"/>
    <w:rsid w:val="00761C3D"/>
    <w:rsid w:val="00764304"/>
    <w:rsid w:val="00770E29"/>
    <w:rsid w:val="00775C78"/>
    <w:rsid w:val="007769E6"/>
    <w:rsid w:val="00777671"/>
    <w:rsid w:val="007810A4"/>
    <w:rsid w:val="00782148"/>
    <w:rsid w:val="00785D57"/>
    <w:rsid w:val="00787618"/>
    <w:rsid w:val="00794999"/>
    <w:rsid w:val="007B7469"/>
    <w:rsid w:val="007C380B"/>
    <w:rsid w:val="007C4DB5"/>
    <w:rsid w:val="007D2AF7"/>
    <w:rsid w:val="007D3126"/>
    <w:rsid w:val="007E1C90"/>
    <w:rsid w:val="007E67C9"/>
    <w:rsid w:val="007F50D8"/>
    <w:rsid w:val="008005B1"/>
    <w:rsid w:val="00803773"/>
    <w:rsid w:val="00824124"/>
    <w:rsid w:val="00826D6B"/>
    <w:rsid w:val="008300B1"/>
    <w:rsid w:val="008341FB"/>
    <w:rsid w:val="00844A89"/>
    <w:rsid w:val="00844E3F"/>
    <w:rsid w:val="00846578"/>
    <w:rsid w:val="008475DC"/>
    <w:rsid w:val="00851E10"/>
    <w:rsid w:val="008520BE"/>
    <w:rsid w:val="00852226"/>
    <w:rsid w:val="0085290D"/>
    <w:rsid w:val="00852D37"/>
    <w:rsid w:val="00853CA6"/>
    <w:rsid w:val="00854784"/>
    <w:rsid w:val="0086728C"/>
    <w:rsid w:val="00874D8C"/>
    <w:rsid w:val="008770A7"/>
    <w:rsid w:val="0088169B"/>
    <w:rsid w:val="0088227E"/>
    <w:rsid w:val="00886F92"/>
    <w:rsid w:val="00892B7A"/>
    <w:rsid w:val="00894463"/>
    <w:rsid w:val="0089681C"/>
    <w:rsid w:val="0089731E"/>
    <w:rsid w:val="008A5F8B"/>
    <w:rsid w:val="008B6622"/>
    <w:rsid w:val="008C21DE"/>
    <w:rsid w:val="008C552E"/>
    <w:rsid w:val="008D48E3"/>
    <w:rsid w:val="008D5AAA"/>
    <w:rsid w:val="008E609A"/>
    <w:rsid w:val="008E7D6B"/>
    <w:rsid w:val="008F1C12"/>
    <w:rsid w:val="008F219E"/>
    <w:rsid w:val="008F3A71"/>
    <w:rsid w:val="009005D9"/>
    <w:rsid w:val="009021CA"/>
    <w:rsid w:val="009123C0"/>
    <w:rsid w:val="00915BCF"/>
    <w:rsid w:val="00916827"/>
    <w:rsid w:val="0092093D"/>
    <w:rsid w:val="009269D3"/>
    <w:rsid w:val="00931B67"/>
    <w:rsid w:val="009420C6"/>
    <w:rsid w:val="00950413"/>
    <w:rsid w:val="009565FC"/>
    <w:rsid w:val="0095757B"/>
    <w:rsid w:val="00957C94"/>
    <w:rsid w:val="00961394"/>
    <w:rsid w:val="0097008C"/>
    <w:rsid w:val="00976EEA"/>
    <w:rsid w:val="00982B92"/>
    <w:rsid w:val="00987CCD"/>
    <w:rsid w:val="0099026E"/>
    <w:rsid w:val="00991DF0"/>
    <w:rsid w:val="00994B3E"/>
    <w:rsid w:val="00997BCF"/>
    <w:rsid w:val="009A2B26"/>
    <w:rsid w:val="009A3C33"/>
    <w:rsid w:val="009A3E36"/>
    <w:rsid w:val="009A650B"/>
    <w:rsid w:val="009B2EDA"/>
    <w:rsid w:val="009B40D0"/>
    <w:rsid w:val="009B530B"/>
    <w:rsid w:val="009C3790"/>
    <w:rsid w:val="009C37D4"/>
    <w:rsid w:val="009C51FB"/>
    <w:rsid w:val="009C7B3C"/>
    <w:rsid w:val="009D09E0"/>
    <w:rsid w:val="009D1B0A"/>
    <w:rsid w:val="009E2B23"/>
    <w:rsid w:val="009E3880"/>
    <w:rsid w:val="009E4968"/>
    <w:rsid w:val="009E549B"/>
    <w:rsid w:val="009E7944"/>
    <w:rsid w:val="009F1370"/>
    <w:rsid w:val="009F5754"/>
    <w:rsid w:val="00A001E8"/>
    <w:rsid w:val="00A01452"/>
    <w:rsid w:val="00A03D49"/>
    <w:rsid w:val="00A0420F"/>
    <w:rsid w:val="00A140DD"/>
    <w:rsid w:val="00A14FDB"/>
    <w:rsid w:val="00A20634"/>
    <w:rsid w:val="00A20B14"/>
    <w:rsid w:val="00A228E3"/>
    <w:rsid w:val="00A22BB4"/>
    <w:rsid w:val="00A305EE"/>
    <w:rsid w:val="00A31E4A"/>
    <w:rsid w:val="00A31EAF"/>
    <w:rsid w:val="00A327C7"/>
    <w:rsid w:val="00A3454C"/>
    <w:rsid w:val="00A34711"/>
    <w:rsid w:val="00A35CC4"/>
    <w:rsid w:val="00A40F4F"/>
    <w:rsid w:val="00A4370E"/>
    <w:rsid w:val="00A446FF"/>
    <w:rsid w:val="00A53AF2"/>
    <w:rsid w:val="00A566C9"/>
    <w:rsid w:val="00A63004"/>
    <w:rsid w:val="00A66ABE"/>
    <w:rsid w:val="00A67201"/>
    <w:rsid w:val="00A71E6D"/>
    <w:rsid w:val="00A72418"/>
    <w:rsid w:val="00A73804"/>
    <w:rsid w:val="00A76D2C"/>
    <w:rsid w:val="00A846BB"/>
    <w:rsid w:val="00A86628"/>
    <w:rsid w:val="00A87045"/>
    <w:rsid w:val="00A9121C"/>
    <w:rsid w:val="00A91284"/>
    <w:rsid w:val="00AA2F6F"/>
    <w:rsid w:val="00AA41B1"/>
    <w:rsid w:val="00AA7E94"/>
    <w:rsid w:val="00AB2635"/>
    <w:rsid w:val="00AB4C57"/>
    <w:rsid w:val="00AB5D8B"/>
    <w:rsid w:val="00AC12C5"/>
    <w:rsid w:val="00AC3804"/>
    <w:rsid w:val="00AD0ECF"/>
    <w:rsid w:val="00AD1E9A"/>
    <w:rsid w:val="00AD4A87"/>
    <w:rsid w:val="00AD6E2A"/>
    <w:rsid w:val="00AD6FCE"/>
    <w:rsid w:val="00AE0555"/>
    <w:rsid w:val="00AE13C0"/>
    <w:rsid w:val="00AE52FA"/>
    <w:rsid w:val="00AF0658"/>
    <w:rsid w:val="00AF0920"/>
    <w:rsid w:val="00AF15B1"/>
    <w:rsid w:val="00AF2327"/>
    <w:rsid w:val="00AF3A3F"/>
    <w:rsid w:val="00AF4509"/>
    <w:rsid w:val="00AF507F"/>
    <w:rsid w:val="00AF5F94"/>
    <w:rsid w:val="00B04038"/>
    <w:rsid w:val="00B154A5"/>
    <w:rsid w:val="00B20C0F"/>
    <w:rsid w:val="00B20C81"/>
    <w:rsid w:val="00B21FB2"/>
    <w:rsid w:val="00B22940"/>
    <w:rsid w:val="00B2337A"/>
    <w:rsid w:val="00B26DBF"/>
    <w:rsid w:val="00B312F5"/>
    <w:rsid w:val="00B338F9"/>
    <w:rsid w:val="00B33E67"/>
    <w:rsid w:val="00B34F37"/>
    <w:rsid w:val="00B361FB"/>
    <w:rsid w:val="00B37833"/>
    <w:rsid w:val="00B4011B"/>
    <w:rsid w:val="00B414B5"/>
    <w:rsid w:val="00B451D7"/>
    <w:rsid w:val="00B546A8"/>
    <w:rsid w:val="00B549F1"/>
    <w:rsid w:val="00B566A9"/>
    <w:rsid w:val="00B60DF1"/>
    <w:rsid w:val="00B616A1"/>
    <w:rsid w:val="00B66584"/>
    <w:rsid w:val="00B66EF3"/>
    <w:rsid w:val="00B672E6"/>
    <w:rsid w:val="00B67411"/>
    <w:rsid w:val="00B72521"/>
    <w:rsid w:val="00B729E1"/>
    <w:rsid w:val="00B740AE"/>
    <w:rsid w:val="00B777CF"/>
    <w:rsid w:val="00B8329C"/>
    <w:rsid w:val="00B8512A"/>
    <w:rsid w:val="00B85D28"/>
    <w:rsid w:val="00B86660"/>
    <w:rsid w:val="00B92658"/>
    <w:rsid w:val="00B94CDC"/>
    <w:rsid w:val="00BA06C3"/>
    <w:rsid w:val="00BA20D8"/>
    <w:rsid w:val="00BA2FEE"/>
    <w:rsid w:val="00BA31D2"/>
    <w:rsid w:val="00BA75CD"/>
    <w:rsid w:val="00BA788A"/>
    <w:rsid w:val="00BB3EEE"/>
    <w:rsid w:val="00BC76F2"/>
    <w:rsid w:val="00BC786E"/>
    <w:rsid w:val="00BC7ED9"/>
    <w:rsid w:val="00BD75AC"/>
    <w:rsid w:val="00BD7E9A"/>
    <w:rsid w:val="00BE3FE4"/>
    <w:rsid w:val="00BE70C0"/>
    <w:rsid w:val="00BF40C3"/>
    <w:rsid w:val="00BF5669"/>
    <w:rsid w:val="00BF6D1F"/>
    <w:rsid w:val="00BF70AC"/>
    <w:rsid w:val="00C13D80"/>
    <w:rsid w:val="00C175CA"/>
    <w:rsid w:val="00C2045C"/>
    <w:rsid w:val="00C20A6F"/>
    <w:rsid w:val="00C2341D"/>
    <w:rsid w:val="00C35565"/>
    <w:rsid w:val="00C415AF"/>
    <w:rsid w:val="00C53D86"/>
    <w:rsid w:val="00C6157E"/>
    <w:rsid w:val="00C6356D"/>
    <w:rsid w:val="00C6507C"/>
    <w:rsid w:val="00C7099A"/>
    <w:rsid w:val="00C70CC0"/>
    <w:rsid w:val="00C71FAB"/>
    <w:rsid w:val="00C74347"/>
    <w:rsid w:val="00C81C71"/>
    <w:rsid w:val="00C85D21"/>
    <w:rsid w:val="00C9491C"/>
    <w:rsid w:val="00C96A8A"/>
    <w:rsid w:val="00CA28CE"/>
    <w:rsid w:val="00CA4315"/>
    <w:rsid w:val="00CA55E8"/>
    <w:rsid w:val="00CB1E47"/>
    <w:rsid w:val="00CB372D"/>
    <w:rsid w:val="00CB42C3"/>
    <w:rsid w:val="00CB7EAD"/>
    <w:rsid w:val="00CC1F35"/>
    <w:rsid w:val="00CC27C8"/>
    <w:rsid w:val="00CC299C"/>
    <w:rsid w:val="00CC5B3A"/>
    <w:rsid w:val="00CC780E"/>
    <w:rsid w:val="00CD17BC"/>
    <w:rsid w:val="00CD3041"/>
    <w:rsid w:val="00CD3970"/>
    <w:rsid w:val="00CE16BD"/>
    <w:rsid w:val="00CE605E"/>
    <w:rsid w:val="00CF1F8C"/>
    <w:rsid w:val="00CF6110"/>
    <w:rsid w:val="00D00445"/>
    <w:rsid w:val="00D14C5B"/>
    <w:rsid w:val="00D22C6A"/>
    <w:rsid w:val="00D25149"/>
    <w:rsid w:val="00D25474"/>
    <w:rsid w:val="00D2668F"/>
    <w:rsid w:val="00D27607"/>
    <w:rsid w:val="00D30D8F"/>
    <w:rsid w:val="00D31249"/>
    <w:rsid w:val="00D346B9"/>
    <w:rsid w:val="00D45324"/>
    <w:rsid w:val="00D46386"/>
    <w:rsid w:val="00D505F3"/>
    <w:rsid w:val="00D50A25"/>
    <w:rsid w:val="00D51723"/>
    <w:rsid w:val="00D73697"/>
    <w:rsid w:val="00D7637A"/>
    <w:rsid w:val="00D764A4"/>
    <w:rsid w:val="00D7716C"/>
    <w:rsid w:val="00D8032D"/>
    <w:rsid w:val="00D82F0E"/>
    <w:rsid w:val="00D84DA0"/>
    <w:rsid w:val="00D974A5"/>
    <w:rsid w:val="00D97771"/>
    <w:rsid w:val="00DA27F0"/>
    <w:rsid w:val="00DB097D"/>
    <w:rsid w:val="00DB0A79"/>
    <w:rsid w:val="00DB7B03"/>
    <w:rsid w:val="00DC23A6"/>
    <w:rsid w:val="00DC30FC"/>
    <w:rsid w:val="00DC4B31"/>
    <w:rsid w:val="00DC4C3C"/>
    <w:rsid w:val="00DD35DB"/>
    <w:rsid w:val="00DE2491"/>
    <w:rsid w:val="00DE312B"/>
    <w:rsid w:val="00DF1DE5"/>
    <w:rsid w:val="00DF596B"/>
    <w:rsid w:val="00E01AAD"/>
    <w:rsid w:val="00E02500"/>
    <w:rsid w:val="00E12AC2"/>
    <w:rsid w:val="00E155E1"/>
    <w:rsid w:val="00E15730"/>
    <w:rsid w:val="00E201CA"/>
    <w:rsid w:val="00E22EA2"/>
    <w:rsid w:val="00E26800"/>
    <w:rsid w:val="00E27A2D"/>
    <w:rsid w:val="00E302A1"/>
    <w:rsid w:val="00E30DC9"/>
    <w:rsid w:val="00E32CEA"/>
    <w:rsid w:val="00E37ACC"/>
    <w:rsid w:val="00E411A9"/>
    <w:rsid w:val="00E4358B"/>
    <w:rsid w:val="00E45150"/>
    <w:rsid w:val="00E45BC6"/>
    <w:rsid w:val="00E4642D"/>
    <w:rsid w:val="00E467CD"/>
    <w:rsid w:val="00E47269"/>
    <w:rsid w:val="00E56A2A"/>
    <w:rsid w:val="00E60A74"/>
    <w:rsid w:val="00E61FEF"/>
    <w:rsid w:val="00E63F7A"/>
    <w:rsid w:val="00E64CD2"/>
    <w:rsid w:val="00E65097"/>
    <w:rsid w:val="00E65D7F"/>
    <w:rsid w:val="00E72CF3"/>
    <w:rsid w:val="00E74212"/>
    <w:rsid w:val="00E758BE"/>
    <w:rsid w:val="00E80031"/>
    <w:rsid w:val="00E80967"/>
    <w:rsid w:val="00E80EB6"/>
    <w:rsid w:val="00E8106C"/>
    <w:rsid w:val="00E81B45"/>
    <w:rsid w:val="00E83B0F"/>
    <w:rsid w:val="00E8431F"/>
    <w:rsid w:val="00E90DC1"/>
    <w:rsid w:val="00E92987"/>
    <w:rsid w:val="00E950D2"/>
    <w:rsid w:val="00EA0170"/>
    <w:rsid w:val="00EA1A6B"/>
    <w:rsid w:val="00EB5966"/>
    <w:rsid w:val="00EC56C7"/>
    <w:rsid w:val="00ED7934"/>
    <w:rsid w:val="00EE0841"/>
    <w:rsid w:val="00EE6257"/>
    <w:rsid w:val="00EE68EA"/>
    <w:rsid w:val="00EF7E87"/>
    <w:rsid w:val="00F0303C"/>
    <w:rsid w:val="00F04B9A"/>
    <w:rsid w:val="00F101AB"/>
    <w:rsid w:val="00F11A4A"/>
    <w:rsid w:val="00F14039"/>
    <w:rsid w:val="00F1786E"/>
    <w:rsid w:val="00F178E9"/>
    <w:rsid w:val="00F22F9B"/>
    <w:rsid w:val="00F24951"/>
    <w:rsid w:val="00F24C05"/>
    <w:rsid w:val="00F26462"/>
    <w:rsid w:val="00F26997"/>
    <w:rsid w:val="00F31B5E"/>
    <w:rsid w:val="00F37A52"/>
    <w:rsid w:val="00F41726"/>
    <w:rsid w:val="00F41F43"/>
    <w:rsid w:val="00F44F35"/>
    <w:rsid w:val="00F55EA2"/>
    <w:rsid w:val="00F56BE0"/>
    <w:rsid w:val="00F609DB"/>
    <w:rsid w:val="00F61229"/>
    <w:rsid w:val="00F615B3"/>
    <w:rsid w:val="00F62FB4"/>
    <w:rsid w:val="00F64CE5"/>
    <w:rsid w:val="00F676C2"/>
    <w:rsid w:val="00F72338"/>
    <w:rsid w:val="00F8014A"/>
    <w:rsid w:val="00F84273"/>
    <w:rsid w:val="00F90F86"/>
    <w:rsid w:val="00F9706B"/>
    <w:rsid w:val="00FA1C1B"/>
    <w:rsid w:val="00FB3FF2"/>
    <w:rsid w:val="00FB480A"/>
    <w:rsid w:val="00FC129D"/>
    <w:rsid w:val="00FC2544"/>
    <w:rsid w:val="00FC32CC"/>
    <w:rsid w:val="00FC63E3"/>
    <w:rsid w:val="00FD3E88"/>
    <w:rsid w:val="00FD5FE0"/>
    <w:rsid w:val="00FE1194"/>
    <w:rsid w:val="00FE58D6"/>
    <w:rsid w:val="00FF00F0"/>
    <w:rsid w:val="00FF01BB"/>
    <w:rsid w:val="00FF2A5B"/>
    <w:rsid w:val="00FF5302"/>
    <w:rsid w:val="3F30031B"/>
    <w:rsid w:val="DF3D9D13"/>
    <w:rsid w:val="FFB12B15"/>
    <w:rsid w:val="FFFD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1037</Words>
  <Characters>5911</Characters>
  <Lines>49</Lines>
  <Paragraphs>13</Paragraphs>
  <TotalTime>1</TotalTime>
  <ScaleCrop>false</ScaleCrop>
  <LinksUpToDate>false</LinksUpToDate>
  <CharactersWithSpaces>6935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2024-11-09T07:34:00Z</dcterms:created>
  <dc:creator>Dumpling</dc:creator>
  <cp:lastModifiedBy>彭裕惠</cp:lastModifiedBy>
  <cp:lastPrinted>2024-10-22T08:17:00Z</cp:lastPrinted>
  <dcterms:modified xsi:type="dcterms:W3CDTF">2024-11-15T14:17:25Z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