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莲花山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渔港管理章程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为维护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莲花山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渔港秩序，加强渔港监督管理，保护渔港环境，促进渔业经济发展，保障渔港设施、渔业船舶、公民人身及财产安全，根据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现行有关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渔港和渔业船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舶管理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渔港水域交通安全海上交通安全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环境保护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法律法规，结合本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港实际，制定本章程。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本渔港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总面积约113.95万平方米，其中水域面积约78.12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包含航道、港池、停泊区、避风锚地等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陆域面积约35.83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万平方米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包含岸线、码头、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加工区、水产品交易市场、沿港道路以及为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渔港功能所需的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用地等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本渔港具体范围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详见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莲花山渔港港界图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1）、《莲花山渔港水域分布图》（附件2）、《莲花山渔港陆域分布图》（附件3）、《莲花山渔港码头分布图》（附件4）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渔港的水域、陆域范围一经确定不得擅自变更。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本章程适用于在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莲花山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（下称本渔港）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范围内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航行、停泊、作业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的船舶及从事渔港管理、经营活动的公民、法人和其他组织。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番禺区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负责本渔港的管理工作，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莲花山渔港综合管理所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具体负责对本渔港的监督管理。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涉及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渔港管理的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其他职能部门和石楼镇人民政府，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根据各自职责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相应的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本渔港经营权由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番禺区人民政府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依法确定。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鼓励社会力量依法投资渔港的建设与维护，投资人按照投资协议，享有权益，承担义务。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第六条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本渔港经营主体应当依法办理商事登记，取得商事主体资格。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营行为必须遵守有关法律法规，并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服从番禺区农业农村局及其他职能部门的管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本渔港安全生产管理纳入番禺区安全生产管理体系和应急救助体系。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番禺区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农业农村局负责牵头协调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渔港安全生产工作。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石楼镇人民政府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本渔港安全生产管理，落实有关规章制度，加强渔业安全生产管理员队伍建设。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其他负有安全生产管理职能的各部门按照职责分工，依法开展本渔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安全生产管理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相关村（渔）民委员会应协助做好本渔港安全生产管理工作。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在本渔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港范围内开展的所有活动及行为应当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渔港水域交通安全管理、渔港和渔业船舶管理、海上交通安全管理等渔船渔港安全生产相关规定，以及《中华人民共和国刑法》《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治安管理处罚法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》等法律法规关于社会治安相关规定。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在本渔港范围内开展的所有活动及行为应当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遵守环境保护的相关法律法规及渔港环境保护相关规定，爱护渔港绿化及其他设施，防止对渔港及其周边环境造成污染和危害。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本渔港水域发生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污染事故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事发单位或个人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《中华人民共和国海洋环境保护法》规定采取应对措施。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负有环境保护和海洋防污治理职能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的各部门按照职责分工，依法开展本渔港水域污染事故的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船舶进出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渔港，应当遵守渔港章程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避碰规则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渔业船舶进出渔港报告和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港澳流动渔船渔民管理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关部门依照各自职责做好监督检查和服务工作。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船舶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渔港内航行、作业、停泊，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应当遵守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中华人民共和国海上交通安全法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》《中华人民共和国渔港水域交通安全管理条例》《广东省渔港和渔业船舶管理条例》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规定，服从渔港监督管理机构调度安排。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存在安全隐患或违法违规行为等情况的船舶，渔港监督管理机构有权根据《中华人民共和国渔港水域交通安全管理条例》《广东省渔港和渔业船舶管理条例》规定，采取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禁止离港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责令停航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停止作业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渔港水域内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的交通事故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及其引起的民事纠纷等情况，应当根据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《中华人民共和国渔港水域交通安全管理条例》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本渔港范围内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发生突发事件时，事发单位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或个人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根据《中华人民共和国突发事件应对法》规定采取应对措施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负有突发事件</w:t>
      </w:r>
      <w:r>
        <w:rPr>
          <w:rFonts w:ascii="仿宋_GB2312" w:hAnsi="仿宋_GB2312" w:eastAsia="仿宋_GB2312"/>
          <w:sz w:val="32"/>
          <w:highlight w:val="none"/>
        </w:rPr>
        <w:t>应急处置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的各部门按照职责分工，依法开展本渔港内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突发事件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的应急处置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对违反本章程的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，由各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部门按其性质，依法予以处理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情节严重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构成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犯罪的，移交司法机关依法追究刑事责任。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本章程未规定的事项，按有关法律法规执行。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本章程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自公布之日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施行，有效期五年，由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番禺区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负责解释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莲花山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渔港港界图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20" w:firstLineChars="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2.莲花山渔港水域分布图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20" w:firstLineChars="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3.莲花山渔港陆域分布图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20" w:firstLineChars="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4.莲花山渔港码头分布图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AndChars" w:linePitch="634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jI0ZmUwZmQ4YmE2ZWY4OWI2N2ZmY2M1NWYyZDMifQ=="/>
  </w:docVars>
  <w:rsids>
    <w:rsidRoot w:val="00000000"/>
    <w:rsid w:val="00BA7200"/>
    <w:rsid w:val="00BB0D84"/>
    <w:rsid w:val="02941DC5"/>
    <w:rsid w:val="04370420"/>
    <w:rsid w:val="06EB361D"/>
    <w:rsid w:val="0A081A83"/>
    <w:rsid w:val="0A235F34"/>
    <w:rsid w:val="0AB56615"/>
    <w:rsid w:val="0B6F3378"/>
    <w:rsid w:val="0B82246F"/>
    <w:rsid w:val="0BBA6DAD"/>
    <w:rsid w:val="0BF367A9"/>
    <w:rsid w:val="0C9B3C30"/>
    <w:rsid w:val="0E4D7C51"/>
    <w:rsid w:val="0F33718A"/>
    <w:rsid w:val="0FD2175C"/>
    <w:rsid w:val="10790FE5"/>
    <w:rsid w:val="13347592"/>
    <w:rsid w:val="13CA3A3D"/>
    <w:rsid w:val="13D777BB"/>
    <w:rsid w:val="143C18DE"/>
    <w:rsid w:val="14AF5DC8"/>
    <w:rsid w:val="15DE7E68"/>
    <w:rsid w:val="16F31EC8"/>
    <w:rsid w:val="1908553A"/>
    <w:rsid w:val="1988673C"/>
    <w:rsid w:val="19BA19D6"/>
    <w:rsid w:val="1A486286"/>
    <w:rsid w:val="1D156256"/>
    <w:rsid w:val="1D6A5A68"/>
    <w:rsid w:val="1E116AEB"/>
    <w:rsid w:val="1E3422B5"/>
    <w:rsid w:val="1E857C9D"/>
    <w:rsid w:val="1FAA3455"/>
    <w:rsid w:val="201323E7"/>
    <w:rsid w:val="21BA179A"/>
    <w:rsid w:val="232653E3"/>
    <w:rsid w:val="23B75D8C"/>
    <w:rsid w:val="25317784"/>
    <w:rsid w:val="25667C93"/>
    <w:rsid w:val="258D48EB"/>
    <w:rsid w:val="267A14D0"/>
    <w:rsid w:val="267C79C2"/>
    <w:rsid w:val="27652A11"/>
    <w:rsid w:val="279E6555"/>
    <w:rsid w:val="27AE2485"/>
    <w:rsid w:val="27C34A1B"/>
    <w:rsid w:val="27D02B29"/>
    <w:rsid w:val="28672047"/>
    <w:rsid w:val="28BA505F"/>
    <w:rsid w:val="2BB07718"/>
    <w:rsid w:val="2DB46970"/>
    <w:rsid w:val="2F2A406E"/>
    <w:rsid w:val="2FAA48BF"/>
    <w:rsid w:val="30A321BA"/>
    <w:rsid w:val="31372D1D"/>
    <w:rsid w:val="31F95FA7"/>
    <w:rsid w:val="32157C55"/>
    <w:rsid w:val="323811A2"/>
    <w:rsid w:val="32DA0DAE"/>
    <w:rsid w:val="36504A33"/>
    <w:rsid w:val="370A716B"/>
    <w:rsid w:val="374F1631"/>
    <w:rsid w:val="378D2BC6"/>
    <w:rsid w:val="381D7711"/>
    <w:rsid w:val="383D0321"/>
    <w:rsid w:val="393A37E2"/>
    <w:rsid w:val="394F5970"/>
    <w:rsid w:val="3AE23F7F"/>
    <w:rsid w:val="3BD70617"/>
    <w:rsid w:val="3C015002"/>
    <w:rsid w:val="3CFA105A"/>
    <w:rsid w:val="3ECF3E9B"/>
    <w:rsid w:val="4084115C"/>
    <w:rsid w:val="40BD08F6"/>
    <w:rsid w:val="40D43E92"/>
    <w:rsid w:val="422150B6"/>
    <w:rsid w:val="43B83E0E"/>
    <w:rsid w:val="43EE4631"/>
    <w:rsid w:val="454C468D"/>
    <w:rsid w:val="456B4699"/>
    <w:rsid w:val="45A00EE8"/>
    <w:rsid w:val="4613720A"/>
    <w:rsid w:val="46C20F22"/>
    <w:rsid w:val="4723347D"/>
    <w:rsid w:val="47E26D7C"/>
    <w:rsid w:val="48AD4ADD"/>
    <w:rsid w:val="48BB67A4"/>
    <w:rsid w:val="492D74D2"/>
    <w:rsid w:val="49C16E0C"/>
    <w:rsid w:val="4D1513FF"/>
    <w:rsid w:val="4D4D00B5"/>
    <w:rsid w:val="4D6935E3"/>
    <w:rsid w:val="4EBF1EAD"/>
    <w:rsid w:val="50960728"/>
    <w:rsid w:val="51B9453C"/>
    <w:rsid w:val="523B5448"/>
    <w:rsid w:val="525A5857"/>
    <w:rsid w:val="526A4336"/>
    <w:rsid w:val="53195808"/>
    <w:rsid w:val="54720837"/>
    <w:rsid w:val="56912DF1"/>
    <w:rsid w:val="56F7522D"/>
    <w:rsid w:val="59851AA5"/>
    <w:rsid w:val="598D29D8"/>
    <w:rsid w:val="5AF30F60"/>
    <w:rsid w:val="5C0329BA"/>
    <w:rsid w:val="5DDD390F"/>
    <w:rsid w:val="61EC45F5"/>
    <w:rsid w:val="63594B39"/>
    <w:rsid w:val="63D72830"/>
    <w:rsid w:val="646F6939"/>
    <w:rsid w:val="65E82DB3"/>
    <w:rsid w:val="68FB1EC8"/>
    <w:rsid w:val="6A287F49"/>
    <w:rsid w:val="6A9264D1"/>
    <w:rsid w:val="6BF83BE1"/>
    <w:rsid w:val="6C6B5E29"/>
    <w:rsid w:val="6EB67604"/>
    <w:rsid w:val="6FF9267A"/>
    <w:rsid w:val="725F475F"/>
    <w:rsid w:val="72A0367C"/>
    <w:rsid w:val="72DF337E"/>
    <w:rsid w:val="72E27C32"/>
    <w:rsid w:val="734D6EDD"/>
    <w:rsid w:val="73DE2356"/>
    <w:rsid w:val="741D6508"/>
    <w:rsid w:val="75ED78F2"/>
    <w:rsid w:val="76657F9F"/>
    <w:rsid w:val="76A1647B"/>
    <w:rsid w:val="77B2473D"/>
    <w:rsid w:val="787A0BBE"/>
    <w:rsid w:val="78E337ED"/>
    <w:rsid w:val="794A5828"/>
    <w:rsid w:val="7A51041B"/>
    <w:rsid w:val="7B585012"/>
    <w:rsid w:val="7C843B4D"/>
    <w:rsid w:val="7EE40799"/>
    <w:rsid w:val="7F7E784B"/>
    <w:rsid w:val="7F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"/>
    <w:basedOn w:val="1"/>
    <w:qFormat/>
    <w:uiPriority w:val="0"/>
    <w:rPr>
      <w:szCs w:val="20"/>
    </w:rPr>
  </w:style>
  <w:style w:type="character" w:customStyle="1" w:styleId="8">
    <w:name w:val="font_fulltext1"/>
    <w:basedOn w:val="6"/>
    <w:qFormat/>
    <w:uiPriority w:val="0"/>
    <w:rPr>
      <w:sz w:val="18"/>
      <w:szCs w:val="18"/>
    </w:rPr>
  </w:style>
  <w:style w:type="paragraph" w:customStyle="1" w:styleId="9">
    <w:name w:val=" Char Char Char Char Char Char"/>
    <w:basedOn w:val="1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1970</Words>
  <Characters>2016</Characters>
  <Lines>0</Lines>
  <Paragraphs>0</Paragraphs>
  <TotalTime>16</TotalTime>
  <ScaleCrop>false</ScaleCrop>
  <LinksUpToDate>false</LinksUpToDate>
  <CharactersWithSpaces>2057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2024-10-08T07:22:00Z</dcterms:created>
  <dc:creator>Administrator</dc:creator>
  <cp:lastModifiedBy>Lin</cp:lastModifiedBy>
  <cp:lastPrinted>2024-11-15T09:12:00Z</cp:lastPrinted>
  <dcterms:modified xsi:type="dcterms:W3CDTF">2024-11-26T08:59:35Z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C4CC052D4AB642458297E059ACC7C9D0_12</vt:lpwstr>
  </property>
</Properties>
</file>