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97" w:lineRule="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spacing w:line="297" w:lineRule="auto"/>
        <w:rPr>
          <w:rFonts w:ascii="Times New Roman" w:hAnsi="Times New Roman" w:eastAsia="宋体" w:cs="Times New Roman"/>
        </w:rPr>
      </w:pPr>
    </w:p>
    <w:p>
      <w:pPr>
        <w:keepNext w:val="0"/>
        <w:keepLines w:val="0"/>
        <w:pageBreakBefore w:val="0"/>
        <w:wordWrap/>
        <w:overflowPunct/>
        <w:topLinePunct w:val="0"/>
        <w:bidi w:val="0"/>
        <w:spacing w:line="600" w:lineRule="exact"/>
        <w:rPr>
          <w:rFonts w:ascii="Times New Roman" w:hAnsi="Times New Roman" w:eastAsia="宋体" w:cs="Times New Roman"/>
        </w:rPr>
      </w:pPr>
    </w:p>
    <w:p>
      <w:pPr>
        <w:keepNext w:val="0"/>
        <w:keepLines w:val="0"/>
        <w:pageBreakBefore w:val="0"/>
        <w:kinsoku/>
        <w:wordWrap/>
        <w:overflowPunct/>
        <w:topLinePunct w:val="0"/>
        <w:autoSpaceDE/>
        <w:autoSpaceDN/>
        <w:bidi w:val="0"/>
        <w:spacing w:line="600" w:lineRule="exact"/>
        <w:jc w:val="center"/>
        <w:textAlignment w:val="auto"/>
        <w:rPr>
          <w:rFonts w:hint="eastAsia" w:ascii="Times New Roman" w:hAnsi="Times New Roman" w:eastAsia="宋体" w:cs="Times New Roman"/>
          <w:b/>
          <w:snapToGrid/>
          <w:color w:val="auto"/>
          <w:kern w:val="2"/>
          <w:sz w:val="48"/>
          <w:szCs w:val="48"/>
        </w:rPr>
      </w:pPr>
    </w:p>
    <w:p>
      <w:pPr>
        <w:keepNext w:val="0"/>
        <w:keepLines w:val="0"/>
        <w:pageBreakBefore w:val="0"/>
        <w:wordWrap/>
        <w:overflowPunct/>
        <w:topLinePunct w:val="0"/>
        <w:bidi w:val="0"/>
        <w:spacing w:line="60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b w:val="0"/>
          <w:bCs/>
          <w:snapToGrid/>
          <w:color w:val="auto"/>
          <w:kern w:val="2"/>
          <w:sz w:val="44"/>
          <w:szCs w:val="44"/>
          <w:lang w:val="en-US" w:eastAsia="zh-CN"/>
        </w:rPr>
        <w:t>大龙街新水坑村新环村路（市新路至莲花大道）道路升级改造工程</w:t>
      </w:r>
    </w:p>
    <w:p>
      <w:pPr>
        <w:keepNext w:val="0"/>
        <w:keepLines w:val="0"/>
        <w:pageBreakBefore w:val="0"/>
        <w:kinsoku/>
        <w:wordWrap/>
        <w:overflowPunct/>
        <w:topLinePunct w:val="0"/>
        <w:autoSpaceDE/>
        <w:autoSpaceDN/>
        <w:bidi w:val="0"/>
        <w:spacing w:line="600" w:lineRule="exact"/>
        <w:jc w:val="center"/>
        <w:textAlignment w:val="auto"/>
        <w:rPr>
          <w:rFonts w:hint="eastAsia" w:ascii="方正小标宋_GBK" w:hAnsi="方正小标宋_GBK" w:eastAsia="方正小标宋_GBK" w:cs="方正小标宋_GBK"/>
          <w:b w:val="0"/>
          <w:bCs/>
          <w:snapToGrid/>
          <w:color w:val="auto"/>
          <w:kern w:val="2"/>
          <w:sz w:val="44"/>
          <w:szCs w:val="44"/>
        </w:rPr>
      </w:pPr>
      <w:r>
        <w:rPr>
          <w:rFonts w:hint="eastAsia" w:ascii="方正小标宋_GBK" w:hAnsi="方正小标宋_GBK" w:eastAsia="方正小标宋_GBK" w:cs="方正小标宋_GBK"/>
          <w:b w:val="0"/>
          <w:bCs/>
          <w:snapToGrid/>
          <w:color w:val="auto"/>
          <w:kern w:val="2"/>
          <w:sz w:val="44"/>
          <w:szCs w:val="44"/>
        </w:rPr>
        <w:t>项目实施方案</w:t>
      </w:r>
    </w:p>
    <w:p>
      <w:pPr>
        <w:keepNext w:val="0"/>
        <w:keepLines w:val="0"/>
        <w:pageBreakBefore w:val="0"/>
        <w:wordWrap/>
        <w:overflowPunct/>
        <w:topLinePunct w:val="0"/>
        <w:bidi w:val="0"/>
        <w:spacing w:before="277" w:line="600" w:lineRule="exact"/>
        <w:jc w:val="center"/>
        <w:rPr>
          <w:rFonts w:ascii="Times New Roman" w:hAnsi="Times New Roman" w:eastAsia="宋体" w:cs="Times New Roman"/>
          <w:sz w:val="28"/>
          <w:szCs w:val="28"/>
        </w:rPr>
      </w:pPr>
    </w:p>
    <w:p>
      <w:pPr>
        <w:keepNext w:val="0"/>
        <w:keepLines w:val="0"/>
        <w:pageBreakBefore w:val="0"/>
        <w:wordWrap/>
        <w:overflowPunct/>
        <w:topLinePunct w:val="0"/>
        <w:bidi w:val="0"/>
        <w:spacing w:line="600" w:lineRule="exact"/>
        <w:jc w:val="center"/>
        <w:rPr>
          <w:rFonts w:ascii="Times New Roman" w:hAnsi="Times New Roman" w:eastAsia="宋体" w:cs="Times New Roman"/>
        </w:rPr>
      </w:pPr>
    </w:p>
    <w:p>
      <w:pPr>
        <w:keepNext w:val="0"/>
        <w:keepLines w:val="0"/>
        <w:pageBreakBefore w:val="0"/>
        <w:wordWrap/>
        <w:overflowPunct/>
        <w:topLinePunct w:val="0"/>
        <w:bidi w:val="0"/>
        <w:spacing w:line="600" w:lineRule="exact"/>
        <w:jc w:val="center"/>
        <w:rPr>
          <w:rFonts w:ascii="Times New Roman" w:hAnsi="Times New Roman" w:eastAsia="宋体" w:cs="Times New Roman"/>
        </w:rPr>
      </w:pPr>
    </w:p>
    <w:p>
      <w:pPr>
        <w:keepNext w:val="0"/>
        <w:keepLines w:val="0"/>
        <w:pageBreakBefore w:val="0"/>
        <w:wordWrap/>
        <w:overflowPunct/>
        <w:topLinePunct w:val="0"/>
        <w:bidi w:val="0"/>
        <w:spacing w:line="600" w:lineRule="exact"/>
        <w:jc w:val="center"/>
        <w:rPr>
          <w:rFonts w:ascii="Times New Roman" w:hAnsi="Times New Roman" w:eastAsia="宋体" w:cs="Times New Roman"/>
        </w:rPr>
      </w:pPr>
    </w:p>
    <w:p>
      <w:pPr>
        <w:pStyle w:val="2"/>
        <w:jc w:val="center"/>
        <w:rPr>
          <w:rFonts w:ascii="Times New Roman" w:hAnsi="Times New Roman" w:eastAsia="宋体" w:cs="Times New Roman"/>
        </w:rPr>
      </w:pPr>
    </w:p>
    <w:p>
      <w:pPr>
        <w:pStyle w:val="2"/>
        <w:jc w:val="center"/>
        <w:rPr>
          <w:rFonts w:ascii="Times New Roman" w:hAnsi="Times New Roman" w:eastAsia="宋体" w:cs="Times New Roman"/>
        </w:rPr>
      </w:pPr>
    </w:p>
    <w:p>
      <w:pPr>
        <w:pStyle w:val="2"/>
        <w:jc w:val="center"/>
        <w:rPr>
          <w:rFonts w:ascii="Times New Roman" w:hAnsi="Times New Roman" w:eastAsia="宋体" w:cs="Times New Roman"/>
        </w:rPr>
      </w:pPr>
    </w:p>
    <w:p>
      <w:pPr>
        <w:pStyle w:val="2"/>
        <w:jc w:val="center"/>
        <w:rPr>
          <w:rFonts w:ascii="Times New Roman" w:hAnsi="Times New Roman" w:eastAsia="宋体" w:cs="Times New Roman"/>
        </w:rPr>
      </w:pPr>
    </w:p>
    <w:p>
      <w:pPr>
        <w:pStyle w:val="2"/>
        <w:jc w:val="center"/>
        <w:rPr>
          <w:rFonts w:ascii="Times New Roman" w:hAnsi="Times New Roman" w:eastAsia="宋体" w:cs="Times New Roman"/>
        </w:rPr>
      </w:pPr>
    </w:p>
    <w:p>
      <w:pPr>
        <w:pStyle w:val="2"/>
        <w:jc w:val="center"/>
        <w:rPr>
          <w:rFonts w:ascii="Times New Roman" w:hAnsi="Times New Roman" w:eastAsia="宋体" w:cs="Times New Roman"/>
        </w:rPr>
      </w:pPr>
    </w:p>
    <w:p>
      <w:pPr>
        <w:pStyle w:val="2"/>
        <w:ind w:left="0" w:leftChars="0" w:firstLine="0" w:firstLineChars="0"/>
        <w:jc w:val="center"/>
        <w:rPr>
          <w:rFonts w:ascii="Times New Roman" w:hAnsi="Times New Roman" w:eastAsia="宋体" w:cs="Times New Roman"/>
        </w:rPr>
      </w:pPr>
    </w:p>
    <w:p>
      <w:pPr>
        <w:keepNext w:val="0"/>
        <w:keepLines w:val="0"/>
        <w:pageBreakBefore w:val="0"/>
        <w:wordWrap/>
        <w:overflowPunct/>
        <w:topLinePunct w:val="0"/>
        <w:bidi w:val="0"/>
        <w:spacing w:line="600" w:lineRule="exact"/>
        <w:jc w:val="center"/>
        <w:rPr>
          <w:rFonts w:ascii="Times New Roman" w:hAnsi="Times New Roman" w:eastAsia="宋体" w:cs="Times New Roman"/>
        </w:rPr>
      </w:pPr>
    </w:p>
    <w:p>
      <w:pPr>
        <w:keepNext w:val="0"/>
        <w:keepLines w:val="0"/>
        <w:pageBreakBefore w:val="0"/>
        <w:wordWrap/>
        <w:overflowPunct/>
        <w:topLinePunct w:val="0"/>
        <w:bidi w:val="0"/>
        <w:spacing w:line="600" w:lineRule="exact"/>
        <w:jc w:val="center"/>
        <w:rPr>
          <w:rFonts w:ascii="Times New Roman" w:hAnsi="Times New Roman" w:eastAsia="宋体" w:cs="Times New Roman"/>
        </w:rPr>
      </w:pPr>
    </w:p>
    <w:p>
      <w:pPr>
        <w:keepNext w:val="0"/>
        <w:keepLines w:val="0"/>
        <w:pageBreakBefore w:val="0"/>
        <w:wordWrap/>
        <w:overflowPunct/>
        <w:topLinePunct w:val="0"/>
        <w:bidi w:val="0"/>
        <w:spacing w:line="600" w:lineRule="exact"/>
        <w:jc w:val="center"/>
        <w:rPr>
          <w:rFonts w:ascii="Times New Roman" w:hAnsi="Times New Roman" w:eastAsia="宋体" w:cs="Times New Roman"/>
        </w:rPr>
      </w:pPr>
    </w:p>
    <w:p>
      <w:pPr>
        <w:keepNext w:val="0"/>
        <w:keepLines w:val="0"/>
        <w:pageBreakBefore w:val="0"/>
        <w:widowControl w:val="0"/>
        <w:kinsoku/>
        <w:wordWrap/>
        <w:overflowPunct/>
        <w:topLinePunct w:val="0"/>
        <w:autoSpaceDE/>
        <w:autoSpaceDN/>
        <w:bidi w:val="0"/>
        <w:adjustRightInd w:val="0"/>
        <w:snapToGrid/>
        <w:spacing w:line="600" w:lineRule="exact"/>
        <w:ind w:firstLine="0" w:firstLineChars="0"/>
        <w:jc w:val="center"/>
        <w:textAlignment w:val="auto"/>
        <w:rPr>
          <w:rFonts w:hint="eastAsia" w:ascii="仿宋_GB2312" w:hAnsi="仿宋_GB2312" w:eastAsia="仿宋_GB2312" w:cs="仿宋_GB2312"/>
          <w:b/>
          <w:snapToGrid/>
          <w:color w:val="auto"/>
          <w:kern w:val="2"/>
          <w:sz w:val="32"/>
          <w:szCs w:val="32"/>
          <w:lang w:val="en-US" w:eastAsia="zh-CN"/>
        </w:rPr>
      </w:pPr>
      <w:r>
        <w:rPr>
          <w:rFonts w:hint="eastAsia" w:ascii="仿宋_GB2312" w:hAnsi="仿宋_GB2312" w:eastAsia="仿宋_GB2312" w:cs="仿宋_GB2312"/>
          <w:b/>
          <w:snapToGrid/>
          <w:color w:val="auto"/>
          <w:kern w:val="2"/>
          <w:sz w:val="32"/>
          <w:szCs w:val="32"/>
        </w:rPr>
        <w:t>建设单位：广州市</w:t>
      </w:r>
      <w:r>
        <w:rPr>
          <w:rFonts w:hint="eastAsia" w:ascii="仿宋_GB2312" w:hAnsi="仿宋_GB2312" w:eastAsia="仿宋_GB2312" w:cs="仿宋_GB2312"/>
          <w:b/>
          <w:snapToGrid/>
          <w:color w:val="auto"/>
          <w:kern w:val="2"/>
          <w:sz w:val="32"/>
          <w:szCs w:val="32"/>
          <w:lang w:val="en-US" w:eastAsia="zh-CN"/>
        </w:rPr>
        <w:t>番禺区大龙街新水坑村民委员会</w:t>
      </w:r>
    </w:p>
    <w:p>
      <w:pPr>
        <w:keepNext w:val="0"/>
        <w:keepLines w:val="0"/>
        <w:pageBreakBefore w:val="0"/>
        <w:widowControl w:val="0"/>
        <w:kinsoku/>
        <w:wordWrap/>
        <w:overflowPunct/>
        <w:topLinePunct w:val="0"/>
        <w:bidi w:val="0"/>
        <w:adjustRightInd/>
        <w:snapToGrid/>
        <w:spacing w:after="120" w:afterLines="50" w:line="600" w:lineRule="exact"/>
        <w:jc w:val="center"/>
        <w:textAlignment w:val="auto"/>
        <w:rPr>
          <w:rFonts w:hint="eastAsia" w:ascii="仿宋_GB2312" w:hAnsi="仿宋_GB2312" w:eastAsia="仿宋_GB2312" w:cs="仿宋_GB2312"/>
          <w:b/>
          <w:bCs/>
          <w:snapToGrid/>
          <w:color w:val="auto"/>
          <w:kern w:val="2"/>
          <w:sz w:val="32"/>
          <w:szCs w:val="32"/>
        </w:rPr>
        <w:sectPr>
          <w:headerReference r:id="rId3" w:type="default"/>
          <w:footerReference r:id="rId4" w:type="default"/>
          <w:pgSz w:w="11906" w:h="16839" w:orient="landscape"/>
          <w:pgMar w:top="1440" w:right="1800" w:bottom="1440" w:left="1800" w:header="850" w:footer="0" w:gutter="0"/>
          <w:cols w:space="720" w:num="1"/>
          <w:docGrid w:linePitch="286" w:charSpace="0"/>
        </w:sectPr>
      </w:pPr>
    </w:p>
    <w:sdt>
      <w:sdtPr>
        <w:rPr>
          <w:rFonts w:ascii="宋体" w:hAnsi="宋体" w:eastAsia="宋体" w:cs="Arial"/>
          <w:snapToGrid w:val="0"/>
          <w:color w:val="000000"/>
          <w:sz w:val="21"/>
          <w:szCs w:val="21"/>
          <w:lang w:val="en-US" w:eastAsia="zh-CN" w:bidi="ar-SA"/>
        </w:rPr>
        <w:id w:val="147464060"/>
        <w15:color w:val="DBDBDB"/>
        <w:docPartObj>
          <w:docPartGallery w:val="Table of Contents"/>
          <w:docPartUnique/>
        </w:docPartObj>
      </w:sdtPr>
      <w:sdtEndPr>
        <w:rPr>
          <w:rFonts w:ascii="Arial" w:hAnsi="Arial" w:eastAsia="Arial" w:cs="Arial"/>
          <w:snapToGrid w:val="0"/>
          <w:color w:val="000000"/>
          <w:sz w:val="21"/>
          <w:szCs w:val="21"/>
          <w:lang w:val="en-US" w:eastAsia="zh-CN" w:bidi="ar-SA"/>
        </w:rPr>
      </w:sdtEndPr>
      <w:sdtContent>
        <w:p>
          <w:pPr>
            <w:keepNext w:val="0"/>
            <w:keepLines w:val="0"/>
            <w:pageBreakBefore w:val="0"/>
            <w:widowControl/>
            <w:wordWrap/>
            <w:overflowPunct/>
            <w:topLinePunct w:val="0"/>
            <w:bidi w:val="0"/>
            <w:spacing w:before="0" w:beforeLines="0" w:after="0" w:afterLines="0" w:line="480" w:lineRule="auto"/>
            <w:ind w:left="0" w:leftChars="0" w:right="0" w:rightChars="0" w:firstLine="0" w:firstLineChars="0"/>
            <w:jc w:val="center"/>
          </w:pPr>
          <w:r>
            <w:rPr>
              <w:rFonts w:hint="eastAsia" w:ascii="仿宋_GB2312" w:hAnsi="仿宋_GB2312" w:eastAsia="仿宋_GB2312" w:cs="仿宋_GB2312"/>
              <w:b/>
              <w:bCs/>
              <w:sz w:val="44"/>
              <w:szCs w:val="44"/>
            </w:rPr>
            <w:t>目录</w:t>
          </w:r>
        </w:p>
        <w:p>
          <w:pPr>
            <w:pStyle w:val="81"/>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fldChar w:fldCharType="begin"/>
          </w:r>
          <w:r>
            <w:rPr>
              <w:rFonts w:hint="eastAsia" w:ascii="仿宋_GB2312" w:hAnsi="仿宋_GB2312" w:eastAsia="仿宋_GB2312" w:cs="仿宋_GB2312"/>
              <w:b/>
              <w:bCs/>
              <w:sz w:val="32"/>
              <w:szCs w:val="32"/>
              <w:highlight w:val="none"/>
              <w:lang w:val="en-US" w:eastAsia="zh-CN"/>
            </w:rPr>
            <w:instrText xml:space="preserve">TOC \o "1-1" \h \u </w:instrText>
          </w:r>
          <w:r>
            <w:rPr>
              <w:rFonts w:hint="eastAsia" w:ascii="仿宋_GB2312" w:hAnsi="仿宋_GB2312" w:eastAsia="仿宋_GB2312" w:cs="仿宋_GB2312"/>
              <w:b/>
              <w:bCs/>
              <w:sz w:val="32"/>
              <w:szCs w:val="32"/>
              <w:highlight w:val="none"/>
              <w:lang w:val="en-US" w:eastAsia="zh-CN"/>
            </w:rPr>
            <w:fldChar w:fldCharType="separate"/>
          </w:r>
          <w:r>
            <w:rPr>
              <w:rFonts w:hint="eastAsia" w:ascii="仿宋_GB2312" w:hAnsi="仿宋_GB2312" w:eastAsia="仿宋_GB2312" w:cs="仿宋_GB2312"/>
              <w:b/>
              <w:bCs/>
              <w:sz w:val="32"/>
              <w:szCs w:val="32"/>
              <w:highlight w:val="none"/>
              <w:lang w:val="en-US" w:eastAsia="zh-CN"/>
            </w:rPr>
            <w:fldChar w:fldCharType="begin"/>
          </w:r>
          <w:r>
            <w:rPr>
              <w:rFonts w:hint="eastAsia" w:ascii="仿宋_GB2312" w:hAnsi="仿宋_GB2312" w:eastAsia="仿宋_GB2312" w:cs="仿宋_GB2312"/>
              <w:b/>
              <w:bCs/>
              <w:sz w:val="32"/>
              <w:szCs w:val="32"/>
              <w:highlight w:val="none"/>
              <w:lang w:val="en-US" w:eastAsia="zh-CN"/>
            </w:rPr>
            <w:instrText xml:space="preserve"> HYPERLINK \l _Toc1978 </w:instrText>
          </w:r>
          <w:r>
            <w:rPr>
              <w:rFonts w:hint="eastAsia" w:ascii="仿宋_GB2312" w:hAnsi="仿宋_GB2312" w:eastAsia="仿宋_GB2312" w:cs="仿宋_GB2312"/>
              <w:b/>
              <w:bCs/>
              <w:sz w:val="32"/>
              <w:szCs w:val="32"/>
              <w:highlight w:val="none"/>
              <w:lang w:val="en-US" w:eastAsia="zh-CN"/>
            </w:rPr>
            <w:fldChar w:fldCharType="separate"/>
          </w:r>
          <w:r>
            <w:rPr>
              <w:rFonts w:hint="eastAsia" w:ascii="仿宋_GB2312" w:hAnsi="仿宋_GB2312" w:eastAsia="仿宋_GB2312" w:cs="仿宋_GB2312"/>
              <w:b/>
              <w:bCs/>
              <w:sz w:val="32"/>
              <w:szCs w:val="32"/>
              <w:highlight w:val="none"/>
              <w:lang w:val="en-US" w:eastAsia="zh-CN"/>
            </w:rPr>
            <w:t>第一章 项目背景</w:t>
          </w:r>
          <w:r>
            <w:rPr>
              <w:rFonts w:hint="eastAsia" w:ascii="仿宋_GB2312" w:hAnsi="仿宋_GB2312" w:eastAsia="仿宋_GB2312" w:cs="仿宋_GB2312"/>
              <w:b/>
              <w:bCs/>
              <w:sz w:val="32"/>
              <w:szCs w:val="32"/>
              <w:highlight w:val="none"/>
              <w:lang w:val="en-US" w:eastAsia="zh-CN"/>
            </w:rPr>
            <w:tab/>
          </w:r>
          <w:r>
            <w:rPr>
              <w:rFonts w:hint="eastAsia" w:ascii="仿宋_GB2312" w:hAnsi="仿宋_GB2312" w:eastAsia="仿宋_GB2312" w:cs="仿宋_GB2312"/>
              <w:b/>
              <w:bCs/>
              <w:sz w:val="32"/>
              <w:szCs w:val="32"/>
              <w:highlight w:val="none"/>
              <w:lang w:val="en-US" w:eastAsia="zh-CN"/>
            </w:rPr>
            <w:fldChar w:fldCharType="begin"/>
          </w:r>
          <w:r>
            <w:rPr>
              <w:rFonts w:hint="eastAsia" w:ascii="仿宋_GB2312" w:hAnsi="仿宋_GB2312" w:eastAsia="仿宋_GB2312" w:cs="仿宋_GB2312"/>
              <w:b/>
              <w:bCs/>
              <w:sz w:val="32"/>
              <w:szCs w:val="32"/>
              <w:highlight w:val="none"/>
              <w:lang w:val="en-US" w:eastAsia="zh-CN"/>
            </w:rPr>
            <w:instrText xml:space="preserve"> PAGEREF _Toc1978 \h </w:instrText>
          </w:r>
          <w:r>
            <w:rPr>
              <w:rFonts w:hint="eastAsia" w:ascii="仿宋_GB2312" w:hAnsi="仿宋_GB2312" w:eastAsia="仿宋_GB2312" w:cs="仿宋_GB2312"/>
              <w:b/>
              <w:bCs/>
              <w:sz w:val="32"/>
              <w:szCs w:val="32"/>
              <w:highlight w:val="none"/>
              <w:lang w:val="en-US" w:eastAsia="zh-CN"/>
            </w:rPr>
            <w:fldChar w:fldCharType="separate"/>
          </w:r>
          <w:r>
            <w:rPr>
              <w:rFonts w:hint="eastAsia" w:ascii="仿宋_GB2312" w:hAnsi="仿宋_GB2312" w:eastAsia="仿宋_GB2312" w:cs="仿宋_GB2312"/>
              <w:b/>
              <w:bCs/>
              <w:sz w:val="32"/>
              <w:szCs w:val="32"/>
              <w:highlight w:val="none"/>
              <w:lang w:val="en-US" w:eastAsia="zh-CN"/>
            </w:rPr>
            <w:t>1</w:t>
          </w:r>
          <w:r>
            <w:rPr>
              <w:rFonts w:hint="eastAsia" w:ascii="仿宋_GB2312" w:hAnsi="仿宋_GB2312" w:eastAsia="仿宋_GB2312" w:cs="仿宋_GB2312"/>
              <w:b/>
              <w:bCs/>
              <w:sz w:val="32"/>
              <w:szCs w:val="32"/>
              <w:highlight w:val="none"/>
              <w:lang w:val="en-US" w:eastAsia="zh-CN"/>
            </w:rPr>
            <w:fldChar w:fldCharType="end"/>
          </w:r>
          <w:r>
            <w:rPr>
              <w:rFonts w:hint="eastAsia" w:ascii="仿宋_GB2312" w:hAnsi="仿宋_GB2312" w:eastAsia="仿宋_GB2312" w:cs="仿宋_GB2312"/>
              <w:b/>
              <w:bCs/>
              <w:sz w:val="32"/>
              <w:szCs w:val="32"/>
              <w:highlight w:val="none"/>
              <w:lang w:val="en-US" w:eastAsia="zh-CN"/>
            </w:rPr>
            <w:fldChar w:fldCharType="end"/>
          </w:r>
        </w:p>
        <w:p>
          <w:pPr>
            <w:pStyle w:val="81"/>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fldChar w:fldCharType="begin"/>
          </w:r>
          <w:r>
            <w:rPr>
              <w:rFonts w:hint="eastAsia" w:ascii="仿宋_GB2312" w:hAnsi="仿宋_GB2312" w:eastAsia="仿宋_GB2312" w:cs="仿宋_GB2312"/>
              <w:b/>
              <w:bCs/>
              <w:sz w:val="32"/>
              <w:szCs w:val="32"/>
              <w:highlight w:val="none"/>
              <w:lang w:val="en-US" w:eastAsia="zh-CN"/>
            </w:rPr>
            <w:instrText xml:space="preserve"> HYPERLINK \l _Toc3610 </w:instrText>
          </w:r>
          <w:r>
            <w:rPr>
              <w:rFonts w:hint="eastAsia" w:ascii="仿宋_GB2312" w:hAnsi="仿宋_GB2312" w:eastAsia="仿宋_GB2312" w:cs="仿宋_GB2312"/>
              <w:b/>
              <w:bCs/>
              <w:sz w:val="32"/>
              <w:szCs w:val="32"/>
              <w:highlight w:val="none"/>
              <w:lang w:val="en-US" w:eastAsia="zh-CN"/>
            </w:rPr>
            <w:fldChar w:fldCharType="separate"/>
          </w:r>
          <w:r>
            <w:rPr>
              <w:rFonts w:hint="eastAsia" w:ascii="仿宋_GB2312" w:hAnsi="仿宋_GB2312" w:eastAsia="仿宋_GB2312" w:cs="仿宋_GB2312"/>
              <w:b/>
              <w:bCs/>
              <w:sz w:val="32"/>
              <w:szCs w:val="32"/>
              <w:highlight w:val="none"/>
              <w:lang w:val="en-US" w:eastAsia="zh-CN"/>
            </w:rPr>
            <w:t>第二章 建设内容</w:t>
          </w:r>
          <w:r>
            <w:rPr>
              <w:rFonts w:hint="eastAsia" w:ascii="仿宋_GB2312" w:hAnsi="仿宋_GB2312" w:eastAsia="仿宋_GB2312" w:cs="仿宋_GB2312"/>
              <w:b/>
              <w:bCs/>
              <w:sz w:val="32"/>
              <w:szCs w:val="32"/>
              <w:highlight w:val="none"/>
              <w:lang w:val="en-US" w:eastAsia="zh-CN"/>
            </w:rPr>
            <w:tab/>
          </w:r>
          <w:r>
            <w:rPr>
              <w:rFonts w:hint="eastAsia" w:ascii="仿宋_GB2312" w:hAnsi="仿宋_GB2312" w:eastAsia="仿宋_GB2312" w:cs="仿宋_GB2312"/>
              <w:b/>
              <w:bCs/>
              <w:sz w:val="32"/>
              <w:szCs w:val="32"/>
              <w:highlight w:val="none"/>
              <w:lang w:val="en-US" w:eastAsia="zh-CN"/>
            </w:rPr>
            <w:fldChar w:fldCharType="begin"/>
          </w:r>
          <w:r>
            <w:rPr>
              <w:rFonts w:hint="eastAsia" w:ascii="仿宋_GB2312" w:hAnsi="仿宋_GB2312" w:eastAsia="仿宋_GB2312" w:cs="仿宋_GB2312"/>
              <w:b/>
              <w:bCs/>
              <w:sz w:val="32"/>
              <w:szCs w:val="32"/>
              <w:highlight w:val="none"/>
              <w:lang w:val="en-US" w:eastAsia="zh-CN"/>
            </w:rPr>
            <w:instrText xml:space="preserve"> PAGEREF _Toc3610 \h </w:instrText>
          </w:r>
          <w:r>
            <w:rPr>
              <w:rFonts w:hint="eastAsia" w:ascii="仿宋_GB2312" w:hAnsi="仿宋_GB2312" w:eastAsia="仿宋_GB2312" w:cs="仿宋_GB2312"/>
              <w:b/>
              <w:bCs/>
              <w:sz w:val="32"/>
              <w:szCs w:val="32"/>
              <w:highlight w:val="none"/>
              <w:lang w:val="en-US" w:eastAsia="zh-CN"/>
            </w:rPr>
            <w:fldChar w:fldCharType="separate"/>
          </w:r>
          <w:r>
            <w:rPr>
              <w:rFonts w:hint="eastAsia" w:ascii="仿宋_GB2312" w:hAnsi="仿宋_GB2312" w:eastAsia="仿宋_GB2312" w:cs="仿宋_GB2312"/>
              <w:b/>
              <w:bCs/>
              <w:sz w:val="32"/>
              <w:szCs w:val="32"/>
              <w:highlight w:val="none"/>
              <w:lang w:val="en-US" w:eastAsia="zh-CN"/>
            </w:rPr>
            <w:t>8</w:t>
          </w:r>
          <w:r>
            <w:rPr>
              <w:rFonts w:hint="eastAsia" w:ascii="仿宋_GB2312" w:hAnsi="仿宋_GB2312" w:eastAsia="仿宋_GB2312" w:cs="仿宋_GB2312"/>
              <w:b/>
              <w:bCs/>
              <w:sz w:val="32"/>
              <w:szCs w:val="32"/>
              <w:highlight w:val="none"/>
              <w:lang w:val="en-US" w:eastAsia="zh-CN"/>
            </w:rPr>
            <w:fldChar w:fldCharType="end"/>
          </w:r>
          <w:r>
            <w:rPr>
              <w:rFonts w:hint="eastAsia" w:ascii="仿宋_GB2312" w:hAnsi="仿宋_GB2312" w:eastAsia="仿宋_GB2312" w:cs="仿宋_GB2312"/>
              <w:b/>
              <w:bCs/>
              <w:sz w:val="32"/>
              <w:szCs w:val="32"/>
              <w:highlight w:val="none"/>
              <w:lang w:val="en-US" w:eastAsia="zh-CN"/>
            </w:rPr>
            <w:fldChar w:fldCharType="end"/>
          </w:r>
        </w:p>
        <w:p>
          <w:pPr>
            <w:pStyle w:val="81"/>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fldChar w:fldCharType="begin"/>
          </w:r>
          <w:r>
            <w:rPr>
              <w:rFonts w:hint="eastAsia" w:ascii="仿宋_GB2312" w:hAnsi="仿宋_GB2312" w:eastAsia="仿宋_GB2312" w:cs="仿宋_GB2312"/>
              <w:b/>
              <w:bCs/>
              <w:sz w:val="32"/>
              <w:szCs w:val="32"/>
              <w:highlight w:val="none"/>
              <w:lang w:val="en-US" w:eastAsia="zh-CN"/>
            </w:rPr>
            <w:instrText xml:space="preserve"> HYPERLINK \l _Toc22708 </w:instrText>
          </w:r>
          <w:r>
            <w:rPr>
              <w:rFonts w:hint="eastAsia" w:ascii="仿宋_GB2312" w:hAnsi="仿宋_GB2312" w:eastAsia="仿宋_GB2312" w:cs="仿宋_GB2312"/>
              <w:b/>
              <w:bCs/>
              <w:sz w:val="32"/>
              <w:szCs w:val="32"/>
              <w:highlight w:val="none"/>
              <w:lang w:val="en-US" w:eastAsia="zh-CN"/>
            </w:rPr>
            <w:fldChar w:fldCharType="separate"/>
          </w:r>
          <w:r>
            <w:rPr>
              <w:rFonts w:hint="eastAsia" w:ascii="仿宋_GB2312" w:hAnsi="仿宋_GB2312" w:eastAsia="仿宋_GB2312" w:cs="仿宋_GB2312"/>
              <w:b/>
              <w:bCs/>
              <w:sz w:val="32"/>
              <w:szCs w:val="32"/>
              <w:highlight w:val="none"/>
              <w:lang w:val="en-US" w:eastAsia="zh-CN"/>
            </w:rPr>
            <w:t>第三章 项目投资</w:t>
          </w:r>
          <w:r>
            <w:rPr>
              <w:rFonts w:hint="eastAsia" w:ascii="仿宋_GB2312" w:hAnsi="仿宋_GB2312" w:eastAsia="仿宋_GB2312" w:cs="仿宋_GB2312"/>
              <w:b/>
              <w:bCs/>
              <w:sz w:val="32"/>
              <w:szCs w:val="32"/>
              <w:highlight w:val="none"/>
              <w:lang w:val="en-US" w:eastAsia="zh-CN"/>
            </w:rPr>
            <w:tab/>
          </w:r>
          <w:r>
            <w:rPr>
              <w:rFonts w:hint="eastAsia" w:ascii="仿宋_GB2312" w:hAnsi="仿宋_GB2312" w:eastAsia="仿宋_GB2312" w:cs="仿宋_GB2312"/>
              <w:b/>
              <w:bCs/>
              <w:sz w:val="32"/>
              <w:szCs w:val="32"/>
              <w:highlight w:val="none"/>
              <w:lang w:val="en-US" w:eastAsia="zh-CN"/>
            </w:rPr>
            <w:fldChar w:fldCharType="begin"/>
          </w:r>
          <w:r>
            <w:rPr>
              <w:rFonts w:hint="eastAsia" w:ascii="仿宋_GB2312" w:hAnsi="仿宋_GB2312" w:eastAsia="仿宋_GB2312" w:cs="仿宋_GB2312"/>
              <w:b/>
              <w:bCs/>
              <w:sz w:val="32"/>
              <w:szCs w:val="32"/>
              <w:highlight w:val="none"/>
              <w:lang w:val="en-US" w:eastAsia="zh-CN"/>
            </w:rPr>
            <w:instrText xml:space="preserve"> PAGEREF _Toc22708 \h </w:instrText>
          </w:r>
          <w:r>
            <w:rPr>
              <w:rFonts w:hint="eastAsia" w:ascii="仿宋_GB2312" w:hAnsi="仿宋_GB2312" w:eastAsia="仿宋_GB2312" w:cs="仿宋_GB2312"/>
              <w:b/>
              <w:bCs/>
              <w:sz w:val="32"/>
              <w:szCs w:val="32"/>
              <w:highlight w:val="none"/>
              <w:lang w:val="en-US" w:eastAsia="zh-CN"/>
            </w:rPr>
            <w:fldChar w:fldCharType="separate"/>
          </w:r>
          <w:r>
            <w:rPr>
              <w:rFonts w:hint="eastAsia" w:ascii="仿宋_GB2312" w:hAnsi="仿宋_GB2312" w:eastAsia="仿宋_GB2312" w:cs="仿宋_GB2312"/>
              <w:b/>
              <w:bCs/>
              <w:sz w:val="32"/>
              <w:szCs w:val="32"/>
              <w:highlight w:val="none"/>
              <w:lang w:val="en-US" w:eastAsia="zh-CN"/>
            </w:rPr>
            <w:t>9</w:t>
          </w:r>
          <w:r>
            <w:rPr>
              <w:rFonts w:hint="eastAsia" w:ascii="仿宋_GB2312" w:hAnsi="仿宋_GB2312" w:eastAsia="仿宋_GB2312" w:cs="仿宋_GB2312"/>
              <w:b/>
              <w:bCs/>
              <w:sz w:val="32"/>
              <w:szCs w:val="32"/>
              <w:highlight w:val="none"/>
              <w:lang w:val="en-US" w:eastAsia="zh-CN"/>
            </w:rPr>
            <w:fldChar w:fldCharType="end"/>
          </w:r>
          <w:r>
            <w:rPr>
              <w:rFonts w:hint="eastAsia" w:ascii="仿宋_GB2312" w:hAnsi="仿宋_GB2312" w:eastAsia="仿宋_GB2312" w:cs="仿宋_GB2312"/>
              <w:b/>
              <w:bCs/>
              <w:sz w:val="32"/>
              <w:szCs w:val="32"/>
              <w:highlight w:val="none"/>
              <w:lang w:val="en-US" w:eastAsia="zh-CN"/>
            </w:rPr>
            <w:fldChar w:fldCharType="end"/>
          </w:r>
        </w:p>
        <w:p>
          <w:pPr>
            <w:pStyle w:val="81"/>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fldChar w:fldCharType="begin"/>
          </w:r>
          <w:r>
            <w:rPr>
              <w:rFonts w:hint="eastAsia" w:ascii="仿宋_GB2312" w:hAnsi="仿宋_GB2312" w:eastAsia="仿宋_GB2312" w:cs="仿宋_GB2312"/>
              <w:b/>
              <w:bCs/>
              <w:sz w:val="32"/>
              <w:szCs w:val="32"/>
              <w:highlight w:val="none"/>
              <w:lang w:val="en-US" w:eastAsia="zh-CN"/>
            </w:rPr>
            <w:instrText xml:space="preserve"> HYPERLINK \l _Toc15015 </w:instrText>
          </w:r>
          <w:r>
            <w:rPr>
              <w:rFonts w:hint="eastAsia" w:ascii="仿宋_GB2312" w:hAnsi="仿宋_GB2312" w:eastAsia="仿宋_GB2312" w:cs="仿宋_GB2312"/>
              <w:b/>
              <w:bCs/>
              <w:sz w:val="32"/>
              <w:szCs w:val="32"/>
              <w:highlight w:val="none"/>
              <w:lang w:val="en-US" w:eastAsia="zh-CN"/>
            </w:rPr>
            <w:fldChar w:fldCharType="separate"/>
          </w:r>
          <w:r>
            <w:rPr>
              <w:rFonts w:hint="eastAsia" w:ascii="仿宋_GB2312" w:hAnsi="仿宋_GB2312" w:eastAsia="仿宋_GB2312" w:cs="仿宋_GB2312"/>
              <w:b/>
              <w:bCs/>
              <w:sz w:val="32"/>
              <w:szCs w:val="32"/>
              <w:highlight w:val="none"/>
              <w:lang w:val="en-US" w:eastAsia="zh-CN"/>
            </w:rPr>
            <w:t>第四章 实施计划</w:t>
          </w:r>
          <w:r>
            <w:rPr>
              <w:rFonts w:hint="eastAsia" w:ascii="仿宋_GB2312" w:hAnsi="仿宋_GB2312" w:eastAsia="仿宋_GB2312" w:cs="仿宋_GB2312"/>
              <w:b/>
              <w:bCs/>
              <w:sz w:val="32"/>
              <w:szCs w:val="32"/>
              <w:highlight w:val="none"/>
              <w:lang w:val="en-US" w:eastAsia="zh-CN"/>
            </w:rPr>
            <w:tab/>
          </w:r>
          <w:r>
            <w:rPr>
              <w:rFonts w:hint="eastAsia" w:ascii="仿宋_GB2312" w:hAnsi="仿宋_GB2312" w:eastAsia="仿宋_GB2312" w:cs="仿宋_GB2312"/>
              <w:b/>
              <w:bCs/>
              <w:sz w:val="32"/>
              <w:szCs w:val="32"/>
              <w:highlight w:val="none"/>
              <w:lang w:val="en-US" w:eastAsia="zh-CN"/>
            </w:rPr>
            <w:fldChar w:fldCharType="begin"/>
          </w:r>
          <w:r>
            <w:rPr>
              <w:rFonts w:hint="eastAsia" w:ascii="仿宋_GB2312" w:hAnsi="仿宋_GB2312" w:eastAsia="仿宋_GB2312" w:cs="仿宋_GB2312"/>
              <w:b/>
              <w:bCs/>
              <w:sz w:val="32"/>
              <w:szCs w:val="32"/>
              <w:highlight w:val="none"/>
              <w:lang w:val="en-US" w:eastAsia="zh-CN"/>
            </w:rPr>
            <w:instrText xml:space="preserve"> PAGEREF _Toc15015 \h </w:instrText>
          </w:r>
          <w:r>
            <w:rPr>
              <w:rFonts w:hint="eastAsia" w:ascii="仿宋_GB2312" w:hAnsi="仿宋_GB2312" w:eastAsia="仿宋_GB2312" w:cs="仿宋_GB2312"/>
              <w:b/>
              <w:bCs/>
              <w:sz w:val="32"/>
              <w:szCs w:val="32"/>
              <w:highlight w:val="none"/>
              <w:lang w:val="en-US" w:eastAsia="zh-CN"/>
            </w:rPr>
            <w:fldChar w:fldCharType="separate"/>
          </w:r>
          <w:r>
            <w:rPr>
              <w:rFonts w:hint="eastAsia" w:ascii="仿宋_GB2312" w:hAnsi="仿宋_GB2312" w:eastAsia="仿宋_GB2312" w:cs="仿宋_GB2312"/>
              <w:b/>
              <w:bCs/>
              <w:sz w:val="32"/>
              <w:szCs w:val="32"/>
              <w:highlight w:val="none"/>
              <w:lang w:val="en-US" w:eastAsia="zh-CN"/>
            </w:rPr>
            <w:t>11</w:t>
          </w:r>
          <w:r>
            <w:rPr>
              <w:rFonts w:hint="eastAsia" w:ascii="仿宋_GB2312" w:hAnsi="仿宋_GB2312" w:eastAsia="仿宋_GB2312" w:cs="仿宋_GB2312"/>
              <w:b/>
              <w:bCs/>
              <w:sz w:val="32"/>
              <w:szCs w:val="32"/>
              <w:highlight w:val="none"/>
              <w:lang w:val="en-US" w:eastAsia="zh-CN"/>
            </w:rPr>
            <w:fldChar w:fldCharType="end"/>
          </w:r>
          <w:r>
            <w:rPr>
              <w:rFonts w:hint="eastAsia" w:ascii="仿宋_GB2312" w:hAnsi="仿宋_GB2312" w:eastAsia="仿宋_GB2312" w:cs="仿宋_GB2312"/>
              <w:b/>
              <w:bCs/>
              <w:sz w:val="32"/>
              <w:szCs w:val="32"/>
              <w:highlight w:val="none"/>
              <w:lang w:val="en-US" w:eastAsia="zh-CN"/>
            </w:rPr>
            <w:fldChar w:fldCharType="end"/>
          </w:r>
        </w:p>
        <w:p>
          <w:pPr>
            <w:pStyle w:val="81"/>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fldChar w:fldCharType="begin"/>
          </w:r>
          <w:r>
            <w:rPr>
              <w:rFonts w:hint="eastAsia" w:ascii="仿宋_GB2312" w:hAnsi="仿宋_GB2312" w:eastAsia="仿宋_GB2312" w:cs="仿宋_GB2312"/>
              <w:b/>
              <w:bCs/>
              <w:sz w:val="32"/>
              <w:szCs w:val="32"/>
              <w:highlight w:val="none"/>
              <w:lang w:val="en-US" w:eastAsia="zh-CN"/>
            </w:rPr>
            <w:instrText xml:space="preserve"> HYPERLINK \l _Toc32441 </w:instrText>
          </w:r>
          <w:r>
            <w:rPr>
              <w:rFonts w:hint="eastAsia" w:ascii="仿宋_GB2312" w:hAnsi="仿宋_GB2312" w:eastAsia="仿宋_GB2312" w:cs="仿宋_GB2312"/>
              <w:b/>
              <w:bCs/>
              <w:sz w:val="32"/>
              <w:szCs w:val="32"/>
              <w:highlight w:val="none"/>
              <w:lang w:val="en-US" w:eastAsia="zh-CN"/>
            </w:rPr>
            <w:fldChar w:fldCharType="separate"/>
          </w:r>
          <w:r>
            <w:rPr>
              <w:rFonts w:hint="eastAsia" w:ascii="仿宋_GB2312" w:hAnsi="仿宋_GB2312" w:eastAsia="仿宋_GB2312" w:cs="仿宋_GB2312"/>
              <w:b/>
              <w:bCs/>
              <w:sz w:val="32"/>
              <w:szCs w:val="32"/>
              <w:highlight w:val="none"/>
              <w:lang w:val="en-US" w:eastAsia="zh-CN"/>
            </w:rPr>
            <w:t>第五章 效益分析</w:t>
          </w:r>
          <w:r>
            <w:rPr>
              <w:rFonts w:hint="eastAsia" w:ascii="仿宋_GB2312" w:hAnsi="仿宋_GB2312" w:eastAsia="仿宋_GB2312" w:cs="仿宋_GB2312"/>
              <w:b/>
              <w:bCs/>
              <w:sz w:val="32"/>
              <w:szCs w:val="32"/>
              <w:highlight w:val="none"/>
              <w:lang w:val="en-US" w:eastAsia="zh-CN"/>
            </w:rPr>
            <w:tab/>
          </w:r>
          <w:r>
            <w:rPr>
              <w:rFonts w:hint="eastAsia" w:ascii="仿宋_GB2312" w:hAnsi="仿宋_GB2312" w:eastAsia="仿宋_GB2312" w:cs="仿宋_GB2312"/>
              <w:b/>
              <w:bCs/>
              <w:sz w:val="32"/>
              <w:szCs w:val="32"/>
              <w:highlight w:val="none"/>
              <w:lang w:val="en-US" w:eastAsia="zh-CN"/>
            </w:rPr>
            <w:fldChar w:fldCharType="begin"/>
          </w:r>
          <w:r>
            <w:rPr>
              <w:rFonts w:hint="eastAsia" w:ascii="仿宋_GB2312" w:hAnsi="仿宋_GB2312" w:eastAsia="仿宋_GB2312" w:cs="仿宋_GB2312"/>
              <w:b/>
              <w:bCs/>
              <w:sz w:val="32"/>
              <w:szCs w:val="32"/>
              <w:highlight w:val="none"/>
              <w:lang w:val="en-US" w:eastAsia="zh-CN"/>
            </w:rPr>
            <w:instrText xml:space="preserve"> PAGEREF _Toc32441 \h </w:instrText>
          </w:r>
          <w:r>
            <w:rPr>
              <w:rFonts w:hint="eastAsia" w:ascii="仿宋_GB2312" w:hAnsi="仿宋_GB2312" w:eastAsia="仿宋_GB2312" w:cs="仿宋_GB2312"/>
              <w:b/>
              <w:bCs/>
              <w:sz w:val="32"/>
              <w:szCs w:val="32"/>
              <w:highlight w:val="none"/>
              <w:lang w:val="en-US" w:eastAsia="zh-CN"/>
            </w:rPr>
            <w:fldChar w:fldCharType="separate"/>
          </w:r>
          <w:r>
            <w:rPr>
              <w:rFonts w:hint="eastAsia" w:ascii="仿宋_GB2312" w:hAnsi="仿宋_GB2312" w:eastAsia="仿宋_GB2312" w:cs="仿宋_GB2312"/>
              <w:b/>
              <w:bCs/>
              <w:sz w:val="32"/>
              <w:szCs w:val="32"/>
              <w:highlight w:val="none"/>
              <w:lang w:val="en-US" w:eastAsia="zh-CN"/>
            </w:rPr>
            <w:t>12</w:t>
          </w:r>
          <w:r>
            <w:rPr>
              <w:rFonts w:hint="eastAsia" w:ascii="仿宋_GB2312" w:hAnsi="仿宋_GB2312" w:eastAsia="仿宋_GB2312" w:cs="仿宋_GB2312"/>
              <w:b/>
              <w:bCs/>
              <w:sz w:val="32"/>
              <w:szCs w:val="32"/>
              <w:highlight w:val="none"/>
              <w:lang w:val="en-US" w:eastAsia="zh-CN"/>
            </w:rPr>
            <w:fldChar w:fldCharType="end"/>
          </w:r>
          <w:r>
            <w:rPr>
              <w:rFonts w:hint="eastAsia" w:ascii="仿宋_GB2312" w:hAnsi="仿宋_GB2312" w:eastAsia="仿宋_GB2312" w:cs="仿宋_GB2312"/>
              <w:b/>
              <w:bCs/>
              <w:sz w:val="32"/>
              <w:szCs w:val="32"/>
              <w:highlight w:val="none"/>
              <w:lang w:val="en-US" w:eastAsia="zh-CN"/>
            </w:rPr>
            <w:fldChar w:fldCharType="end"/>
          </w:r>
        </w:p>
        <w:p>
          <w:pPr>
            <w:pStyle w:val="81"/>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fldChar w:fldCharType="begin"/>
          </w:r>
          <w:r>
            <w:rPr>
              <w:rFonts w:hint="eastAsia" w:ascii="仿宋_GB2312" w:hAnsi="仿宋_GB2312" w:eastAsia="仿宋_GB2312" w:cs="仿宋_GB2312"/>
              <w:b/>
              <w:bCs/>
              <w:sz w:val="32"/>
              <w:szCs w:val="32"/>
              <w:highlight w:val="none"/>
              <w:lang w:val="en-US" w:eastAsia="zh-CN"/>
            </w:rPr>
            <w:instrText xml:space="preserve"> HYPERLINK \l _Toc10035 </w:instrText>
          </w:r>
          <w:r>
            <w:rPr>
              <w:rFonts w:hint="eastAsia" w:ascii="仿宋_GB2312" w:hAnsi="仿宋_GB2312" w:eastAsia="仿宋_GB2312" w:cs="仿宋_GB2312"/>
              <w:b/>
              <w:bCs/>
              <w:sz w:val="32"/>
              <w:szCs w:val="32"/>
              <w:highlight w:val="none"/>
              <w:lang w:val="en-US" w:eastAsia="zh-CN"/>
            </w:rPr>
            <w:fldChar w:fldCharType="separate"/>
          </w:r>
          <w:r>
            <w:rPr>
              <w:rFonts w:hint="eastAsia" w:ascii="仿宋_GB2312" w:hAnsi="仿宋_GB2312" w:eastAsia="仿宋_GB2312" w:cs="仿宋_GB2312"/>
              <w:b/>
              <w:bCs/>
              <w:sz w:val="32"/>
              <w:szCs w:val="32"/>
              <w:highlight w:val="none"/>
              <w:lang w:val="en-US" w:eastAsia="zh-CN"/>
            </w:rPr>
            <w:t>第六章 保障措施</w:t>
          </w:r>
          <w:r>
            <w:rPr>
              <w:rFonts w:hint="eastAsia" w:ascii="仿宋_GB2312" w:hAnsi="仿宋_GB2312" w:eastAsia="仿宋_GB2312" w:cs="仿宋_GB2312"/>
              <w:b/>
              <w:bCs/>
              <w:sz w:val="32"/>
              <w:szCs w:val="32"/>
              <w:highlight w:val="none"/>
              <w:lang w:val="en-US" w:eastAsia="zh-CN"/>
            </w:rPr>
            <w:tab/>
          </w:r>
          <w:r>
            <w:rPr>
              <w:rFonts w:hint="eastAsia" w:ascii="仿宋_GB2312" w:hAnsi="仿宋_GB2312" w:eastAsia="仿宋_GB2312" w:cs="仿宋_GB2312"/>
              <w:b/>
              <w:bCs/>
              <w:sz w:val="32"/>
              <w:szCs w:val="32"/>
              <w:highlight w:val="none"/>
              <w:lang w:val="en-US" w:eastAsia="zh-CN"/>
            </w:rPr>
            <w:fldChar w:fldCharType="begin"/>
          </w:r>
          <w:r>
            <w:rPr>
              <w:rFonts w:hint="eastAsia" w:ascii="仿宋_GB2312" w:hAnsi="仿宋_GB2312" w:eastAsia="仿宋_GB2312" w:cs="仿宋_GB2312"/>
              <w:b/>
              <w:bCs/>
              <w:sz w:val="32"/>
              <w:szCs w:val="32"/>
              <w:highlight w:val="none"/>
              <w:lang w:val="en-US" w:eastAsia="zh-CN"/>
            </w:rPr>
            <w:instrText xml:space="preserve"> PAGEREF _Toc10035 \h </w:instrText>
          </w:r>
          <w:r>
            <w:rPr>
              <w:rFonts w:hint="eastAsia" w:ascii="仿宋_GB2312" w:hAnsi="仿宋_GB2312" w:eastAsia="仿宋_GB2312" w:cs="仿宋_GB2312"/>
              <w:b/>
              <w:bCs/>
              <w:sz w:val="32"/>
              <w:szCs w:val="32"/>
              <w:highlight w:val="none"/>
              <w:lang w:val="en-US" w:eastAsia="zh-CN"/>
            </w:rPr>
            <w:fldChar w:fldCharType="separate"/>
          </w:r>
          <w:r>
            <w:rPr>
              <w:rFonts w:hint="eastAsia" w:ascii="仿宋_GB2312" w:hAnsi="仿宋_GB2312" w:eastAsia="仿宋_GB2312" w:cs="仿宋_GB2312"/>
              <w:b/>
              <w:bCs/>
              <w:sz w:val="32"/>
              <w:szCs w:val="32"/>
              <w:highlight w:val="none"/>
              <w:lang w:val="en-US" w:eastAsia="zh-CN"/>
            </w:rPr>
            <w:t>13</w:t>
          </w:r>
          <w:r>
            <w:rPr>
              <w:rFonts w:hint="eastAsia" w:ascii="仿宋_GB2312" w:hAnsi="仿宋_GB2312" w:eastAsia="仿宋_GB2312" w:cs="仿宋_GB2312"/>
              <w:b/>
              <w:bCs/>
              <w:sz w:val="32"/>
              <w:szCs w:val="32"/>
              <w:highlight w:val="none"/>
              <w:lang w:val="en-US" w:eastAsia="zh-CN"/>
            </w:rPr>
            <w:fldChar w:fldCharType="end"/>
          </w:r>
          <w:r>
            <w:rPr>
              <w:rFonts w:hint="eastAsia" w:ascii="仿宋_GB2312" w:hAnsi="仿宋_GB2312" w:eastAsia="仿宋_GB2312" w:cs="仿宋_GB2312"/>
              <w:b/>
              <w:bCs/>
              <w:sz w:val="32"/>
              <w:szCs w:val="32"/>
              <w:highlight w:val="none"/>
              <w:lang w:val="en-US" w:eastAsia="zh-CN"/>
            </w:rPr>
            <w:fldChar w:fldCharType="end"/>
          </w:r>
        </w:p>
        <w:p>
          <w:pPr>
            <w:pStyle w:val="81"/>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fldChar w:fldCharType="begin"/>
          </w:r>
          <w:r>
            <w:rPr>
              <w:rFonts w:hint="eastAsia" w:ascii="仿宋_GB2312" w:hAnsi="仿宋_GB2312" w:eastAsia="仿宋_GB2312" w:cs="仿宋_GB2312"/>
              <w:b/>
              <w:bCs/>
              <w:sz w:val="32"/>
              <w:szCs w:val="32"/>
              <w:highlight w:val="none"/>
              <w:lang w:val="en-US" w:eastAsia="zh-CN"/>
            </w:rPr>
            <w:instrText xml:space="preserve"> HYPERLINK \l _Toc30814 </w:instrText>
          </w:r>
          <w:r>
            <w:rPr>
              <w:rFonts w:hint="eastAsia" w:ascii="仿宋_GB2312" w:hAnsi="仿宋_GB2312" w:eastAsia="仿宋_GB2312" w:cs="仿宋_GB2312"/>
              <w:b/>
              <w:bCs/>
              <w:sz w:val="32"/>
              <w:szCs w:val="32"/>
              <w:highlight w:val="none"/>
              <w:lang w:val="en-US" w:eastAsia="zh-CN"/>
            </w:rPr>
            <w:fldChar w:fldCharType="separate"/>
          </w:r>
          <w:r>
            <w:rPr>
              <w:rFonts w:hint="eastAsia" w:ascii="仿宋_GB2312" w:hAnsi="仿宋_GB2312" w:eastAsia="仿宋_GB2312" w:cs="仿宋_GB2312"/>
              <w:b/>
              <w:bCs/>
              <w:sz w:val="32"/>
              <w:szCs w:val="32"/>
              <w:highlight w:val="none"/>
              <w:lang w:val="en-US" w:eastAsia="zh-CN"/>
            </w:rPr>
            <w:t>第七章 附件</w:t>
          </w:r>
          <w:r>
            <w:rPr>
              <w:rFonts w:hint="eastAsia" w:ascii="仿宋_GB2312" w:hAnsi="仿宋_GB2312" w:eastAsia="仿宋_GB2312" w:cs="仿宋_GB2312"/>
              <w:b/>
              <w:bCs/>
              <w:sz w:val="32"/>
              <w:szCs w:val="32"/>
              <w:highlight w:val="none"/>
              <w:lang w:val="en-US" w:eastAsia="zh-CN"/>
            </w:rPr>
            <w:tab/>
          </w:r>
          <w:r>
            <w:rPr>
              <w:rFonts w:hint="eastAsia" w:ascii="仿宋_GB2312" w:hAnsi="仿宋_GB2312" w:eastAsia="仿宋_GB2312" w:cs="仿宋_GB2312"/>
              <w:b/>
              <w:bCs/>
              <w:sz w:val="32"/>
              <w:szCs w:val="32"/>
              <w:highlight w:val="none"/>
              <w:lang w:val="en-US" w:eastAsia="zh-CN"/>
            </w:rPr>
            <w:fldChar w:fldCharType="begin"/>
          </w:r>
          <w:r>
            <w:rPr>
              <w:rFonts w:hint="eastAsia" w:ascii="仿宋_GB2312" w:hAnsi="仿宋_GB2312" w:eastAsia="仿宋_GB2312" w:cs="仿宋_GB2312"/>
              <w:b/>
              <w:bCs/>
              <w:sz w:val="32"/>
              <w:szCs w:val="32"/>
              <w:highlight w:val="none"/>
              <w:lang w:val="en-US" w:eastAsia="zh-CN"/>
            </w:rPr>
            <w:instrText xml:space="preserve"> PAGEREF _Toc30814 \h </w:instrText>
          </w:r>
          <w:r>
            <w:rPr>
              <w:rFonts w:hint="eastAsia" w:ascii="仿宋_GB2312" w:hAnsi="仿宋_GB2312" w:eastAsia="仿宋_GB2312" w:cs="仿宋_GB2312"/>
              <w:b/>
              <w:bCs/>
              <w:sz w:val="32"/>
              <w:szCs w:val="32"/>
              <w:highlight w:val="none"/>
              <w:lang w:val="en-US" w:eastAsia="zh-CN"/>
            </w:rPr>
            <w:fldChar w:fldCharType="separate"/>
          </w:r>
          <w:r>
            <w:rPr>
              <w:rFonts w:hint="eastAsia" w:ascii="仿宋_GB2312" w:hAnsi="仿宋_GB2312" w:eastAsia="仿宋_GB2312" w:cs="仿宋_GB2312"/>
              <w:b/>
              <w:bCs/>
              <w:sz w:val="32"/>
              <w:szCs w:val="32"/>
              <w:highlight w:val="none"/>
              <w:lang w:val="en-US" w:eastAsia="zh-CN"/>
            </w:rPr>
            <w:t>18</w:t>
          </w:r>
          <w:r>
            <w:rPr>
              <w:rFonts w:hint="eastAsia" w:ascii="仿宋_GB2312" w:hAnsi="仿宋_GB2312" w:eastAsia="仿宋_GB2312" w:cs="仿宋_GB2312"/>
              <w:b/>
              <w:bCs/>
              <w:sz w:val="32"/>
              <w:szCs w:val="32"/>
              <w:highlight w:val="none"/>
              <w:lang w:val="en-US" w:eastAsia="zh-CN"/>
            </w:rPr>
            <w:fldChar w:fldCharType="end"/>
          </w:r>
          <w:r>
            <w:rPr>
              <w:rFonts w:hint="eastAsia" w:ascii="仿宋_GB2312" w:hAnsi="仿宋_GB2312" w:eastAsia="仿宋_GB2312" w:cs="仿宋_GB2312"/>
              <w:b/>
              <w:bCs/>
              <w:sz w:val="32"/>
              <w:szCs w:val="32"/>
              <w:highlight w:val="none"/>
              <w:lang w:val="en-US" w:eastAsia="zh-CN"/>
            </w:rPr>
            <w:fldChar w:fldCharType="end"/>
          </w:r>
        </w:p>
        <w:p>
          <w:pPr>
            <w:pStyle w:val="81"/>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lang w:val="en-US" w:eastAsia="zh-CN"/>
            </w:rPr>
          </w:pPr>
          <w:r>
            <w:rPr>
              <w:rFonts w:hint="eastAsia" w:ascii="仿宋_GB2312" w:hAnsi="仿宋_GB2312" w:eastAsia="仿宋_GB2312" w:cs="仿宋_GB2312"/>
              <w:b/>
              <w:bCs/>
              <w:sz w:val="32"/>
              <w:szCs w:val="32"/>
              <w:highlight w:val="none"/>
              <w:lang w:val="en-US" w:eastAsia="zh-CN"/>
            </w:rPr>
            <w:fldChar w:fldCharType="end"/>
          </w:r>
        </w:p>
      </w:sdtContent>
    </w:sdt>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7176"/>
        </w:tabs>
        <w:bidi w:val="0"/>
        <w:jc w:val="left"/>
        <w:rPr>
          <w:lang w:val="en-US" w:eastAsia="zh-CN"/>
        </w:rPr>
        <w:sectPr>
          <w:headerReference r:id="rId5" w:type="default"/>
          <w:pgSz w:w="11906" w:h="16839" w:orient="landscape"/>
          <w:pgMar w:top="1440" w:right="1800" w:bottom="1440" w:left="1800" w:header="850" w:footer="567" w:gutter="0"/>
          <w:cols w:space="720" w:num="1"/>
          <w:docGrid w:linePitch="286" w:charSpace="0"/>
        </w:sectPr>
      </w:pPr>
      <w:r>
        <w:rPr>
          <w:rFonts w:hint="eastAsia"/>
          <w:lang w:val="en-US" w:eastAsia="zh-CN"/>
        </w:rPr>
        <w:tab/>
      </w:r>
    </w:p>
    <w:p>
      <w:pPr>
        <w:keepNext w:val="0"/>
        <w:keepLines w:val="0"/>
        <w:pageBreakBefore w:val="0"/>
        <w:widowControl/>
        <w:shd w:val="clear"/>
        <w:kinsoku w:val="0"/>
        <w:wordWrap/>
        <w:overflowPunct/>
        <w:topLinePunct w:val="0"/>
        <w:autoSpaceDE w:val="0"/>
        <w:autoSpaceDN w:val="0"/>
        <w:bidi w:val="0"/>
        <w:adjustRightInd/>
        <w:snapToGrid/>
        <w:spacing w:before="120" w:beforeLines="50" w:after="120" w:afterLines="50" w:line="560" w:lineRule="exact"/>
        <w:jc w:val="center"/>
        <w:textAlignment w:val="baseline"/>
        <w:outlineLvl w:val="0"/>
        <w:rPr>
          <w:rFonts w:hint="eastAsia" w:ascii="仿宋_GB2312" w:hAnsi="仿宋_GB2312" w:eastAsia="仿宋_GB2312" w:cs="仿宋_GB2312"/>
          <w:b w:val="0"/>
          <w:bCs w:val="0"/>
          <w:color w:val="auto"/>
          <w:spacing w:val="1"/>
          <w:sz w:val="32"/>
          <w:szCs w:val="32"/>
          <w:highlight w:val="none"/>
          <w14:textOutline w14:w="6540" w14:cap="sq" w14:cmpd="sng" w14:algn="ctr">
            <w14:solidFill>
              <w14:srgbClr w14:val="000000"/>
            </w14:solidFill>
            <w14:prstDash w14:val="solid"/>
            <w14:bevel/>
          </w14:textOutline>
        </w:rPr>
      </w:pPr>
      <w:bookmarkStart w:id="0" w:name="_Toc108097349"/>
      <w:bookmarkStart w:id="1" w:name="_Toc1978"/>
      <w:r>
        <w:rPr>
          <w:rFonts w:hint="eastAsia" w:ascii="仿宋_GB2312" w:hAnsi="仿宋_GB2312" w:eastAsia="仿宋_GB2312" w:cs="仿宋_GB2312"/>
          <w:b w:val="0"/>
          <w:bCs w:val="0"/>
          <w:color w:val="auto"/>
          <w:spacing w:val="1"/>
          <w:sz w:val="32"/>
          <w:szCs w:val="32"/>
          <w:highlight w:val="none"/>
          <w14:textOutline w14:w="6540" w14:cap="sq" w14:cmpd="sng" w14:algn="ctr">
            <w14:solidFill>
              <w14:srgbClr w14:val="000000"/>
            </w14:solidFill>
            <w14:prstDash w14:val="solid"/>
            <w14:bevel/>
          </w14:textOutline>
        </w:rPr>
        <w:t>第一章</w:t>
      </w:r>
      <w:bookmarkEnd w:id="0"/>
      <w:r>
        <w:rPr>
          <w:rFonts w:hint="eastAsia" w:ascii="仿宋_GB2312" w:hAnsi="仿宋_GB2312" w:eastAsia="仿宋_GB2312" w:cs="仿宋_GB2312"/>
          <w:b w:val="0"/>
          <w:bCs w:val="0"/>
          <w:color w:val="auto"/>
          <w:spacing w:val="1"/>
          <w:sz w:val="32"/>
          <w:szCs w:val="32"/>
          <w:highlight w:val="none"/>
          <w:lang w:val="en-US" w:eastAsia="zh-CN"/>
          <w14:textOutline w14:w="6540" w14:cap="sq" w14:cmpd="sng" w14:algn="ctr">
            <w14:solidFill>
              <w14:srgbClr w14:val="000000"/>
            </w14:solidFill>
            <w14:prstDash w14:val="solid"/>
            <w14:bevel/>
          </w14:textOutline>
        </w:rPr>
        <w:t xml:space="preserve"> </w:t>
      </w:r>
      <w:r>
        <w:rPr>
          <w:rFonts w:hint="eastAsia" w:ascii="仿宋_GB2312" w:hAnsi="仿宋_GB2312" w:eastAsia="仿宋_GB2312" w:cs="仿宋_GB2312"/>
          <w:b w:val="0"/>
          <w:bCs w:val="0"/>
          <w:color w:val="auto"/>
          <w:spacing w:val="1"/>
          <w:sz w:val="32"/>
          <w:szCs w:val="32"/>
          <w:highlight w:val="none"/>
          <w14:textOutline w14:w="6540" w14:cap="sq" w14:cmpd="sng" w14:algn="ctr">
            <w14:solidFill>
              <w14:srgbClr w14:val="000000"/>
            </w14:solidFill>
            <w14:prstDash w14:val="solid"/>
            <w14:bevel/>
          </w14:textOutline>
        </w:rPr>
        <w:t>项目背景</w:t>
      </w:r>
      <w:bookmarkEnd w:id="1"/>
    </w:p>
    <w:p>
      <w:pPr>
        <w:keepNext w:val="0"/>
        <w:keepLines w:val="0"/>
        <w:pageBreakBefore w:val="0"/>
        <w:widowControl/>
        <w:shd w:val="clear"/>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黑体" w:hAnsi="黑体" w:eastAsia="黑体" w:cs="黑体"/>
          <w:b w:val="0"/>
          <w:bCs w:val="0"/>
          <w:color w:val="auto"/>
          <w:sz w:val="32"/>
          <w:szCs w:val="32"/>
          <w:highlight w:val="none"/>
          <w:lang w:val="en-US" w:eastAsia="zh-CN"/>
        </w:rPr>
      </w:pPr>
      <w:bookmarkStart w:id="2" w:name="_Toc30259199"/>
      <w:bookmarkStart w:id="3" w:name="_Toc326"/>
      <w:r>
        <w:rPr>
          <w:rFonts w:hint="eastAsia" w:ascii="黑体" w:hAnsi="黑体" w:eastAsia="黑体" w:cs="黑体"/>
          <w:b w:val="0"/>
          <w:bCs w:val="0"/>
          <w:color w:val="auto"/>
          <w:sz w:val="32"/>
          <w:szCs w:val="32"/>
          <w:highlight w:val="none"/>
          <w:lang w:val="en-US" w:eastAsia="zh-CN"/>
        </w:rPr>
        <w:t>一、政策背景</w:t>
      </w:r>
      <w:bookmarkEnd w:id="2"/>
      <w:bookmarkEnd w:id="3"/>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（一）政策和文件</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实施乡村振兴战略，是党的十九大作出的重大决策部署，是决胜全面建成小康社会、全面建设社会主义现代化国家的重大历史任务，是新时代“三农”工作的总抓手。党的十九大报告提出，实施乡村振兴战略。农业农村农民问题是关系国计民生的根本性问题，必须始终把解决好“三农”问题作为全党工作重中之重。要坚持农业农村优先发展，按照产业兴旺、生态宜居、乡风文明、治理有效、生活富裕的总要求，建立健全城乡融合发展体制机制和政策体系，加快推进农业农村现代化。乡村振兴战略的实施，不仅是对乡村地位和作用的充分肯定，也是实现中华民族伟大复兴的中国梦的历史使命。乡村振兴战略对乡村产业发展、生态环境、乡风文明、治理水平、收入水平等方面提出了更高的要求</w:t>
      </w:r>
      <w:r>
        <w:rPr>
          <w:rFonts w:hint="eastAsia" w:ascii="Times New Roman" w:hAnsi="Times New Roman" w:eastAsia="仿宋_GB2312" w:cs="Times New Roman"/>
          <w:sz w:val="32"/>
          <w:szCs w:val="32"/>
        </w:rPr>
        <w:t>，必须坚持以习近平新时代中国特色社会主义思想为指导</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全面贯彻落实党的二十大和二十届二中、三中全会精神，深入学习贯彻习近平总书记关于乡村振兴的重要指示批示精神，落实党中央、国务院决策部署，坚持以学习运用“千万工程”经验为引领，扎实有力推进宜居宜业和美乡村建设，推动乡村全面振兴不断取得新成效</w:t>
      </w:r>
      <w:r>
        <w:rPr>
          <w:rFonts w:hint="eastAsia" w:ascii="Times New Roman" w:hAnsi="Times New Roman" w:eastAsia="仿宋_GB2312" w:cs="Times New Roman"/>
          <w:sz w:val="32"/>
          <w:szCs w:val="32"/>
        </w:rPr>
        <w:t>。</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近年来，各地各部门主动作为、真抓实干，农村人居环境持续改善，乡村公共基础设施和农村基本公共服务水平不断提高，乡村建设行动取得积极成效。但对照到2035年实现农村基本具备现代生活条件的目标，乡村建设任务依然艰巨繁重。要切实增强责任感紧迫感，精心组织、扎实推进乡村建设行动，着力提升建设成效，加快改善农村现代生活条件，让广大农民群众共享中国式现代化成果。</w:t>
      </w:r>
      <w:r>
        <w:rPr>
          <w:rFonts w:hint="eastAsia" w:ascii="Times New Roman" w:hAnsi="Times New Roman" w:eastAsia="仿宋_GB2312" w:cs="Times New Roman"/>
          <w:sz w:val="32"/>
          <w:szCs w:val="32"/>
        </w:rPr>
        <w:t>必须强化重大工程项目研究论证，建立完善农业农村基础设施建设重大项目库，储备一批打基础、管长远、有影响力的重大建设项目，为农业农村建设注入强大新动能。各级农业农村部门要深刻认识建设完善农业农村基础建设储备库的重要意义，以习近平新时代中国特色社会主义思想为指导，深化农业供给侧结构性改革，聚集农业农村基础设施建设，深入开展调查研究和项目论证，认真组织编制重大建设项目规划，为乡村振兴战略顺利实施和实现农业农村高质量发展提供支撑。</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3.广东省委、省政府发布了关于做好全面推进乡村振兴重点工作的实施意见，强调了坚持农业农村优先发展，聚焦实施“百县千镇万村高质量发展工程”，并重点支持一批县镇村开展乡村振兴示范创建。</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（二）规划情况</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2023年2月，广东</w:t>
      </w:r>
      <w:r>
        <w:rPr>
          <w:rFonts w:hint="eastAsia" w:ascii="Times New Roman" w:hAnsi="Times New Roman" w:eastAsia="仿宋_GB2312" w:cs="Times New Roman"/>
          <w:sz w:val="32"/>
          <w:szCs w:val="32"/>
          <w:lang w:val="en-US" w:eastAsia="zh-CN"/>
        </w:rPr>
        <w:t>省委</w:t>
      </w:r>
      <w:r>
        <w:rPr>
          <w:rFonts w:hint="eastAsia" w:ascii="Times New Roman" w:hAnsi="Times New Roman" w:eastAsia="仿宋_GB2312" w:cs="Times New Roman"/>
          <w:sz w:val="32"/>
          <w:szCs w:val="32"/>
        </w:rPr>
        <w:t>印发《中共广东省委关于实施“百县千镇万村高质量发展工程”促进城乡区域协调发展的决定》，从推动县域高质量发展、强化乡镇联城带村的节点功能、建设宜居宜业和美乡村等方面提出多项具体要求，提出以全省122个县（市、区）、1609个乡镇（街道）、2.65万个行政村（社区）为主体，全面实施“百县千镇万村高质量发展工程”。到2025年，城乡融合发展体制机制基本建立，县域经济发展加快，新型城镇化、乡村振兴取得新成效，突出短板弱项基本补齐，城乡居民人均可支配收入差距进一步缩小。到2027年，城乡区域协调发展取得明显成效，县域综合实力明显增强，一批经济强县、经济强镇、和美乡村脱颖而出，城乡区域基础设施通达程度更加均衡，基本公共服务均等化水平显著提升，中国式现代化的广东实践在县域取得突破性进展。</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黑体" w:hAnsi="黑体" w:eastAsia="黑体" w:cs="黑体"/>
          <w:b w:val="0"/>
          <w:bCs w:val="0"/>
          <w:sz w:val="32"/>
          <w:szCs w:val="32"/>
        </w:rPr>
      </w:pPr>
      <w:bookmarkStart w:id="4" w:name="_Toc12976"/>
      <w:bookmarkStart w:id="5" w:name="_Toc30259200"/>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rPr>
        <w:t>区域背景</w:t>
      </w:r>
      <w:bookmarkEnd w:id="4"/>
      <w:bookmarkEnd w:id="5"/>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区域经济现状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道路现状</w:t>
      </w:r>
      <w:r>
        <w:rPr>
          <w:rFonts w:hint="eastAsia" w:ascii="仿宋_GB2312" w:hAnsi="仿宋_GB2312" w:eastAsia="仿宋_GB2312" w:cs="仿宋_GB2312"/>
          <w:sz w:val="32"/>
          <w:szCs w:val="32"/>
        </w:rPr>
        <w:t>与社会背景与存在问题</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 w:hAnsi="楷体" w:eastAsia="楷体" w:cs="楷体"/>
          <w:b w:val="0"/>
          <w:bCs w:val="0"/>
          <w:sz w:val="32"/>
          <w:szCs w:val="32"/>
        </w:rPr>
      </w:pPr>
      <w:bookmarkStart w:id="6" w:name="_Toc30259201"/>
      <w:bookmarkStart w:id="7" w:name="_Toc28724"/>
      <w:r>
        <w:rPr>
          <w:rFonts w:hint="eastAsia" w:ascii="楷体" w:hAnsi="楷体" w:eastAsia="楷体" w:cs="楷体"/>
          <w:b w:val="0"/>
          <w:bCs w:val="0"/>
          <w:sz w:val="32"/>
          <w:szCs w:val="32"/>
          <w:lang w:val="en-US" w:eastAsia="zh-CN"/>
        </w:rPr>
        <w:t>（一）</w:t>
      </w:r>
      <w:r>
        <w:rPr>
          <w:rFonts w:hint="eastAsia" w:ascii="楷体" w:hAnsi="楷体" w:eastAsia="楷体" w:cs="楷体"/>
          <w:b w:val="0"/>
          <w:bCs w:val="0"/>
          <w:sz w:val="32"/>
          <w:szCs w:val="32"/>
        </w:rPr>
        <w:t>区域经济现状与社会背景：</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广州市番禺区大龙街新水坑村位于省道市新路旁，交通便利。村户籍人口2470余人，来穗人口约1.3万人。经济上以工业为主，实施“腾笼换鸟”政策，吸引了众多企业入驻，还有繁荣的商业和辅助性的农业。2023年集体总收入7176.76万元，同比增长16%。村里基础设施完善，投入大量资金用于道路、下水道、路灯等建设，还建有公园、广场、老人活动中心等公共设施。文化教育方面，设有学校、幼儿园，连续举办奖教奖学活动，文娱室和农家书屋丰富村民生活。新水坑村注重精神文明建设，村风民风良好，先后获得“番禺区社会主义新农村建设的示范村”、“广州市卫生村”等荣誉。</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（二）道路现状：</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目前新水坑村内的主要道路网络由环村北路、环村南路、新区西路、新区东路、环村东路、新环村路等主要干道和小巷组成。已全部硬底化，但这些道路的建设年代不一，路况也参差不齐。由于资金和维护资源有限，部分路面存在路面破损不平、路灯破损和交通标识线、道路分隔不全，导致车辆乱停放、通行不畅等现象发生。村民们对于改善道路状况的呼声日益高涨，希望能够通过进一步的道路建设和维护，提高生活质量，促进村庄的经济发展。</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119370" cy="2879725"/>
            <wp:effectExtent l="0" t="0" r="5080" b="15875"/>
            <wp:docPr id="4" name="图片 4" descr="50a69d3d47ae00d3b172620f2375195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0a69d3d47ae00d3b172620f2375195d_"/>
                    <pic:cNvPicPr>
                      <a:picLocks noChangeAspect="1"/>
                    </pic:cNvPicPr>
                  </pic:nvPicPr>
                  <pic:blipFill>
                    <a:blip r:embed="rId9"/>
                    <a:srcRect t="24343" b="651"/>
                    <a:stretch>
                      <a:fillRect/>
                    </a:stretch>
                  </pic:blipFill>
                  <pic:spPr>
                    <a:xfrm>
                      <a:off x="0" y="0"/>
                      <a:ext cx="5119370" cy="2879725"/>
                    </a:xfrm>
                    <a:prstGeom prst="rect">
                      <a:avLst/>
                    </a:prstGeom>
                  </pic:spPr>
                </pic:pic>
              </a:graphicData>
            </a:graphic>
          </wp:inline>
        </w:drawing>
      </w:r>
      <w:r>
        <w:rPr>
          <w:rFonts w:hint="default"/>
          <w:lang w:val="en-US" w:eastAsia="zh-CN"/>
        </w:rPr>
        <w:drawing>
          <wp:inline distT="0" distB="0" distL="114300" distR="114300">
            <wp:extent cx="5119370" cy="2879725"/>
            <wp:effectExtent l="0" t="0" r="5080" b="15875"/>
            <wp:docPr id="2" name="图片 2" descr="9ff3f63aafc803469695b1bd35f10ea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ff3f63aafc803469695b1bd35f10ea3_"/>
                    <pic:cNvPicPr>
                      <a:picLocks noChangeAspect="1"/>
                    </pic:cNvPicPr>
                  </pic:nvPicPr>
                  <pic:blipFill>
                    <a:blip r:embed="rId10"/>
                    <a:srcRect l="181" t="23859" r="-181" b="1135"/>
                    <a:stretch>
                      <a:fillRect/>
                    </a:stretch>
                  </pic:blipFill>
                  <pic:spPr>
                    <a:xfrm>
                      <a:off x="0" y="0"/>
                      <a:ext cx="5119370" cy="2879725"/>
                    </a:xfrm>
                    <a:prstGeom prst="rect">
                      <a:avLst/>
                    </a:prstGeom>
                  </pic:spPr>
                </pic:pic>
              </a:graphicData>
            </a:graphic>
          </wp:inline>
        </w:drawing>
      </w:r>
    </w:p>
    <w:p>
      <w:pPr>
        <w:pStyle w:val="2"/>
        <w:ind w:left="0" w:leftChars="0" w:firstLine="0" w:firstLineChars="0"/>
        <w:rPr>
          <w:rFonts w:hint="default"/>
          <w:lang w:val="en-US" w:eastAsia="zh-CN"/>
        </w:rPr>
      </w:pPr>
      <w:r>
        <w:rPr>
          <w:rFonts w:hint="default"/>
          <w:lang w:val="en-US" w:eastAsia="zh-CN"/>
        </w:rPr>
        <w:drawing>
          <wp:inline distT="0" distB="0" distL="114300" distR="114300">
            <wp:extent cx="5119370" cy="2879725"/>
            <wp:effectExtent l="0" t="0" r="5080" b="15875"/>
            <wp:docPr id="3" name="图片 3" descr="de3e02605b58eaddba6b6d9b0b7e55b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e3e02605b58eaddba6b6d9b0b7e55bb_"/>
                    <pic:cNvPicPr>
                      <a:picLocks noChangeAspect="1"/>
                    </pic:cNvPicPr>
                  </pic:nvPicPr>
                  <pic:blipFill>
                    <a:blip r:embed="rId11"/>
                    <a:srcRect l="181" t="24343" r="-181" b="651"/>
                    <a:stretch>
                      <a:fillRect/>
                    </a:stretch>
                  </pic:blipFill>
                  <pic:spPr>
                    <a:xfrm>
                      <a:off x="0" y="0"/>
                      <a:ext cx="5119370" cy="2879725"/>
                    </a:xfrm>
                    <a:prstGeom prst="rect">
                      <a:avLst/>
                    </a:prstGeom>
                  </pic:spPr>
                </pic:pic>
              </a:graphicData>
            </a:graphic>
          </wp:inline>
        </w:drawing>
      </w:r>
      <w:r>
        <w:rPr>
          <w:rFonts w:hint="default"/>
          <w:lang w:val="en-US" w:eastAsia="zh-CN"/>
        </w:rPr>
        <w:drawing>
          <wp:inline distT="0" distB="0" distL="114300" distR="114300">
            <wp:extent cx="5119370" cy="2879725"/>
            <wp:effectExtent l="0" t="0" r="5080" b="15875"/>
            <wp:docPr id="5" name="图片 5" descr="0fb404a5222612488cc948255a6e08e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fb404a5222612488cc948255a6e08ef_"/>
                    <pic:cNvPicPr>
                      <a:picLocks noChangeAspect="1"/>
                    </pic:cNvPicPr>
                  </pic:nvPicPr>
                  <pic:blipFill>
                    <a:blip r:embed="rId12"/>
                    <a:srcRect l="-181" t="25068" r="181" b="-74"/>
                    <a:stretch>
                      <a:fillRect/>
                    </a:stretch>
                  </pic:blipFill>
                  <pic:spPr>
                    <a:xfrm>
                      <a:off x="0" y="0"/>
                      <a:ext cx="5119370" cy="287972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（三）存在问题：</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大龙街新水坑村</w:t>
      </w:r>
      <w:r>
        <w:rPr>
          <w:rFonts w:hint="eastAsia" w:ascii="Times New Roman" w:hAnsi="Times New Roman" w:eastAsia="仿宋_GB2312" w:cs="Times New Roman"/>
          <w:sz w:val="32"/>
          <w:szCs w:val="32"/>
        </w:rPr>
        <w:t>内部道路</w:t>
      </w:r>
      <w:r>
        <w:rPr>
          <w:rFonts w:hint="eastAsia" w:ascii="Times New Roman" w:hAnsi="Times New Roman" w:eastAsia="仿宋_GB2312" w:cs="Times New Roman"/>
          <w:sz w:val="32"/>
          <w:szCs w:val="32"/>
          <w:lang w:val="en-US" w:eastAsia="zh-CN"/>
        </w:rPr>
        <w:t>存在一定破损等问题，</w:t>
      </w:r>
      <w:r>
        <w:rPr>
          <w:rFonts w:hint="eastAsia" w:ascii="Times New Roman" w:hAnsi="Times New Roman" w:eastAsia="仿宋_GB2312" w:cs="Times New Roman"/>
          <w:sz w:val="32"/>
          <w:szCs w:val="32"/>
        </w:rPr>
        <w:t>管理与形象提升方面有需求，项目符合</w:t>
      </w:r>
      <w:r>
        <w:rPr>
          <w:rFonts w:hint="eastAsia" w:ascii="Times New Roman" w:hAnsi="Times New Roman" w:eastAsia="仿宋_GB2312" w:cs="Times New Roman"/>
          <w:sz w:val="32"/>
          <w:szCs w:val="32"/>
          <w:lang w:val="en-US" w:eastAsia="zh-CN"/>
        </w:rPr>
        <w:t>村</w:t>
      </w:r>
      <w:r>
        <w:rPr>
          <w:rFonts w:hint="eastAsia" w:ascii="Times New Roman" w:hAnsi="Times New Roman" w:eastAsia="仿宋_GB2312" w:cs="Times New Roman"/>
          <w:sz w:val="32"/>
          <w:szCs w:val="32"/>
        </w:rPr>
        <w:t>经济与</w:t>
      </w:r>
      <w:r>
        <w:rPr>
          <w:rFonts w:hint="eastAsia" w:ascii="Times New Roman" w:hAnsi="Times New Roman" w:eastAsia="仿宋_GB2312" w:cs="Times New Roman"/>
          <w:sz w:val="32"/>
          <w:szCs w:val="32"/>
          <w:lang w:val="en-US" w:eastAsia="zh-CN"/>
        </w:rPr>
        <w:t>社会</w:t>
      </w:r>
      <w:r>
        <w:rPr>
          <w:rFonts w:hint="eastAsia" w:ascii="Times New Roman" w:hAnsi="Times New Roman" w:eastAsia="仿宋_GB2312" w:cs="Times New Roman"/>
          <w:sz w:val="32"/>
          <w:szCs w:val="32"/>
        </w:rPr>
        <w:t>发展的需要。</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三、项目由来</w:t>
      </w:r>
      <w:bookmarkEnd w:id="6"/>
      <w:bookmarkEnd w:id="7"/>
      <w:bookmarkStart w:id="8" w:name="_Toc31116"/>
      <w:bookmarkStart w:id="9" w:name="_Toc30259202"/>
    </w:p>
    <w:bookmarkEnd w:id="8"/>
    <w:bookmarkEnd w:id="9"/>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rPr>
      </w:pPr>
      <w:bookmarkStart w:id="10" w:name="_Toc30259203"/>
      <w:bookmarkStart w:id="11" w:name="_Toc12873"/>
      <w:r>
        <w:rPr>
          <w:rFonts w:hint="eastAsia" w:ascii="Times New Roman" w:hAnsi="Times New Roman" w:eastAsia="仿宋_GB2312" w:cs="Times New Roman"/>
          <w:sz w:val="32"/>
          <w:szCs w:val="32"/>
        </w:rPr>
        <w:t>新水坑村在大力发展集体经济的同时，积极开展美丽乡村建设，并充分挖掘侨力资源，完善村内各项基础配套设施。为进一步推动乡村文化振兴，培育文明乡风、良好家风以及淳朴民风，经村“两委”会议研究决定，本项目的主要目标就是对新环村路进行改造升级，解决现有路面、人行道等问题，补齐乡村基础设施建设短板，美化周边环境。</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四、</w:t>
      </w:r>
      <w:r>
        <w:rPr>
          <w:rFonts w:hint="eastAsia" w:ascii="黑体" w:hAnsi="黑体" w:eastAsia="黑体" w:cs="黑体"/>
          <w:b w:val="0"/>
          <w:bCs w:val="0"/>
          <w:sz w:val="32"/>
          <w:szCs w:val="32"/>
        </w:rPr>
        <w:t>项目建设必要性</w:t>
      </w:r>
      <w:bookmarkEnd w:id="10"/>
      <w:bookmarkEnd w:id="11"/>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（一）政策必要性</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为贯彻落实《中共中央国务院关于实施乡村振兴战略的意见》、《中共广东省委关于实施“百县千镇万村高质量发展工程”促进城乡区域协调发展的决定》、《番禺区国土空间总体规划（2021-2035年）》等要求，计划实施</w:t>
      </w:r>
      <w:r>
        <w:rPr>
          <w:rFonts w:hint="eastAsia" w:ascii="Times New Roman" w:hAnsi="Times New Roman" w:eastAsia="仿宋_GB2312" w:cs="Times New Roman"/>
          <w:sz w:val="32"/>
          <w:szCs w:val="32"/>
          <w:lang w:val="en-US" w:eastAsia="zh-CN"/>
        </w:rPr>
        <w:t>大龙街新水坑村</w:t>
      </w:r>
      <w:r>
        <w:rPr>
          <w:rFonts w:hint="eastAsia" w:ascii="Times New Roman" w:hAnsi="Times New Roman" w:eastAsia="仿宋_GB2312" w:cs="Times New Roman"/>
          <w:sz w:val="32"/>
          <w:szCs w:val="32"/>
        </w:rPr>
        <w:t>内道路提升工程</w:t>
      </w:r>
      <w:r>
        <w:rPr>
          <w:rFonts w:hint="eastAsia" w:ascii="Times New Roman" w:hAnsi="Times New Roman" w:eastAsia="仿宋_GB2312" w:cs="Times New Roman"/>
          <w:sz w:val="32"/>
          <w:szCs w:val="32"/>
          <w:lang w:val="en-US" w:eastAsia="zh-CN"/>
        </w:rPr>
        <w:t>项目。</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（二）社会经济发展必要性</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shd w:val="clear" w:color="auto" w:fill="auto"/>
        </w:rPr>
      </w:pPr>
      <w:r>
        <w:rPr>
          <w:rFonts w:hint="eastAsia" w:ascii="Times New Roman" w:hAnsi="Times New Roman" w:eastAsia="仿宋_GB2312" w:cs="Times New Roman"/>
          <w:sz w:val="32"/>
          <w:szCs w:val="32"/>
          <w:shd w:val="clear" w:color="auto" w:fill="auto"/>
          <w:lang w:val="en-US" w:eastAsia="zh-CN"/>
        </w:rPr>
        <w:t>1.村内部道路提档升级（</w:t>
      </w:r>
      <w:r>
        <w:rPr>
          <w:rFonts w:hint="eastAsia" w:ascii="Times New Roman" w:hAnsi="Times New Roman" w:eastAsia="仿宋_GB2312" w:cs="Times New Roman"/>
          <w:sz w:val="32"/>
          <w:szCs w:val="32"/>
          <w:shd w:val="clear" w:color="auto" w:fill="auto"/>
        </w:rPr>
        <w:t>公共服务）：项目直接</w:t>
      </w:r>
      <w:r>
        <w:rPr>
          <w:rFonts w:hint="eastAsia" w:ascii="Times New Roman" w:hAnsi="Times New Roman" w:eastAsia="仿宋_GB2312" w:cs="Times New Roman"/>
          <w:sz w:val="32"/>
          <w:szCs w:val="32"/>
          <w:shd w:val="clear" w:color="auto" w:fill="auto"/>
          <w:lang w:val="en-US" w:eastAsia="zh-CN"/>
        </w:rPr>
        <w:t>改善村内部主要道路条件</w:t>
      </w:r>
      <w:r>
        <w:rPr>
          <w:rFonts w:hint="eastAsia" w:ascii="Times New Roman" w:hAnsi="Times New Roman" w:eastAsia="仿宋_GB2312" w:cs="Times New Roman"/>
          <w:sz w:val="32"/>
          <w:szCs w:val="32"/>
          <w:shd w:val="clear" w:color="auto" w:fill="auto"/>
        </w:rPr>
        <w:t>，提升了乡村公共基础设施水平，是响应“</w:t>
      </w:r>
      <w:r>
        <w:rPr>
          <w:rFonts w:hint="eastAsia" w:ascii="Times New Roman" w:hAnsi="Times New Roman" w:eastAsia="仿宋_GB2312" w:cs="Times New Roman"/>
          <w:sz w:val="32"/>
          <w:szCs w:val="32"/>
          <w:shd w:val="clear" w:color="auto" w:fill="auto"/>
          <w:lang w:val="en-US" w:eastAsia="zh-CN"/>
        </w:rPr>
        <w:t>百千万工程</w:t>
      </w:r>
      <w:r>
        <w:rPr>
          <w:rFonts w:hint="eastAsia" w:ascii="Times New Roman" w:hAnsi="Times New Roman" w:eastAsia="仿宋_GB2312" w:cs="Times New Roman"/>
          <w:sz w:val="32"/>
          <w:szCs w:val="32"/>
          <w:shd w:val="clear" w:color="auto" w:fill="auto"/>
        </w:rPr>
        <w:t>”政策的重要实践。修复坑洼，确保道路平整，提高行车</w:t>
      </w:r>
      <w:r>
        <w:rPr>
          <w:rFonts w:hint="eastAsia" w:ascii="Times New Roman" w:hAnsi="Times New Roman" w:eastAsia="仿宋_GB2312" w:cs="Times New Roman"/>
          <w:sz w:val="32"/>
          <w:szCs w:val="32"/>
          <w:shd w:val="clear" w:color="auto" w:fill="auto"/>
          <w:lang w:val="en-US" w:eastAsia="zh-CN"/>
        </w:rPr>
        <w:t>行人出行</w:t>
      </w:r>
      <w:r>
        <w:rPr>
          <w:rFonts w:hint="eastAsia" w:ascii="Times New Roman" w:hAnsi="Times New Roman" w:eastAsia="仿宋_GB2312" w:cs="Times New Roman"/>
          <w:sz w:val="32"/>
          <w:szCs w:val="32"/>
          <w:shd w:val="clear" w:color="auto" w:fill="auto"/>
        </w:rPr>
        <w:t>安全</w:t>
      </w:r>
      <w:r>
        <w:rPr>
          <w:rFonts w:hint="eastAsia" w:ascii="Times New Roman" w:hAnsi="Times New Roman" w:eastAsia="仿宋_GB2312" w:cs="Times New Roman"/>
          <w:sz w:val="32"/>
          <w:szCs w:val="32"/>
          <w:shd w:val="clear" w:color="auto" w:fill="auto"/>
          <w:lang w:eastAsia="zh-CN"/>
        </w:rPr>
        <w:t>，</w:t>
      </w:r>
      <w:r>
        <w:rPr>
          <w:rFonts w:hint="eastAsia" w:ascii="Times New Roman" w:hAnsi="Times New Roman" w:eastAsia="仿宋_GB2312" w:cs="Times New Roman"/>
          <w:sz w:val="32"/>
          <w:szCs w:val="32"/>
          <w:shd w:val="clear" w:color="auto" w:fill="auto"/>
        </w:rPr>
        <w:t>不仅满足了村民的基本生活需求，也提升了乡村形象，</w:t>
      </w:r>
      <w:r>
        <w:rPr>
          <w:rFonts w:hint="eastAsia" w:ascii="Times New Roman" w:hAnsi="Times New Roman" w:eastAsia="仿宋_GB2312" w:cs="Times New Roman"/>
          <w:sz w:val="32"/>
          <w:szCs w:val="32"/>
          <w:shd w:val="clear" w:color="auto" w:fill="auto"/>
          <w:lang w:val="en-US" w:eastAsia="zh-CN"/>
        </w:rPr>
        <w:t>改善交通条件，</w:t>
      </w:r>
      <w:r>
        <w:rPr>
          <w:rFonts w:hint="eastAsia" w:ascii="Times New Roman" w:hAnsi="Times New Roman" w:eastAsia="仿宋_GB2312" w:cs="Times New Roman"/>
          <w:sz w:val="32"/>
          <w:szCs w:val="32"/>
          <w:shd w:val="clear" w:color="auto" w:fill="auto"/>
        </w:rPr>
        <w:t>吸引游客的重要因素，促进了乡村旅游的发展。</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shd w:val="clear" w:color="auto" w:fill="auto"/>
          <w:lang w:val="en-US" w:eastAsia="zh-CN"/>
        </w:rPr>
        <w:t>2.</w:t>
      </w:r>
      <w:r>
        <w:rPr>
          <w:rFonts w:hint="eastAsia" w:ascii="Times New Roman" w:hAnsi="Times New Roman" w:eastAsia="仿宋_GB2312" w:cs="Times New Roman"/>
          <w:sz w:val="32"/>
          <w:szCs w:val="32"/>
          <w:shd w:val="clear" w:color="auto" w:fill="auto"/>
        </w:rPr>
        <w:t>投资效益：项目通过财政补助实施，资金投入能够迅速转化为实体资产，长期服务于</w:t>
      </w:r>
      <w:r>
        <w:rPr>
          <w:rFonts w:hint="eastAsia" w:ascii="Times New Roman" w:hAnsi="Times New Roman" w:eastAsia="仿宋_GB2312" w:cs="Times New Roman"/>
          <w:sz w:val="32"/>
          <w:szCs w:val="32"/>
          <w:shd w:val="clear" w:color="auto" w:fill="auto"/>
          <w:lang w:val="en-US" w:eastAsia="zh-CN"/>
        </w:rPr>
        <w:t>村庄</w:t>
      </w:r>
      <w:r>
        <w:rPr>
          <w:rFonts w:hint="eastAsia" w:ascii="Times New Roman" w:hAnsi="Times New Roman" w:eastAsia="仿宋_GB2312" w:cs="Times New Roman"/>
          <w:sz w:val="32"/>
          <w:szCs w:val="32"/>
          <w:shd w:val="clear" w:color="auto" w:fill="auto"/>
        </w:rPr>
        <w:t>，</w:t>
      </w:r>
      <w:r>
        <w:rPr>
          <w:rFonts w:hint="eastAsia" w:ascii="Times New Roman" w:hAnsi="Times New Roman" w:eastAsia="仿宋_GB2312" w:cs="Times New Roman"/>
          <w:sz w:val="32"/>
          <w:szCs w:val="32"/>
          <w:shd w:val="clear" w:color="auto" w:fill="auto"/>
          <w:lang w:val="en-US" w:eastAsia="zh-CN"/>
        </w:rPr>
        <w:t>改善道路通行安全等</w:t>
      </w:r>
      <w:r>
        <w:rPr>
          <w:rFonts w:hint="eastAsia" w:ascii="Times New Roman" w:hAnsi="Times New Roman" w:eastAsia="仿宋_GB2312" w:cs="Times New Roman"/>
          <w:sz w:val="32"/>
          <w:szCs w:val="32"/>
          <w:shd w:val="clear" w:color="auto" w:fill="auto"/>
        </w:rPr>
        <w:t>问题，同时，良好的</w:t>
      </w:r>
      <w:r>
        <w:rPr>
          <w:rFonts w:hint="eastAsia" w:ascii="Times New Roman" w:hAnsi="Times New Roman" w:eastAsia="仿宋_GB2312" w:cs="Times New Roman"/>
          <w:sz w:val="32"/>
          <w:szCs w:val="32"/>
          <w:shd w:val="clear" w:color="auto" w:fill="auto"/>
          <w:lang w:val="en-US" w:eastAsia="zh-CN"/>
        </w:rPr>
        <w:t>交通</w:t>
      </w:r>
      <w:r>
        <w:rPr>
          <w:rFonts w:hint="eastAsia" w:ascii="Times New Roman" w:hAnsi="Times New Roman" w:eastAsia="仿宋_GB2312" w:cs="Times New Roman"/>
          <w:sz w:val="32"/>
          <w:szCs w:val="32"/>
          <w:shd w:val="clear" w:color="auto" w:fill="auto"/>
        </w:rPr>
        <w:t>环境促进乡村旅游和投资吸引</w:t>
      </w:r>
      <w:r>
        <w:rPr>
          <w:rFonts w:hint="eastAsia" w:ascii="Times New Roman" w:hAnsi="Times New Roman" w:eastAsia="仿宋_GB2312" w:cs="Times New Roman"/>
          <w:sz w:val="32"/>
          <w:szCs w:val="32"/>
        </w:rPr>
        <w:t>力，间接带动经济增长，长远看投资回报显著。</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（三）可持续发展必要性</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shd w:val="clear" w:color="auto" w:fill="auto"/>
          <w:lang w:val="en-US" w:eastAsia="zh-CN"/>
        </w:rPr>
      </w:pPr>
      <w:r>
        <w:rPr>
          <w:rFonts w:hint="eastAsia" w:ascii="Times New Roman" w:hAnsi="Times New Roman" w:eastAsia="仿宋_GB2312" w:cs="Times New Roman"/>
          <w:sz w:val="32"/>
          <w:szCs w:val="32"/>
          <w:shd w:val="clear" w:color="auto" w:fill="auto"/>
          <w:lang w:val="en-US" w:eastAsia="zh-CN"/>
        </w:rPr>
        <w:t>1.环境保护：拟建项目，不涉及耕地保护范围、生态保护红线、河道蓝线等各类控制线占用。实施土料利用开挖料，弃渣全部运至指定的弃渣场，不涉及上料场和弃渣场临时征地问题。此外积极减少施工现场材料浪费和能源消耗水资源减少现场施工对环境的干扰和污染，施工速度快，减少噪音和尘埃。减少对水资源的消耗和污染排放，符合绿色发展的理念。</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shd w:val="clear" w:color="auto" w:fill="auto"/>
          <w:lang w:val="en-US" w:eastAsia="zh-CN"/>
        </w:rPr>
      </w:pPr>
      <w:r>
        <w:rPr>
          <w:rFonts w:hint="eastAsia" w:ascii="Times New Roman" w:hAnsi="Times New Roman" w:eastAsia="仿宋_GB2312" w:cs="Times New Roman"/>
          <w:sz w:val="32"/>
          <w:szCs w:val="32"/>
          <w:shd w:val="clear" w:color="auto" w:fill="auto"/>
          <w:lang w:val="en-US" w:eastAsia="zh-CN"/>
        </w:rPr>
        <w:t>2.资源配置：项目选址科学，利用现有空间资源，避免占用过多耕地或生态敏感区，同时，结合村庄发展规划，合理规划，确保与未来其他基础设施建设的协同性和互补性。</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（四）建设单位的发展需求</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shd w:val="clear" w:color="auto" w:fill="auto"/>
          <w:lang w:val="en-US" w:eastAsia="zh-CN"/>
        </w:rPr>
      </w:pPr>
      <w:r>
        <w:rPr>
          <w:rFonts w:hint="eastAsia" w:ascii="Times New Roman" w:hAnsi="Times New Roman" w:eastAsia="仿宋_GB2312" w:cs="Times New Roman"/>
          <w:sz w:val="32"/>
          <w:szCs w:val="32"/>
          <w:shd w:val="clear" w:color="auto" w:fill="auto"/>
          <w:lang w:val="en-US" w:eastAsia="zh-CN"/>
        </w:rPr>
        <w:t>发展需求：随着乡村振兴战略的深入实施，对基础设施现代化的需求日益迫切，提升道路基础设施建设是响应国家政策，落实乡村治理体系和治理能力现代化的重要举措，符合新水坑村的长远发展目标。通过前期调查明确大龙街新水坑村在内部道路的管理与形象提升方面有需求，为响应“百千万工程”，将人居环境整治、基础设施建设和绿美建设作为工作的重点，旨在打造宜居、宜业的美丽乡村，提升村民的生活品质和幸福感。</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shd w:val="clear" w:color="auto" w:fill="auto"/>
          <w:lang w:val="en-US" w:eastAsia="zh-CN"/>
        </w:rPr>
      </w:pPr>
    </w:p>
    <w:p>
      <w:pPr>
        <w:keepNext w:val="0"/>
        <w:keepLines w:val="0"/>
        <w:pageBreakBefore w:val="0"/>
        <w:widowControl/>
        <w:kinsoku w:val="0"/>
        <w:wordWrap/>
        <w:overflowPunct/>
        <w:topLinePunct w:val="0"/>
        <w:autoSpaceDE w:val="0"/>
        <w:autoSpaceDN w:val="0"/>
        <w:bidi w:val="0"/>
        <w:adjustRightInd/>
        <w:snapToGrid/>
        <w:spacing w:line="560" w:lineRule="exact"/>
        <w:ind w:firstLine="556" w:firstLineChars="200"/>
        <w:jc w:val="both"/>
        <w:textAlignment w:val="baseline"/>
        <w:rPr>
          <w:rFonts w:ascii="Times New Roman" w:hAnsi="Times New Roman" w:eastAsia="宋体" w:cs="Times New Roman"/>
          <w:spacing w:val="-1"/>
          <w:sz w:val="28"/>
          <w:szCs w:val="28"/>
        </w:rPr>
      </w:pPr>
    </w:p>
    <w:p>
      <w:pPr>
        <w:keepNext w:val="0"/>
        <w:keepLines w:val="0"/>
        <w:pageBreakBefore w:val="0"/>
        <w:widowControl/>
        <w:kinsoku w:val="0"/>
        <w:wordWrap/>
        <w:overflowPunct/>
        <w:topLinePunct w:val="0"/>
        <w:autoSpaceDE w:val="0"/>
        <w:autoSpaceDN w:val="0"/>
        <w:bidi w:val="0"/>
        <w:adjustRightInd/>
        <w:snapToGrid/>
        <w:spacing w:line="560" w:lineRule="exact"/>
        <w:ind w:firstLine="556" w:firstLineChars="200"/>
        <w:jc w:val="both"/>
        <w:textAlignment w:val="baseline"/>
        <w:rPr>
          <w:rFonts w:ascii="Times New Roman" w:hAnsi="Times New Roman" w:eastAsia="宋体" w:cs="Times New Roman"/>
          <w:spacing w:val="-1"/>
          <w:sz w:val="28"/>
          <w:szCs w:val="28"/>
        </w:rPr>
        <w:sectPr>
          <w:footerReference r:id="rId6" w:type="default"/>
          <w:pgSz w:w="11906" w:h="16839" w:orient="landscape"/>
          <w:pgMar w:top="1440" w:right="1800" w:bottom="1440" w:left="1800" w:header="850" w:footer="680" w:gutter="0"/>
          <w:pgNumType w:fmt="decimal" w:start="1"/>
          <w:cols w:space="720" w:num="1"/>
          <w:docGrid w:linePitch="286" w:charSpace="0"/>
        </w:sectPr>
      </w:pPr>
    </w:p>
    <w:p>
      <w:pPr>
        <w:keepNext w:val="0"/>
        <w:keepLines w:val="0"/>
        <w:pageBreakBefore w:val="0"/>
        <w:widowControl/>
        <w:shd w:val="clear"/>
        <w:kinsoku w:val="0"/>
        <w:wordWrap/>
        <w:overflowPunct/>
        <w:topLinePunct w:val="0"/>
        <w:autoSpaceDE w:val="0"/>
        <w:autoSpaceDN w:val="0"/>
        <w:bidi w:val="0"/>
        <w:adjustRightInd/>
        <w:snapToGrid/>
        <w:spacing w:before="120" w:beforeLines="50" w:after="120" w:afterLines="50" w:line="560" w:lineRule="exact"/>
        <w:jc w:val="center"/>
        <w:textAlignment w:val="baseline"/>
        <w:outlineLvl w:val="0"/>
        <w:rPr>
          <w:rFonts w:hint="eastAsia" w:ascii="仿宋_GB2312" w:hAnsi="仿宋_GB2312" w:eastAsia="仿宋_GB2312" w:cs="仿宋_GB2312"/>
          <w:color w:val="auto"/>
          <w:spacing w:val="1"/>
          <w:sz w:val="32"/>
          <w:szCs w:val="32"/>
          <w:highlight w:val="none"/>
          <w14:textOutline w14:w="6540" w14:cap="sq" w14:cmpd="sng" w14:algn="ctr">
            <w14:solidFill>
              <w14:srgbClr w14:val="000000"/>
            </w14:solidFill>
            <w14:prstDash w14:val="solid"/>
            <w14:bevel/>
          </w14:textOutline>
        </w:rPr>
      </w:pPr>
      <w:bookmarkStart w:id="12" w:name="_Toc108097365"/>
      <w:bookmarkStart w:id="13" w:name="_Toc3610"/>
      <w:r>
        <w:rPr>
          <w:rFonts w:hint="eastAsia" w:ascii="仿宋_GB2312" w:hAnsi="仿宋_GB2312" w:eastAsia="仿宋_GB2312" w:cs="仿宋_GB2312"/>
          <w:color w:val="auto"/>
          <w:spacing w:val="1"/>
          <w:sz w:val="32"/>
          <w:szCs w:val="32"/>
          <w:highlight w:val="none"/>
          <w14:textOutline w14:w="6540" w14:cap="sq" w14:cmpd="sng" w14:algn="ctr">
            <w14:solidFill>
              <w14:srgbClr w14:val="000000"/>
            </w14:solidFill>
            <w14:prstDash w14:val="solid"/>
            <w14:bevel/>
          </w14:textOutline>
        </w:rPr>
        <w:t>第二章</w:t>
      </w:r>
      <w:bookmarkEnd w:id="12"/>
      <w:r>
        <w:rPr>
          <w:rFonts w:hint="eastAsia" w:ascii="仿宋_GB2312" w:hAnsi="仿宋_GB2312" w:eastAsia="仿宋_GB2312" w:cs="仿宋_GB2312"/>
          <w:color w:val="auto"/>
          <w:spacing w:val="1"/>
          <w:sz w:val="32"/>
          <w:szCs w:val="32"/>
          <w:highlight w:val="none"/>
          <w:lang w:val="en-US" w:eastAsia="zh-CN"/>
          <w14:textOutline w14:w="6540" w14:cap="sq" w14:cmpd="sng" w14:algn="ctr">
            <w14:solidFill>
              <w14:srgbClr w14:val="000000"/>
            </w14:solidFill>
            <w14:prstDash w14:val="solid"/>
            <w14:bevel/>
          </w14:textOutline>
        </w:rPr>
        <w:t xml:space="preserve"> </w:t>
      </w:r>
      <w:r>
        <w:rPr>
          <w:rFonts w:hint="eastAsia" w:ascii="仿宋_GB2312" w:hAnsi="仿宋_GB2312" w:eastAsia="仿宋_GB2312" w:cs="仿宋_GB2312"/>
          <w:color w:val="auto"/>
          <w:spacing w:val="1"/>
          <w:sz w:val="32"/>
          <w:szCs w:val="32"/>
          <w:highlight w:val="none"/>
          <w14:textOutline w14:w="6540" w14:cap="sq" w14:cmpd="sng" w14:algn="ctr">
            <w14:solidFill>
              <w14:srgbClr w14:val="000000"/>
            </w14:solidFill>
            <w14:prstDash w14:val="solid"/>
            <w14:bevel/>
          </w14:textOutline>
        </w:rPr>
        <w:t>建设内容</w:t>
      </w:r>
      <w:bookmarkEnd w:id="13"/>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建设原则</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坚持导向，服务大局原则</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以人为本，对接需求原则</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统筹规划，共建共享原则</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因地制宜，分类指导原则</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改革创新，提升效能原则</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二、建设内容</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本次整体提升</w:t>
      </w:r>
      <w:r>
        <w:rPr>
          <w:rFonts w:hint="eastAsia" w:ascii="仿宋_GB2312" w:hAnsi="仿宋_GB2312" w:eastAsia="仿宋_GB2312" w:cs="仿宋_GB2312"/>
          <w:sz w:val="32"/>
          <w:szCs w:val="32"/>
          <w:lang w:val="en-US" w:eastAsia="zh-CN"/>
        </w:rPr>
        <w:t>系大龙街新水坑村新环村路（市新路至莲花大道）</w:t>
      </w:r>
      <w:r>
        <w:rPr>
          <w:rFonts w:hint="eastAsia" w:ascii="仿宋_GB2312" w:hAnsi="仿宋_GB2312" w:eastAsia="仿宋_GB2312" w:cs="仿宋_GB2312"/>
          <w:sz w:val="32"/>
          <w:szCs w:val="32"/>
        </w:rPr>
        <w:t>道路铺装原油柏路15884㎡，</w:t>
      </w:r>
      <w:r>
        <w:rPr>
          <w:rFonts w:hint="eastAsia" w:ascii="仿宋_GB2312" w:hAnsi="仿宋_GB2312" w:eastAsia="仿宋_GB2312" w:cs="仿宋_GB2312"/>
          <w:sz w:val="32"/>
          <w:szCs w:val="32"/>
          <w:lang w:val="en-US" w:eastAsia="zh-CN"/>
        </w:rPr>
        <w:t>雨水井135座</w:t>
      </w:r>
      <w:r>
        <w:rPr>
          <w:rFonts w:hint="eastAsia" w:ascii="仿宋_GB2312" w:hAnsi="仿宋_GB2312" w:eastAsia="仿宋_GB2312" w:cs="仿宋_GB2312"/>
          <w:sz w:val="32"/>
          <w:szCs w:val="32"/>
        </w:rPr>
        <w:t>，路面标线</w:t>
      </w:r>
      <w:r>
        <w:rPr>
          <w:rFonts w:hint="eastAsia" w:ascii="仿宋_GB2312" w:hAnsi="仿宋_GB2312" w:eastAsia="仿宋_GB2312" w:cs="仿宋_GB2312"/>
          <w:sz w:val="32"/>
          <w:szCs w:val="32"/>
          <w:lang w:val="en-US" w:eastAsia="zh-CN"/>
        </w:rPr>
        <w:t>957.8</w:t>
      </w:r>
      <w:r>
        <w:rPr>
          <w:rFonts w:hint="eastAsia" w:ascii="仿宋_GB2312" w:hAnsi="仿宋_GB2312" w:eastAsia="仿宋_GB2312" w:cs="仿宋_GB2312"/>
          <w:sz w:val="32"/>
          <w:szCs w:val="32"/>
        </w:rPr>
        <w:t>㎡，道路分隔护栏、路障等。</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三、建设地点</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项目位于</w:t>
      </w:r>
      <w:r>
        <w:rPr>
          <w:rFonts w:hint="eastAsia" w:ascii="仿宋_GB2312" w:hAnsi="仿宋_GB2312" w:eastAsia="仿宋_GB2312" w:cs="仿宋_GB2312"/>
          <w:sz w:val="32"/>
          <w:szCs w:val="32"/>
          <w:lang w:val="en-US" w:eastAsia="zh-CN"/>
        </w:rPr>
        <w:t>大龙街新水坑村新环村路（市新路至莲花大道）</w:t>
      </w:r>
      <w:r>
        <w:rPr>
          <w:rFonts w:hint="eastAsia" w:ascii="仿宋_GB2312" w:hAnsi="仿宋_GB2312" w:eastAsia="仿宋_GB2312" w:cs="仿宋_GB2312"/>
          <w:sz w:val="32"/>
          <w:szCs w:val="32"/>
        </w:rPr>
        <w:t>。</w:t>
      </w:r>
    </w:p>
    <w:p>
      <w:pPr>
        <w:pStyle w:val="2"/>
        <w:ind w:left="0" w:leftChars="0" w:firstLine="0" w:firstLineChars="0"/>
        <w:rPr>
          <w:rFonts w:ascii="Times New Roman" w:hAnsi="Times New Roman" w:eastAsia="宋体" w:cs="Times New Roman"/>
          <w:spacing w:val="-1"/>
          <w:sz w:val="28"/>
          <w:szCs w:val="28"/>
        </w:rPr>
      </w:pPr>
    </w:p>
    <w:p>
      <w:pPr>
        <w:spacing w:before="9" w:line="361" w:lineRule="auto"/>
        <w:ind w:right="46"/>
        <w:rPr>
          <w:rFonts w:ascii="Times New Roman" w:hAnsi="Times New Roman" w:eastAsia="宋体" w:cs="Times New Roman"/>
          <w:sz w:val="28"/>
          <w:szCs w:val="28"/>
        </w:rPr>
        <w:sectPr>
          <w:pgSz w:w="11906" w:h="16839" w:orient="landscape"/>
          <w:pgMar w:top="1440" w:right="1800" w:bottom="1440" w:left="1800" w:header="850" w:footer="680" w:gutter="0"/>
          <w:pgNumType w:fmt="decimal"/>
          <w:cols w:space="720" w:num="1"/>
          <w:docGrid w:linePitch="286" w:charSpace="0"/>
        </w:sectPr>
      </w:pPr>
      <w:r>
        <w:rPr>
          <w:rFonts w:hint="eastAsia" w:eastAsia="仿宋_GB2312"/>
          <w:lang w:eastAsia="zh-CN"/>
        </w:rPr>
        <w:drawing>
          <wp:anchor distT="0" distB="0" distL="114300" distR="114300" simplePos="0" relativeHeight="251659264" behindDoc="0" locked="0" layoutInCell="1" allowOverlap="1">
            <wp:simplePos x="0" y="0"/>
            <wp:positionH relativeFrom="column">
              <wp:posOffset>433070</wp:posOffset>
            </wp:positionH>
            <wp:positionV relativeFrom="paragraph">
              <wp:posOffset>95885</wp:posOffset>
            </wp:positionV>
            <wp:extent cx="4580255" cy="2577465"/>
            <wp:effectExtent l="0" t="0" r="10795" b="13335"/>
            <wp:wrapNone/>
            <wp:docPr id="7" name="图片 7" descr="建设地点-已标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建设地点-已标线"/>
                    <pic:cNvPicPr>
                      <a:picLocks noChangeAspect="1"/>
                    </pic:cNvPicPr>
                  </pic:nvPicPr>
                  <pic:blipFill>
                    <a:blip r:embed="rId13"/>
                    <a:stretch>
                      <a:fillRect/>
                    </a:stretch>
                  </pic:blipFill>
                  <pic:spPr>
                    <a:xfrm>
                      <a:off x="0" y="0"/>
                      <a:ext cx="4580255" cy="2577465"/>
                    </a:xfrm>
                    <a:prstGeom prst="rect">
                      <a:avLst/>
                    </a:prstGeom>
                  </pic:spPr>
                </pic:pic>
              </a:graphicData>
            </a:graphic>
          </wp:anchor>
        </w:drawing>
      </w:r>
    </w:p>
    <w:p>
      <w:pPr>
        <w:keepNext w:val="0"/>
        <w:keepLines w:val="0"/>
        <w:pageBreakBefore w:val="0"/>
        <w:widowControl/>
        <w:shd w:val="clear"/>
        <w:kinsoku w:val="0"/>
        <w:wordWrap/>
        <w:overflowPunct/>
        <w:topLinePunct w:val="0"/>
        <w:autoSpaceDE w:val="0"/>
        <w:autoSpaceDN w:val="0"/>
        <w:bidi w:val="0"/>
        <w:adjustRightInd/>
        <w:snapToGrid/>
        <w:spacing w:before="120" w:beforeLines="50" w:after="120" w:afterLines="50" w:line="560" w:lineRule="exact"/>
        <w:jc w:val="center"/>
        <w:textAlignment w:val="baseline"/>
        <w:outlineLvl w:val="0"/>
        <w:rPr>
          <w:rFonts w:hint="eastAsia" w:ascii="仿宋_GB2312" w:hAnsi="仿宋_GB2312" w:eastAsia="仿宋_GB2312" w:cs="仿宋_GB2312"/>
          <w:color w:val="auto"/>
          <w:spacing w:val="1"/>
          <w:sz w:val="32"/>
          <w:szCs w:val="32"/>
          <w:highlight w:val="none"/>
          <w14:textOutline w14:w="6540" w14:cap="sq" w14:cmpd="sng" w14:algn="ctr">
            <w14:solidFill>
              <w14:srgbClr w14:val="000000"/>
            </w14:solidFill>
            <w14:prstDash w14:val="solid"/>
            <w14:bevel/>
          </w14:textOutline>
        </w:rPr>
      </w:pPr>
      <w:bookmarkStart w:id="14" w:name="_bookmark39"/>
      <w:bookmarkEnd w:id="14"/>
      <w:bookmarkStart w:id="15" w:name="_Toc108097387"/>
      <w:bookmarkStart w:id="16" w:name="_Toc22708"/>
      <w:r>
        <w:rPr>
          <w:rFonts w:hint="eastAsia" w:ascii="仿宋_GB2312" w:hAnsi="仿宋_GB2312" w:eastAsia="仿宋_GB2312" w:cs="仿宋_GB2312"/>
          <w:color w:val="auto"/>
          <w:spacing w:val="1"/>
          <w:sz w:val="32"/>
          <w:szCs w:val="32"/>
          <w:highlight w:val="none"/>
          <w14:textOutline w14:w="6540" w14:cap="sq" w14:cmpd="sng" w14:algn="ctr">
            <w14:solidFill>
              <w14:srgbClr w14:val="000000"/>
            </w14:solidFill>
            <w14:prstDash w14:val="solid"/>
            <w14:bevel/>
          </w14:textOutline>
        </w:rPr>
        <w:t>第三章</w:t>
      </w:r>
      <w:bookmarkEnd w:id="15"/>
      <w:r>
        <w:rPr>
          <w:rFonts w:hint="eastAsia" w:ascii="仿宋_GB2312" w:hAnsi="仿宋_GB2312" w:eastAsia="仿宋_GB2312" w:cs="仿宋_GB2312"/>
          <w:color w:val="auto"/>
          <w:spacing w:val="1"/>
          <w:sz w:val="32"/>
          <w:szCs w:val="32"/>
          <w:highlight w:val="none"/>
          <w:lang w:val="en-US" w:eastAsia="zh-CN"/>
          <w14:textOutline w14:w="6540" w14:cap="sq" w14:cmpd="sng" w14:algn="ctr">
            <w14:solidFill>
              <w14:srgbClr w14:val="000000"/>
            </w14:solidFill>
            <w14:prstDash w14:val="solid"/>
            <w14:bevel/>
          </w14:textOutline>
        </w:rPr>
        <w:t xml:space="preserve"> </w:t>
      </w:r>
      <w:r>
        <w:rPr>
          <w:rFonts w:hint="eastAsia" w:ascii="仿宋_GB2312" w:hAnsi="仿宋_GB2312" w:eastAsia="仿宋_GB2312" w:cs="仿宋_GB2312"/>
          <w:color w:val="auto"/>
          <w:spacing w:val="1"/>
          <w:sz w:val="32"/>
          <w:szCs w:val="32"/>
          <w:highlight w:val="none"/>
          <w14:textOutline w14:w="6540" w14:cap="sq" w14:cmpd="sng" w14:algn="ctr">
            <w14:solidFill>
              <w14:srgbClr w14:val="000000"/>
            </w14:solidFill>
            <w14:prstDash w14:val="solid"/>
            <w14:bevel/>
          </w14:textOutline>
        </w:rPr>
        <w:t>项目投资</w:t>
      </w:r>
      <w:bookmarkEnd w:id="16"/>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黑体" w:hAnsi="黑体" w:eastAsia="黑体" w:cs="黑体"/>
          <w:b w:val="0"/>
          <w:bCs w:val="0"/>
          <w:sz w:val="32"/>
          <w:szCs w:val="32"/>
          <w:lang w:val="en-US" w:eastAsia="zh-CN"/>
        </w:rPr>
      </w:pPr>
      <w:bookmarkStart w:id="17" w:name="_bookmark40"/>
      <w:bookmarkEnd w:id="17"/>
      <w:r>
        <w:rPr>
          <w:rFonts w:hint="eastAsia" w:ascii="黑体" w:hAnsi="黑体" w:eastAsia="黑体" w:cs="黑体"/>
          <w:b w:val="0"/>
          <w:bCs w:val="0"/>
          <w:sz w:val="32"/>
          <w:szCs w:val="32"/>
          <w:lang w:val="en-US" w:eastAsia="zh-CN"/>
        </w:rPr>
        <w:t>一、投资估算编制说明</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（一）编制范围</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项目概况：大龙街新水坑村新环村路（市新路至莲花大道）道路升级工程项目位于广州市番禺区大龙街新水坑村内新环村路（市新路至莲花大道），旨在打造宜居、宜业的美丽乡村，提升村民的生活品质和幸福感。建设地点：本项目位于广州市番禺区大龙街新水坑村。</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2.建设规模：本次整体提升改造</w:t>
      </w:r>
      <w:r>
        <w:rPr>
          <w:rFonts w:hint="eastAsia" w:ascii="仿宋_GB2312" w:hAnsi="仿宋_GB2312" w:eastAsia="仿宋_GB2312" w:cs="仿宋_GB2312"/>
          <w:sz w:val="32"/>
          <w:szCs w:val="32"/>
          <w:lang w:val="en-US" w:eastAsia="zh-CN"/>
        </w:rPr>
        <w:t>新环村路（市新路至莲花大道）</w:t>
      </w:r>
      <w:r>
        <w:rPr>
          <w:rFonts w:hint="eastAsia" w:ascii="仿宋_GB2312" w:hAnsi="仿宋_GB2312" w:eastAsia="仿宋_GB2312" w:cs="仿宋_GB2312"/>
          <w:sz w:val="32"/>
          <w:szCs w:val="32"/>
        </w:rPr>
        <w:t>道路铺装原砼面板15884㎡，</w:t>
      </w:r>
      <w:r>
        <w:rPr>
          <w:rFonts w:hint="eastAsia" w:ascii="仿宋_GB2312" w:hAnsi="仿宋_GB2312" w:eastAsia="仿宋_GB2312" w:cs="仿宋_GB2312"/>
          <w:sz w:val="32"/>
          <w:szCs w:val="32"/>
          <w:lang w:val="en-US" w:eastAsia="zh-CN"/>
        </w:rPr>
        <w:t>雨水井135座</w:t>
      </w:r>
      <w:r>
        <w:rPr>
          <w:rFonts w:hint="eastAsia" w:ascii="仿宋_GB2312" w:hAnsi="仿宋_GB2312" w:eastAsia="仿宋_GB2312" w:cs="仿宋_GB2312"/>
          <w:sz w:val="32"/>
          <w:szCs w:val="32"/>
        </w:rPr>
        <w:t>，路面标线</w:t>
      </w:r>
      <w:r>
        <w:rPr>
          <w:rFonts w:hint="eastAsia" w:ascii="仿宋_GB2312" w:hAnsi="仿宋_GB2312" w:eastAsia="仿宋_GB2312" w:cs="仿宋_GB2312"/>
          <w:sz w:val="32"/>
          <w:szCs w:val="32"/>
          <w:lang w:val="en-US" w:eastAsia="zh-CN"/>
        </w:rPr>
        <w:t>957.8</w:t>
      </w:r>
      <w:r>
        <w:rPr>
          <w:rFonts w:hint="eastAsia" w:ascii="仿宋_GB2312" w:hAnsi="仿宋_GB2312" w:eastAsia="仿宋_GB2312" w:cs="仿宋_GB2312"/>
          <w:sz w:val="32"/>
          <w:szCs w:val="32"/>
        </w:rPr>
        <w:t>㎡，道路分隔护栏、路障等</w:t>
      </w:r>
      <w:r>
        <w:rPr>
          <w:rFonts w:hint="eastAsia" w:ascii="Times New Roman" w:hAnsi="Times New Roman" w:eastAsia="仿宋_GB2312" w:cs="Times New Roman"/>
          <w:sz w:val="32"/>
          <w:szCs w:val="32"/>
          <w:lang w:val="en-US" w:eastAsia="zh-CN"/>
        </w:rPr>
        <w:t>。</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3.施工总工期：预计项目自2025年4月开始，至2025年8月完成。</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4.估算总投资：项目总估算322.38万元，其建安费294.78万元，其中包括但不限于以下费用：</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（1）直接工程费用：包括人行道铺装修整、机动车道修整铺设、交通标线、道路分隔护栏、路障等施工设备租赁、材料费用、人工费用等费用。</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（2）不可预见费：应对施工过程意外情况预留的资金。</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不包括的项目或费用：</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（1）设计、监理费用：项目设计、施工监理等专业服务费用。</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（2）项目运营维护费用：项目建成后的日常维护和运营管理费用不由本预算承担。</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（3）业主自备设施费用：如村民个人财产的迁移或升级不在项目费用范围内。</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（4）政策性调整费用：如遇政策变动导致的税费调整等额外成本。</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（5）征地拆迁及补偿费：涉及征地补偿、青苗补偿等。</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（二）编制依据</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1.《农业建设项目投资估算内容和方法》(NY/T1716-2009)</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2.《建设项目投资估算编审规程》（CECA/GC1-2015）</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3.《建设项目经济评价方法与参数(第三版)》</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4.《公路工程基本建设项目概算、预算编制办法》（JTGB06-2007）</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5.</w:t>
      </w:r>
      <w:r>
        <w:rPr>
          <w:rFonts w:hint="eastAsia" w:ascii="Times New Roman" w:hAnsi="Times New Roman" w:eastAsia="仿宋_GB2312" w:cs="Times New Roman"/>
          <w:sz w:val="32"/>
          <w:szCs w:val="32"/>
        </w:rPr>
        <w:t>交通运输部办公厅关于印发《公路工程营业税改征增值计价依据调整方案》的通知(交办公路〔2016〕66号）</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6.</w:t>
      </w:r>
      <w:r>
        <w:rPr>
          <w:rFonts w:hint="eastAsia" w:ascii="Times New Roman" w:hAnsi="Times New Roman" w:eastAsia="仿宋_GB2312" w:cs="Times New Roman"/>
          <w:sz w:val="32"/>
          <w:szCs w:val="32"/>
        </w:rPr>
        <w:t>国家发展和改革委员会、建设部《关于发布&lt;工程勘察建设收费管理规定&gt;的通知》</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7.</w:t>
      </w:r>
      <w:r>
        <w:rPr>
          <w:rFonts w:hint="eastAsia" w:ascii="Times New Roman" w:hAnsi="Times New Roman" w:eastAsia="仿宋_GB2312" w:cs="Times New Roman"/>
          <w:sz w:val="32"/>
          <w:szCs w:val="32"/>
        </w:rPr>
        <w:t>国家发展计划委员会、建设部价格〔2002〕10号《工程勘察建设收费标准》</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28"/>
          <w:szCs w:val="28"/>
        </w:rPr>
      </w:pPr>
      <w:r>
        <w:rPr>
          <w:rFonts w:hint="eastAsia" w:ascii="Times New Roman" w:hAnsi="Times New Roman" w:eastAsia="仿宋_GB2312" w:cs="Times New Roman"/>
          <w:sz w:val="32"/>
          <w:szCs w:val="32"/>
          <w:lang w:val="en-US" w:eastAsia="zh-CN"/>
        </w:rPr>
        <w:t>8.</w:t>
      </w:r>
      <w:r>
        <w:rPr>
          <w:rFonts w:hint="eastAsia" w:ascii="Times New Roman" w:hAnsi="Times New Roman" w:eastAsia="仿宋_GB2312" w:cs="Times New Roman"/>
          <w:sz w:val="32"/>
          <w:szCs w:val="32"/>
        </w:rPr>
        <w:t>其他有关广东省预算、概算定额，地方预算、概算定额</w:t>
      </w:r>
      <w:r>
        <w:rPr>
          <w:rFonts w:hint="eastAsia" w:ascii="Times New Roman" w:hAnsi="Times New Roman" w:eastAsia="仿宋_GB2312" w:cs="Times New Roman"/>
          <w:sz w:val="32"/>
          <w:szCs w:val="32"/>
          <w:lang w:val="en-US" w:eastAsia="zh-CN"/>
        </w:rPr>
        <w:t>和</w:t>
      </w:r>
      <w:r>
        <w:rPr>
          <w:rFonts w:hint="eastAsia" w:ascii="Times New Roman" w:hAnsi="Times New Roman" w:eastAsia="仿宋_GB2312" w:cs="Times New Roman"/>
          <w:sz w:val="32"/>
          <w:szCs w:val="32"/>
        </w:rPr>
        <w:t>最近价格水平作为估算依据。</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rPr>
        <w:t>投资估算</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left"/>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本项目</w:t>
      </w:r>
      <w:r>
        <w:rPr>
          <w:rFonts w:hint="eastAsia" w:ascii="Times New Roman" w:hAnsi="Times New Roman" w:eastAsia="仿宋_GB2312" w:cs="Times New Roman"/>
          <w:sz w:val="32"/>
          <w:szCs w:val="32"/>
          <w:lang w:val="en-US" w:eastAsia="zh-CN"/>
        </w:rPr>
        <w:t>总估算322.38万元，其建安费294.78万元</w:t>
      </w:r>
      <w:r>
        <w:rPr>
          <w:rFonts w:hint="eastAsia" w:ascii="仿宋_GB2312" w:hAnsi="仿宋_GB2312" w:eastAsia="仿宋_GB2312" w:cs="仿宋_GB2312"/>
          <w:sz w:val="32"/>
          <w:szCs w:val="32"/>
          <w:lang w:val="en-US" w:eastAsia="zh-CN"/>
        </w:rPr>
        <w:t>，详见附表。</w:t>
      </w:r>
      <w:bookmarkStart w:id="18" w:name="_Toc30259218"/>
    </w:p>
    <w:bookmarkEnd w:id="18"/>
    <w:p>
      <w:pPr>
        <w:keepNext w:val="0"/>
        <w:keepLines w:val="0"/>
        <w:pageBreakBefore w:val="0"/>
        <w:widowControl/>
        <w:kinsoku w:val="0"/>
        <w:wordWrap/>
        <w:overflowPunct/>
        <w:topLinePunct w:val="0"/>
        <w:autoSpaceDE w:val="0"/>
        <w:autoSpaceDN w:val="0"/>
        <w:bidi w:val="0"/>
        <w:adjustRightInd/>
        <w:snapToGrid/>
        <w:spacing w:line="560" w:lineRule="exact"/>
        <w:jc w:val="both"/>
        <w:textAlignment w:val="baseline"/>
        <w:rPr>
          <w:rFonts w:ascii="Times New Roman" w:hAnsi="Times New Roman" w:eastAsia="宋体" w:cs="Times New Roman"/>
          <w:b/>
          <w:bCs/>
          <w:spacing w:val="-1"/>
          <w:sz w:val="28"/>
          <w:szCs w:val="28"/>
        </w:rPr>
        <w:sectPr>
          <w:pgSz w:w="11906" w:h="16839" w:orient="landscape"/>
          <w:pgMar w:top="1440" w:right="1800" w:bottom="1440" w:left="1800" w:header="850" w:footer="680" w:gutter="0"/>
          <w:pgNumType w:fmt="decimal"/>
          <w:cols w:space="720" w:num="1"/>
          <w:docGrid w:linePitch="286" w:charSpace="0"/>
        </w:sectPr>
      </w:pPr>
    </w:p>
    <w:p>
      <w:pPr>
        <w:keepNext w:val="0"/>
        <w:keepLines w:val="0"/>
        <w:pageBreakBefore w:val="0"/>
        <w:widowControl/>
        <w:kinsoku w:val="0"/>
        <w:wordWrap/>
        <w:overflowPunct/>
        <w:topLinePunct w:val="0"/>
        <w:autoSpaceDE w:val="0"/>
        <w:autoSpaceDN w:val="0"/>
        <w:bidi w:val="0"/>
        <w:adjustRightInd/>
        <w:snapToGrid/>
        <w:spacing w:before="120" w:beforeLines="50" w:after="120" w:afterLines="50" w:line="560" w:lineRule="exact"/>
        <w:jc w:val="center"/>
        <w:textAlignment w:val="baseline"/>
        <w:outlineLvl w:val="0"/>
        <w:rPr>
          <w:rFonts w:ascii="Times New Roman" w:hAnsi="Times New Roman" w:eastAsia="宋体" w:cs="Times New Roman"/>
          <w:spacing w:val="1"/>
          <w:sz w:val="30"/>
          <w:szCs w:val="30"/>
          <w14:textOutline w14:w="6540" w14:cap="sq" w14:cmpd="sng" w14:algn="ctr">
            <w14:solidFill>
              <w14:srgbClr w14:val="000000"/>
            </w14:solidFill>
            <w14:prstDash w14:val="solid"/>
            <w14:bevel/>
          </w14:textOutline>
        </w:rPr>
      </w:pPr>
      <w:bookmarkStart w:id="19" w:name="_Toc108097374"/>
      <w:bookmarkStart w:id="20" w:name="_Toc15015"/>
      <w:r>
        <w:rPr>
          <w:rFonts w:hint="eastAsia" w:ascii="仿宋_GB2312" w:hAnsi="仿宋_GB2312" w:eastAsia="仿宋_GB2312" w:cs="仿宋_GB2312"/>
          <w:spacing w:val="1"/>
          <w:sz w:val="32"/>
          <w:szCs w:val="32"/>
          <w14:textOutline w14:w="6540" w14:cap="sq" w14:cmpd="sng" w14:algn="ctr">
            <w14:solidFill>
              <w14:srgbClr w14:val="000000"/>
            </w14:solidFill>
            <w14:prstDash w14:val="solid"/>
            <w14:bevel/>
          </w14:textOutline>
        </w:rPr>
        <w:t>第四章</w:t>
      </w:r>
      <w:bookmarkEnd w:id="19"/>
      <w:r>
        <w:rPr>
          <w:rFonts w:hint="eastAsia" w:ascii="仿宋_GB2312" w:hAnsi="仿宋_GB2312" w:eastAsia="仿宋_GB2312" w:cs="仿宋_GB2312"/>
          <w:spacing w:val="1"/>
          <w:sz w:val="32"/>
          <w:szCs w:val="32"/>
          <w:lang w:val="en-US" w:eastAsia="zh-CN"/>
          <w14:textOutline w14:w="6540" w14:cap="sq" w14:cmpd="sng" w14:algn="ctr">
            <w14:solidFill>
              <w14:srgbClr w14:val="000000"/>
            </w14:solidFill>
            <w14:prstDash w14:val="solid"/>
            <w14:bevel/>
          </w14:textOutline>
        </w:rPr>
        <w:t xml:space="preserve"> </w:t>
      </w:r>
      <w:r>
        <w:rPr>
          <w:rFonts w:hint="eastAsia" w:ascii="仿宋_GB2312" w:hAnsi="仿宋_GB2312" w:eastAsia="仿宋_GB2312" w:cs="仿宋_GB2312"/>
          <w:spacing w:val="1"/>
          <w:sz w:val="32"/>
          <w:szCs w:val="32"/>
          <w14:textOutline w14:w="6540" w14:cap="sq" w14:cmpd="sng" w14:algn="ctr">
            <w14:solidFill>
              <w14:srgbClr w14:val="000000"/>
            </w14:solidFill>
            <w14:prstDash w14:val="solid"/>
            <w14:bevel/>
          </w14:textOutline>
        </w:rPr>
        <w:t>实施计划</w:t>
      </w:r>
      <w:bookmarkEnd w:id="20"/>
    </w:p>
    <w:p>
      <w:pPr>
        <w:keepNext w:val="0"/>
        <w:keepLines w:val="0"/>
        <w:pageBreakBefore w:val="0"/>
        <w:widowControl/>
        <w:kinsoku w:val="0"/>
        <w:wordWrap/>
        <w:overflowPunct/>
        <w:topLinePunct w:val="0"/>
        <w:autoSpaceDE w:val="0"/>
        <w:autoSpaceDN w:val="0"/>
        <w:bidi w:val="0"/>
        <w:adjustRightInd/>
        <w:snapToGrid/>
        <w:spacing w:line="560" w:lineRule="exact"/>
        <w:ind w:firstLine="636" w:firstLineChars="200"/>
        <w:jc w:val="both"/>
        <w:textAlignment w:val="baseline"/>
        <w:rPr>
          <w:rFonts w:hint="eastAsia" w:ascii="黑体" w:hAnsi="黑体" w:eastAsia="黑体" w:cs="黑体"/>
          <w:b w:val="0"/>
          <w:bCs w:val="0"/>
          <w:spacing w:val="-1"/>
          <w:sz w:val="32"/>
          <w:szCs w:val="32"/>
        </w:rPr>
      </w:pPr>
      <w:bookmarkStart w:id="21" w:name="_bookmark28"/>
      <w:bookmarkEnd w:id="21"/>
      <w:r>
        <w:rPr>
          <w:rFonts w:hint="eastAsia" w:ascii="黑体" w:hAnsi="黑体" w:eastAsia="黑体" w:cs="黑体"/>
          <w:b w:val="0"/>
          <w:bCs w:val="0"/>
          <w:spacing w:val="-1"/>
          <w:sz w:val="32"/>
          <w:szCs w:val="32"/>
          <w:lang w:val="en-US" w:eastAsia="zh-CN"/>
        </w:rPr>
        <w:t>一、项目</w:t>
      </w:r>
      <w:r>
        <w:rPr>
          <w:rFonts w:hint="eastAsia" w:ascii="黑体" w:hAnsi="黑体" w:eastAsia="黑体" w:cs="黑体"/>
          <w:b w:val="0"/>
          <w:bCs w:val="0"/>
          <w:spacing w:val="-1"/>
          <w:sz w:val="32"/>
          <w:szCs w:val="32"/>
        </w:rPr>
        <w:t>部署</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楷体_GB2312" w:hAnsi="楷体_GB2312" w:eastAsia="楷体_GB2312" w:cs="楷体_GB2312"/>
          <w:sz w:val="32"/>
          <w:szCs w:val="32"/>
          <w:lang w:val="en-US" w:eastAsia="zh-CN"/>
        </w:rPr>
        <w:t>（一）工程目标：</w:t>
      </w:r>
      <w:r>
        <w:rPr>
          <w:rFonts w:hint="eastAsia" w:ascii="Times New Roman" w:hAnsi="Times New Roman" w:eastAsia="仿宋_GB2312" w:cs="Times New Roman"/>
          <w:sz w:val="32"/>
          <w:szCs w:val="32"/>
          <w:lang w:val="en-US" w:eastAsia="zh-CN"/>
        </w:rPr>
        <w:t>确保工程质量优良，工期150天内完成，无安全事故，成本控制在预算内。</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楷体_GB2312" w:hAnsi="楷体_GB2312" w:eastAsia="楷体_GB2312" w:cs="楷体_GB2312"/>
          <w:sz w:val="32"/>
          <w:szCs w:val="32"/>
          <w:lang w:val="en-US" w:eastAsia="zh-CN"/>
        </w:rPr>
        <w:t>（二）施工准备：</w:t>
      </w:r>
      <w:r>
        <w:rPr>
          <w:rFonts w:hint="eastAsia" w:ascii="Times New Roman" w:hAnsi="Times New Roman" w:eastAsia="仿宋_GB2312" w:cs="Times New Roman"/>
          <w:sz w:val="32"/>
          <w:szCs w:val="32"/>
          <w:lang w:val="en-US" w:eastAsia="zh-CN"/>
        </w:rPr>
        <w:t>技术交底、安全培训、材料设备进场、现场布置。</w:t>
      </w:r>
    </w:p>
    <w:p>
      <w:pPr>
        <w:keepNext w:val="0"/>
        <w:keepLines w:val="0"/>
        <w:pageBreakBefore w:val="0"/>
        <w:widowControl/>
        <w:kinsoku w:val="0"/>
        <w:wordWrap/>
        <w:overflowPunct/>
        <w:topLinePunct w:val="0"/>
        <w:autoSpaceDE w:val="0"/>
        <w:autoSpaceDN w:val="0"/>
        <w:bidi w:val="0"/>
        <w:adjustRightInd/>
        <w:snapToGrid/>
        <w:spacing w:line="560" w:lineRule="exact"/>
        <w:ind w:firstLine="636" w:firstLineChars="200"/>
        <w:jc w:val="both"/>
        <w:textAlignment w:val="baseline"/>
        <w:rPr>
          <w:rFonts w:hint="eastAsia" w:ascii="黑体" w:hAnsi="黑体" w:eastAsia="黑体" w:cs="黑体"/>
          <w:b w:val="0"/>
          <w:bCs w:val="0"/>
          <w:spacing w:val="-1"/>
          <w:sz w:val="32"/>
          <w:szCs w:val="32"/>
          <w:lang w:val="en-US" w:eastAsia="zh-CN"/>
        </w:rPr>
      </w:pPr>
      <w:r>
        <w:rPr>
          <w:rFonts w:hint="eastAsia" w:ascii="黑体" w:hAnsi="黑体" w:eastAsia="黑体" w:cs="黑体"/>
          <w:b w:val="0"/>
          <w:bCs w:val="0"/>
          <w:spacing w:val="-1"/>
          <w:sz w:val="32"/>
          <w:szCs w:val="32"/>
          <w:lang w:val="en-US" w:eastAsia="zh-CN"/>
        </w:rPr>
        <w:t>二、项目进度计划</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工期目标：</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开工期：2025年4月，竣工期：2025年8月。</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关键节点：</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1.2025年1月经村级民主议事“四议两公开”流程表决通过；</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2.2025年2月-2025年4月，举行公开招投标以确定施工单位；</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3.2025年4月-2025年8月，施工期间；</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4.2025年9月，竣工验收及结算评审</w:t>
      </w:r>
    </w:p>
    <w:p>
      <w:pPr>
        <w:keepNext w:val="0"/>
        <w:keepLines w:val="0"/>
        <w:pageBreakBefore w:val="0"/>
        <w:widowControl/>
        <w:kinsoku w:val="0"/>
        <w:wordWrap/>
        <w:overflowPunct/>
        <w:topLinePunct w:val="0"/>
        <w:autoSpaceDE w:val="0"/>
        <w:autoSpaceDN w:val="0"/>
        <w:bidi w:val="0"/>
        <w:adjustRightInd/>
        <w:snapToGrid/>
        <w:spacing w:line="560" w:lineRule="exact"/>
        <w:ind w:firstLine="636" w:firstLineChars="200"/>
        <w:jc w:val="both"/>
        <w:textAlignment w:val="baseline"/>
        <w:rPr>
          <w:rFonts w:hint="eastAsia" w:ascii="黑体" w:hAnsi="黑体" w:eastAsia="黑体" w:cs="黑体"/>
          <w:b w:val="0"/>
          <w:bCs w:val="0"/>
          <w:spacing w:val="-1"/>
          <w:sz w:val="32"/>
          <w:szCs w:val="32"/>
          <w:lang w:val="en-US" w:eastAsia="zh-CN"/>
        </w:rPr>
      </w:pPr>
      <w:r>
        <w:rPr>
          <w:rFonts w:hint="eastAsia" w:ascii="黑体" w:hAnsi="黑体" w:eastAsia="黑体" w:cs="黑体"/>
          <w:b w:val="0"/>
          <w:bCs w:val="0"/>
          <w:spacing w:val="-1"/>
          <w:sz w:val="32"/>
          <w:szCs w:val="32"/>
          <w:lang w:val="en-US" w:eastAsia="zh-CN"/>
        </w:rPr>
        <w:t>三、项目招标</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根据《中华人民共和国招标投标法》《工程建设项目招标范围和规模标准规定》《广东省建设工程招标投标管理办法》《中华人民共和国政府采购法》《广东省实施&lt;中华人民共和国政府采购法&gt;办法》等法律法规的规定，确定该项目招标范围。</w:t>
      </w:r>
    </w:p>
    <w:p>
      <w:pPr>
        <w:pStyle w:val="2"/>
        <w:keepNext w:val="0"/>
        <w:keepLines w:val="0"/>
        <w:pageBreakBefore w:val="0"/>
        <w:widowControl/>
        <w:kinsoku w:val="0"/>
        <w:wordWrap/>
        <w:overflowPunct/>
        <w:topLinePunct w:val="0"/>
        <w:autoSpaceDE w:val="0"/>
        <w:autoSpaceDN w:val="0"/>
        <w:bidi w:val="0"/>
        <w:spacing w:line="560" w:lineRule="exact"/>
        <w:textAlignment w:val="baseline"/>
      </w:pPr>
    </w:p>
    <w:p>
      <w:pPr>
        <w:keepNext w:val="0"/>
        <w:keepLines w:val="0"/>
        <w:pageBreakBefore w:val="0"/>
        <w:widowControl/>
        <w:kinsoku w:val="0"/>
        <w:wordWrap/>
        <w:overflowPunct/>
        <w:topLinePunct w:val="0"/>
        <w:autoSpaceDE w:val="0"/>
        <w:autoSpaceDN w:val="0"/>
        <w:bidi w:val="0"/>
        <w:adjustRightInd/>
        <w:snapToGrid/>
        <w:spacing w:line="560" w:lineRule="exact"/>
        <w:jc w:val="both"/>
        <w:textAlignment w:val="baseline"/>
        <w:rPr>
          <w:rFonts w:ascii="Times New Roman" w:hAnsi="Times New Roman" w:eastAsia="宋体" w:cs="Times New Roman"/>
          <w:spacing w:val="-7"/>
          <w:sz w:val="28"/>
          <w:szCs w:val="28"/>
          <w14:textOutline w14:w="5105" w14:cap="sq" w14:cmpd="sng" w14:algn="ctr">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snapToGrid/>
        <w:spacing w:line="560" w:lineRule="exact"/>
        <w:jc w:val="center"/>
        <w:textAlignment w:val="baseline"/>
        <w:rPr>
          <w:rFonts w:ascii="Times New Roman" w:hAnsi="Times New Roman" w:eastAsia="宋体" w:cs="Times New Roman"/>
          <w:sz w:val="28"/>
          <w:szCs w:val="28"/>
        </w:rPr>
        <w:sectPr>
          <w:pgSz w:w="11906" w:h="16839" w:orient="landscape"/>
          <w:pgMar w:top="1440" w:right="1800" w:bottom="1440" w:left="1800" w:header="850" w:footer="680" w:gutter="0"/>
          <w:pgNumType w:fmt="decimal"/>
          <w:cols w:space="720" w:num="1"/>
          <w:docGrid w:linePitch="286" w:charSpace="0"/>
        </w:sectPr>
      </w:pPr>
    </w:p>
    <w:p>
      <w:pPr>
        <w:keepNext w:val="0"/>
        <w:keepLines w:val="0"/>
        <w:pageBreakBefore w:val="0"/>
        <w:widowControl/>
        <w:kinsoku w:val="0"/>
        <w:wordWrap/>
        <w:overflowPunct/>
        <w:topLinePunct w:val="0"/>
        <w:autoSpaceDE w:val="0"/>
        <w:autoSpaceDN w:val="0"/>
        <w:bidi w:val="0"/>
        <w:adjustRightInd/>
        <w:snapToGrid/>
        <w:spacing w:before="120" w:beforeLines="50" w:after="120" w:afterLines="50" w:line="560" w:lineRule="exact"/>
        <w:jc w:val="center"/>
        <w:textAlignment w:val="baseline"/>
        <w:outlineLvl w:val="0"/>
        <w:rPr>
          <w:rFonts w:hint="eastAsia" w:ascii="仿宋_GB2312" w:hAnsi="仿宋_GB2312" w:eastAsia="仿宋_GB2312" w:cs="仿宋_GB2312"/>
          <w:spacing w:val="1"/>
          <w:sz w:val="32"/>
          <w:szCs w:val="32"/>
          <w14:textOutline w14:w="6540" w14:cap="sq" w14:cmpd="sng" w14:algn="ctr">
            <w14:solidFill>
              <w14:srgbClr w14:val="000000"/>
            </w14:solidFill>
            <w14:prstDash w14:val="solid"/>
            <w14:bevel/>
          </w14:textOutline>
        </w:rPr>
      </w:pPr>
      <w:bookmarkStart w:id="22" w:name="_bookmark29"/>
      <w:bookmarkEnd w:id="22"/>
      <w:bookmarkStart w:id="23" w:name="_bookmark47"/>
      <w:bookmarkEnd w:id="23"/>
      <w:bookmarkStart w:id="24" w:name="_bookmark31"/>
      <w:bookmarkEnd w:id="24"/>
      <w:bookmarkStart w:id="25" w:name="_Toc108097394"/>
      <w:bookmarkStart w:id="26" w:name="_Toc32441"/>
      <w:r>
        <w:rPr>
          <w:rFonts w:hint="eastAsia" w:ascii="仿宋_GB2312" w:hAnsi="仿宋_GB2312" w:eastAsia="仿宋_GB2312" w:cs="仿宋_GB2312"/>
          <w:spacing w:val="1"/>
          <w:sz w:val="32"/>
          <w:szCs w:val="32"/>
          <w14:textOutline w14:w="6540" w14:cap="sq" w14:cmpd="sng" w14:algn="ctr">
            <w14:solidFill>
              <w14:srgbClr w14:val="000000"/>
            </w14:solidFill>
            <w14:prstDash w14:val="solid"/>
            <w14:bevel/>
          </w14:textOutline>
        </w:rPr>
        <w:t>第五章</w:t>
      </w:r>
      <w:bookmarkEnd w:id="25"/>
      <w:r>
        <w:rPr>
          <w:rFonts w:hint="eastAsia" w:ascii="仿宋_GB2312" w:hAnsi="仿宋_GB2312" w:eastAsia="仿宋_GB2312" w:cs="仿宋_GB2312"/>
          <w:spacing w:val="1"/>
          <w:sz w:val="32"/>
          <w:szCs w:val="32"/>
          <w:lang w:val="en-US" w:eastAsia="zh-CN"/>
          <w14:textOutline w14:w="6540" w14:cap="sq" w14:cmpd="sng" w14:algn="ctr">
            <w14:solidFill>
              <w14:srgbClr w14:val="000000"/>
            </w14:solidFill>
            <w14:prstDash w14:val="solid"/>
            <w14:bevel/>
          </w14:textOutline>
        </w:rPr>
        <w:t xml:space="preserve"> </w:t>
      </w:r>
      <w:r>
        <w:rPr>
          <w:rFonts w:hint="eastAsia" w:ascii="仿宋_GB2312" w:hAnsi="仿宋_GB2312" w:eastAsia="仿宋_GB2312" w:cs="仿宋_GB2312"/>
          <w:spacing w:val="1"/>
          <w:sz w:val="32"/>
          <w:szCs w:val="32"/>
          <w14:textOutline w14:w="6540" w14:cap="sq" w14:cmpd="sng" w14:algn="ctr">
            <w14:solidFill>
              <w14:srgbClr w14:val="000000"/>
            </w14:solidFill>
            <w14:prstDash w14:val="solid"/>
            <w14:bevel/>
          </w14:textOutline>
        </w:rPr>
        <w:t>效益分析</w:t>
      </w:r>
      <w:bookmarkEnd w:id="26"/>
    </w:p>
    <w:p>
      <w:pPr>
        <w:keepNext w:val="0"/>
        <w:keepLines w:val="0"/>
        <w:pageBreakBefore w:val="0"/>
        <w:widowControl/>
        <w:kinsoku w:val="0"/>
        <w:wordWrap/>
        <w:overflowPunct/>
        <w:topLinePunct w:val="0"/>
        <w:autoSpaceDE w:val="0"/>
        <w:autoSpaceDN w:val="0"/>
        <w:bidi w:val="0"/>
        <w:adjustRightInd/>
        <w:snapToGrid/>
        <w:spacing w:line="560" w:lineRule="exact"/>
        <w:ind w:firstLine="636" w:firstLineChars="200"/>
        <w:jc w:val="both"/>
        <w:textAlignment w:val="baseline"/>
        <w:rPr>
          <w:rFonts w:hint="eastAsia" w:ascii="黑体" w:hAnsi="黑体" w:eastAsia="黑体" w:cs="黑体"/>
          <w:b w:val="0"/>
          <w:bCs w:val="0"/>
          <w:spacing w:val="-1"/>
          <w:sz w:val="32"/>
          <w:szCs w:val="32"/>
        </w:rPr>
      </w:pPr>
      <w:r>
        <w:rPr>
          <w:rFonts w:hint="eastAsia" w:ascii="黑体" w:hAnsi="黑体" w:eastAsia="黑体" w:cs="黑体"/>
          <w:b w:val="0"/>
          <w:bCs w:val="0"/>
          <w:spacing w:val="-1"/>
          <w:sz w:val="32"/>
          <w:szCs w:val="32"/>
        </w:rPr>
        <w:t>一、生态效益</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改善的道路条件有助于减少对环境的破坏</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发展乡村旅游，吸引游客，推动高品质</w:t>
      </w:r>
      <w:r>
        <w:rPr>
          <w:rFonts w:hint="eastAsia" w:ascii="Times New Roman" w:hAnsi="Times New Roman" w:eastAsia="仿宋_GB2312" w:cs="Times New Roman"/>
          <w:sz w:val="32"/>
          <w:szCs w:val="32"/>
          <w:lang w:val="en-US" w:eastAsia="zh-CN"/>
        </w:rPr>
        <w:t>宜居乡村</w:t>
      </w:r>
      <w:r>
        <w:rPr>
          <w:rFonts w:hint="eastAsia" w:ascii="Times New Roman" w:hAnsi="Times New Roman" w:eastAsia="仿宋_GB2312" w:cs="Times New Roman"/>
          <w:sz w:val="32"/>
          <w:szCs w:val="32"/>
        </w:rPr>
        <w:t>建设，提升</w:t>
      </w:r>
      <w:r>
        <w:rPr>
          <w:rFonts w:hint="eastAsia" w:ascii="Times New Roman" w:hAnsi="Times New Roman" w:eastAsia="仿宋_GB2312" w:cs="Times New Roman"/>
          <w:sz w:val="32"/>
          <w:szCs w:val="32"/>
          <w:lang w:val="en-US" w:eastAsia="zh-CN"/>
        </w:rPr>
        <w:t>村内部</w:t>
      </w:r>
      <w:r>
        <w:rPr>
          <w:rFonts w:hint="eastAsia" w:ascii="Times New Roman" w:hAnsi="Times New Roman" w:eastAsia="仿宋_GB2312" w:cs="Times New Roman"/>
          <w:sz w:val="32"/>
          <w:szCs w:val="32"/>
        </w:rPr>
        <w:t>道路两侧的人行道品质，</w:t>
      </w:r>
      <w:r>
        <w:rPr>
          <w:rFonts w:hint="eastAsia" w:ascii="Times New Roman" w:hAnsi="Times New Roman" w:eastAsia="仿宋_GB2312" w:cs="Times New Roman"/>
          <w:sz w:val="32"/>
          <w:szCs w:val="32"/>
          <w:lang w:val="en-US" w:eastAsia="zh-CN"/>
        </w:rPr>
        <w:t>加强基础建设，建设美丽宜居乡村</w:t>
      </w:r>
      <w:r>
        <w:rPr>
          <w:rFonts w:hint="eastAsia" w:ascii="Times New Roman" w:hAnsi="Times New Roman" w:eastAsia="仿宋_GB2312" w:cs="Times New Roman"/>
          <w:sz w:val="32"/>
          <w:szCs w:val="32"/>
          <w:lang w:eastAsia="zh-CN"/>
        </w:rPr>
        <w:t>。</w:t>
      </w:r>
    </w:p>
    <w:p>
      <w:pPr>
        <w:keepNext w:val="0"/>
        <w:keepLines w:val="0"/>
        <w:pageBreakBefore w:val="0"/>
        <w:widowControl/>
        <w:kinsoku w:val="0"/>
        <w:wordWrap/>
        <w:overflowPunct/>
        <w:topLinePunct w:val="0"/>
        <w:autoSpaceDE w:val="0"/>
        <w:autoSpaceDN w:val="0"/>
        <w:bidi w:val="0"/>
        <w:adjustRightInd/>
        <w:snapToGrid/>
        <w:spacing w:line="560" w:lineRule="exact"/>
        <w:ind w:firstLine="636" w:firstLineChars="200"/>
        <w:jc w:val="both"/>
        <w:textAlignment w:val="baseline"/>
        <w:rPr>
          <w:rFonts w:hint="eastAsia" w:ascii="黑体" w:hAnsi="黑体" w:eastAsia="黑体" w:cs="黑体"/>
          <w:b w:val="0"/>
          <w:bCs w:val="0"/>
          <w:spacing w:val="-1"/>
          <w:sz w:val="32"/>
          <w:szCs w:val="32"/>
        </w:rPr>
      </w:pPr>
      <w:r>
        <w:rPr>
          <w:rFonts w:hint="eastAsia" w:ascii="黑体" w:hAnsi="黑体" w:eastAsia="黑体" w:cs="黑体"/>
          <w:b w:val="0"/>
          <w:bCs w:val="0"/>
          <w:spacing w:val="-1"/>
          <w:sz w:val="32"/>
          <w:szCs w:val="32"/>
        </w:rPr>
        <w:t>二、经济效益</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该项目</w:t>
      </w:r>
      <w:r>
        <w:rPr>
          <w:rFonts w:hint="eastAsia" w:ascii="Times New Roman" w:hAnsi="Times New Roman" w:eastAsia="仿宋_GB2312" w:cs="Times New Roman"/>
          <w:sz w:val="32"/>
          <w:szCs w:val="32"/>
          <w:lang w:val="en-US" w:eastAsia="zh-CN"/>
        </w:rPr>
        <w:t>对</w:t>
      </w:r>
      <w:r>
        <w:rPr>
          <w:rFonts w:hint="eastAsia" w:ascii="Times New Roman" w:hAnsi="Times New Roman" w:eastAsia="仿宋_GB2312" w:cs="Times New Roman"/>
          <w:sz w:val="32"/>
          <w:szCs w:val="32"/>
        </w:rPr>
        <w:t>提升乡村治理能力和公共服务水平</w:t>
      </w:r>
      <w:r>
        <w:rPr>
          <w:rFonts w:hint="eastAsia" w:ascii="Times New Roman" w:hAnsi="Times New Roman" w:eastAsia="仿宋_GB2312" w:cs="Times New Roman"/>
          <w:sz w:val="32"/>
          <w:szCs w:val="32"/>
          <w:lang w:val="en-US" w:eastAsia="zh-CN"/>
        </w:rPr>
        <w:t>起到</w:t>
      </w:r>
      <w:r>
        <w:rPr>
          <w:rFonts w:hint="eastAsia" w:ascii="Times New Roman" w:hAnsi="Times New Roman" w:eastAsia="仿宋_GB2312" w:cs="Times New Roman"/>
          <w:sz w:val="32"/>
          <w:szCs w:val="32"/>
        </w:rPr>
        <w:t>关键</w:t>
      </w:r>
      <w:r>
        <w:rPr>
          <w:rFonts w:hint="eastAsia" w:ascii="Times New Roman" w:hAnsi="Times New Roman" w:eastAsia="仿宋_GB2312" w:cs="Times New Roman"/>
          <w:sz w:val="32"/>
          <w:szCs w:val="32"/>
          <w:lang w:val="en-US" w:eastAsia="zh-CN"/>
        </w:rPr>
        <w:t>作用</w:t>
      </w:r>
      <w:r>
        <w:rPr>
          <w:rFonts w:hint="eastAsia" w:ascii="Times New Roman" w:hAnsi="Times New Roman" w:eastAsia="仿宋_GB2312" w:cs="Times New Roman"/>
          <w:sz w:val="32"/>
          <w:szCs w:val="32"/>
        </w:rPr>
        <w:t>，有助于塑造</w:t>
      </w:r>
      <w:r>
        <w:rPr>
          <w:rFonts w:hint="eastAsia" w:ascii="Times New Roman" w:hAnsi="Times New Roman" w:eastAsia="仿宋_GB2312" w:cs="Times New Roman"/>
          <w:sz w:val="32"/>
          <w:szCs w:val="32"/>
          <w:lang w:val="en-US" w:eastAsia="zh-CN"/>
        </w:rPr>
        <w:t>村委会</w:t>
      </w:r>
      <w:r>
        <w:rPr>
          <w:rFonts w:hint="eastAsia" w:ascii="Times New Roman" w:hAnsi="Times New Roman" w:eastAsia="仿宋_GB2312" w:cs="Times New Roman"/>
          <w:sz w:val="32"/>
          <w:szCs w:val="32"/>
        </w:rPr>
        <w:t>正面形象，增强</w:t>
      </w:r>
      <w:r>
        <w:rPr>
          <w:rFonts w:hint="eastAsia" w:ascii="Times New Roman" w:hAnsi="Times New Roman" w:eastAsia="仿宋_GB2312" w:cs="Times New Roman"/>
          <w:sz w:val="32"/>
          <w:szCs w:val="32"/>
          <w:lang w:val="en-US" w:eastAsia="zh-CN"/>
        </w:rPr>
        <w:t>村民的</w:t>
      </w:r>
      <w:r>
        <w:rPr>
          <w:rFonts w:hint="eastAsia" w:ascii="Times New Roman" w:hAnsi="Times New Roman" w:eastAsia="仿宋_GB2312" w:cs="Times New Roman"/>
          <w:sz w:val="32"/>
          <w:szCs w:val="32"/>
        </w:rPr>
        <w:t>信任。通过改造提升了道路的通行能力，可以吸引更多的投资，带动相关产业的发展，为</w:t>
      </w:r>
      <w:r>
        <w:rPr>
          <w:rFonts w:hint="eastAsia" w:ascii="Times New Roman" w:hAnsi="Times New Roman" w:eastAsia="仿宋_GB2312" w:cs="Times New Roman"/>
          <w:sz w:val="32"/>
          <w:szCs w:val="32"/>
          <w:lang w:val="en-US" w:eastAsia="zh-CN"/>
        </w:rPr>
        <w:t>村</w:t>
      </w:r>
      <w:r>
        <w:rPr>
          <w:rFonts w:hint="eastAsia" w:ascii="Times New Roman" w:hAnsi="Times New Roman" w:eastAsia="仿宋_GB2312" w:cs="Times New Roman"/>
          <w:sz w:val="32"/>
          <w:szCs w:val="32"/>
        </w:rPr>
        <w:t>经济注入新的增长动力</w:t>
      </w:r>
      <w:r>
        <w:rPr>
          <w:rFonts w:hint="eastAsia" w:ascii="Times New Roman" w:hAnsi="Times New Roman" w:eastAsia="仿宋_GB2312" w:cs="Times New Roman"/>
          <w:sz w:val="32"/>
          <w:szCs w:val="32"/>
          <w:lang w:eastAsia="zh-CN"/>
        </w:rPr>
        <w:t>，道路改造工程本身可以为当地居民提供就业机会，为群众提供了“家门口”的就业岗位，增加了收入</w:t>
      </w:r>
      <w:r>
        <w:rPr>
          <w:rFonts w:hint="eastAsia" w:ascii="Times New Roman" w:hAnsi="Times New Roman" w:eastAsia="仿宋_GB2312" w:cs="Times New Roman"/>
          <w:sz w:val="32"/>
          <w:szCs w:val="32"/>
        </w:rPr>
        <w:t>。</w:t>
      </w:r>
    </w:p>
    <w:p>
      <w:pPr>
        <w:keepNext w:val="0"/>
        <w:keepLines w:val="0"/>
        <w:pageBreakBefore w:val="0"/>
        <w:widowControl/>
        <w:kinsoku w:val="0"/>
        <w:wordWrap/>
        <w:overflowPunct/>
        <w:topLinePunct w:val="0"/>
        <w:autoSpaceDE w:val="0"/>
        <w:autoSpaceDN w:val="0"/>
        <w:bidi w:val="0"/>
        <w:adjustRightInd/>
        <w:snapToGrid/>
        <w:spacing w:line="560" w:lineRule="exact"/>
        <w:ind w:firstLine="636" w:firstLineChars="200"/>
        <w:jc w:val="both"/>
        <w:textAlignment w:val="baseline"/>
        <w:rPr>
          <w:rFonts w:hint="eastAsia" w:ascii="黑体" w:hAnsi="黑体" w:eastAsia="黑体" w:cs="黑体"/>
          <w:b w:val="0"/>
          <w:bCs w:val="0"/>
          <w:spacing w:val="-1"/>
          <w:sz w:val="32"/>
          <w:szCs w:val="32"/>
        </w:rPr>
      </w:pPr>
      <w:r>
        <w:rPr>
          <w:rFonts w:hint="eastAsia" w:ascii="黑体" w:hAnsi="黑体" w:eastAsia="黑体" w:cs="黑体"/>
          <w:b w:val="0"/>
          <w:bCs w:val="0"/>
          <w:spacing w:val="-1"/>
          <w:sz w:val="32"/>
          <w:szCs w:val="32"/>
        </w:rPr>
        <w:t>三、社会效益</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改造后的道路改善了居民的出行条件，增强了村民的幸福感和归属感。同时，良好的道路条件有助于提升公共服务的覆盖范围和效率，能够吸引外部关注和投资，为村庄带来更多的发展机遇，促进社会和谐稳定。</w:t>
      </w:r>
    </w:p>
    <w:p>
      <w:pPr>
        <w:keepNext w:val="0"/>
        <w:keepLines w:val="0"/>
        <w:pageBreakBefore w:val="0"/>
        <w:widowControl/>
        <w:kinsoku w:val="0"/>
        <w:wordWrap/>
        <w:overflowPunct/>
        <w:topLinePunct w:val="0"/>
        <w:autoSpaceDE w:val="0"/>
        <w:autoSpaceDN w:val="0"/>
        <w:bidi w:val="0"/>
        <w:adjustRightInd/>
        <w:snapToGrid/>
        <w:spacing w:line="560" w:lineRule="exact"/>
        <w:ind w:firstLine="556" w:firstLineChars="200"/>
        <w:jc w:val="both"/>
        <w:textAlignment w:val="baseline"/>
        <w:rPr>
          <w:rFonts w:ascii="Times New Roman" w:hAnsi="Times New Roman" w:eastAsia="宋体" w:cs="Times New Roman"/>
          <w:spacing w:val="-1"/>
          <w:sz w:val="28"/>
          <w:szCs w:val="28"/>
        </w:rPr>
      </w:pPr>
    </w:p>
    <w:p>
      <w:pPr>
        <w:keepNext w:val="0"/>
        <w:keepLines w:val="0"/>
        <w:pageBreakBefore w:val="0"/>
        <w:widowControl/>
        <w:kinsoku w:val="0"/>
        <w:wordWrap/>
        <w:overflowPunct/>
        <w:topLinePunct w:val="0"/>
        <w:autoSpaceDE w:val="0"/>
        <w:autoSpaceDN w:val="0"/>
        <w:bidi w:val="0"/>
        <w:adjustRightInd/>
        <w:snapToGrid/>
        <w:spacing w:line="560" w:lineRule="exact"/>
        <w:ind w:firstLine="556" w:firstLineChars="200"/>
        <w:jc w:val="both"/>
        <w:textAlignment w:val="baseline"/>
        <w:rPr>
          <w:rFonts w:ascii="Times New Roman" w:hAnsi="Times New Roman" w:eastAsia="宋体" w:cs="Times New Roman"/>
          <w:spacing w:val="-1"/>
          <w:sz w:val="28"/>
          <w:szCs w:val="28"/>
        </w:rPr>
      </w:pPr>
    </w:p>
    <w:p>
      <w:pPr>
        <w:keepNext w:val="0"/>
        <w:keepLines w:val="0"/>
        <w:pageBreakBefore w:val="0"/>
        <w:widowControl/>
        <w:kinsoku w:val="0"/>
        <w:wordWrap/>
        <w:overflowPunct/>
        <w:topLinePunct w:val="0"/>
        <w:autoSpaceDE w:val="0"/>
        <w:autoSpaceDN w:val="0"/>
        <w:bidi w:val="0"/>
        <w:adjustRightInd/>
        <w:snapToGrid/>
        <w:spacing w:line="560" w:lineRule="exact"/>
        <w:ind w:firstLine="556" w:firstLineChars="200"/>
        <w:jc w:val="both"/>
        <w:textAlignment w:val="baseline"/>
        <w:rPr>
          <w:rFonts w:ascii="Times New Roman" w:hAnsi="Times New Roman" w:eastAsia="宋体" w:cs="Times New Roman"/>
          <w:spacing w:val="-1"/>
          <w:sz w:val="28"/>
          <w:szCs w:val="28"/>
        </w:rPr>
        <w:sectPr>
          <w:pgSz w:w="11906" w:h="16839" w:orient="landscape"/>
          <w:pgMar w:top="1440" w:right="1800" w:bottom="1440" w:left="1800" w:header="850" w:footer="680" w:gutter="0"/>
          <w:pgNumType w:fmt="decimal"/>
          <w:cols w:space="720" w:num="1"/>
          <w:docGrid w:linePitch="286" w:charSpace="0"/>
        </w:sectPr>
      </w:pPr>
    </w:p>
    <w:p>
      <w:pPr>
        <w:keepNext w:val="0"/>
        <w:keepLines w:val="0"/>
        <w:pageBreakBefore w:val="0"/>
        <w:widowControl/>
        <w:kinsoku w:val="0"/>
        <w:wordWrap/>
        <w:overflowPunct/>
        <w:topLinePunct w:val="0"/>
        <w:autoSpaceDE w:val="0"/>
        <w:autoSpaceDN w:val="0"/>
        <w:bidi w:val="0"/>
        <w:adjustRightInd/>
        <w:snapToGrid/>
        <w:spacing w:before="120" w:beforeLines="50" w:after="120" w:afterLines="50" w:line="560" w:lineRule="exact"/>
        <w:jc w:val="center"/>
        <w:textAlignment w:val="baseline"/>
        <w:outlineLvl w:val="0"/>
        <w:rPr>
          <w:rFonts w:hint="eastAsia" w:ascii="仿宋_GB2312" w:hAnsi="仿宋_GB2312" w:eastAsia="仿宋_GB2312" w:cs="仿宋_GB2312"/>
          <w:spacing w:val="1"/>
          <w:sz w:val="32"/>
          <w:szCs w:val="32"/>
          <w14:textOutline w14:w="6540" w14:cap="sq" w14:cmpd="sng" w14:algn="ctr">
            <w14:solidFill>
              <w14:srgbClr w14:val="000000"/>
            </w14:solidFill>
            <w14:prstDash w14:val="solid"/>
            <w14:bevel/>
          </w14:textOutline>
        </w:rPr>
      </w:pPr>
      <w:bookmarkStart w:id="27" w:name="_Toc10035"/>
      <w:r>
        <w:rPr>
          <w:rFonts w:hint="eastAsia" w:ascii="仿宋_GB2312" w:hAnsi="仿宋_GB2312" w:eastAsia="仿宋_GB2312" w:cs="仿宋_GB2312"/>
          <w:spacing w:val="1"/>
          <w:sz w:val="32"/>
          <w:szCs w:val="32"/>
          <w14:textOutline w14:w="6540" w14:cap="sq" w14:cmpd="sng" w14:algn="ctr">
            <w14:solidFill>
              <w14:srgbClr w14:val="000000"/>
            </w14:solidFill>
            <w14:prstDash w14:val="solid"/>
            <w14:bevel/>
          </w14:textOutline>
        </w:rPr>
        <w:t>第六章</w:t>
      </w:r>
      <w:r>
        <w:rPr>
          <w:rFonts w:hint="eastAsia" w:ascii="仿宋_GB2312" w:hAnsi="仿宋_GB2312" w:eastAsia="仿宋_GB2312" w:cs="仿宋_GB2312"/>
          <w:spacing w:val="1"/>
          <w:sz w:val="32"/>
          <w:szCs w:val="32"/>
          <w:lang w:val="en-US" w:eastAsia="zh-CN"/>
          <w14:textOutline w14:w="6540" w14:cap="sq" w14:cmpd="sng" w14:algn="ctr">
            <w14:solidFill>
              <w14:srgbClr w14:val="000000"/>
            </w14:solidFill>
            <w14:prstDash w14:val="solid"/>
            <w14:bevel/>
          </w14:textOutline>
        </w:rPr>
        <w:t xml:space="preserve"> </w:t>
      </w:r>
      <w:r>
        <w:rPr>
          <w:rFonts w:hint="eastAsia" w:ascii="仿宋_GB2312" w:hAnsi="仿宋_GB2312" w:eastAsia="仿宋_GB2312" w:cs="仿宋_GB2312"/>
          <w:spacing w:val="1"/>
          <w:sz w:val="32"/>
          <w:szCs w:val="32"/>
          <w14:textOutline w14:w="6540" w14:cap="sq" w14:cmpd="sng" w14:algn="ctr">
            <w14:solidFill>
              <w14:srgbClr w14:val="000000"/>
            </w14:solidFill>
            <w14:prstDash w14:val="solid"/>
            <w14:bevel/>
          </w14:textOutline>
        </w:rPr>
        <w:t>保障措施</w:t>
      </w:r>
      <w:bookmarkEnd w:id="27"/>
    </w:p>
    <w:p>
      <w:pPr>
        <w:keepNext w:val="0"/>
        <w:keepLines w:val="0"/>
        <w:pageBreakBefore w:val="0"/>
        <w:widowControl/>
        <w:kinsoku w:val="0"/>
        <w:wordWrap/>
        <w:overflowPunct/>
        <w:topLinePunct w:val="0"/>
        <w:autoSpaceDE w:val="0"/>
        <w:autoSpaceDN w:val="0"/>
        <w:bidi w:val="0"/>
        <w:adjustRightInd/>
        <w:snapToGrid/>
        <w:spacing w:line="560" w:lineRule="exact"/>
        <w:ind w:firstLine="636" w:firstLineChars="200"/>
        <w:jc w:val="both"/>
        <w:textAlignment w:val="baseline"/>
        <w:rPr>
          <w:rFonts w:hint="eastAsia" w:ascii="黑体" w:hAnsi="黑体" w:eastAsia="黑体" w:cs="黑体"/>
          <w:b w:val="0"/>
          <w:bCs w:val="0"/>
          <w:spacing w:val="-1"/>
          <w:sz w:val="32"/>
          <w:szCs w:val="32"/>
        </w:rPr>
      </w:pPr>
      <w:r>
        <w:rPr>
          <w:rFonts w:hint="eastAsia" w:ascii="黑体" w:hAnsi="黑体" w:eastAsia="黑体" w:cs="黑体"/>
          <w:b w:val="0"/>
          <w:bCs w:val="0"/>
          <w:spacing w:val="-1"/>
          <w:sz w:val="32"/>
          <w:szCs w:val="32"/>
        </w:rPr>
        <w:t>一、技术保障</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rPr>
      </w:pPr>
      <w:r>
        <w:rPr>
          <w:rFonts w:hint="eastAsia" w:ascii="楷体_GB2312" w:hAnsi="楷体_GB2312" w:eastAsia="楷体_GB2312" w:cs="楷体_GB2312"/>
          <w:sz w:val="32"/>
          <w:szCs w:val="32"/>
          <w:lang w:val="en-US" w:eastAsia="zh-CN"/>
        </w:rPr>
        <w:t>（一）专业技术团队：</w:t>
      </w:r>
      <w:r>
        <w:rPr>
          <w:rFonts w:hint="eastAsia" w:ascii="Times New Roman" w:hAnsi="Times New Roman" w:eastAsia="仿宋_GB2312" w:cs="Times New Roman"/>
          <w:sz w:val="32"/>
          <w:szCs w:val="32"/>
        </w:rPr>
        <w:t>组建</w:t>
      </w:r>
      <w:r>
        <w:rPr>
          <w:rFonts w:hint="eastAsia" w:ascii="Times New Roman" w:hAnsi="Times New Roman" w:eastAsia="仿宋_GB2312" w:cs="Times New Roman"/>
          <w:sz w:val="32"/>
          <w:szCs w:val="32"/>
          <w:lang w:val="en-US" w:eastAsia="zh-CN"/>
        </w:rPr>
        <w:t>专业设计人员、</w:t>
      </w:r>
      <w:r>
        <w:rPr>
          <w:rFonts w:hint="eastAsia" w:ascii="Times New Roman" w:hAnsi="Times New Roman" w:eastAsia="仿宋_GB2312" w:cs="Times New Roman"/>
          <w:sz w:val="32"/>
          <w:szCs w:val="32"/>
        </w:rPr>
        <w:t>施工技术人员和项目经理组成的专业团队，负责项目的规划、设计和施工技术指导。</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rPr>
      </w:pPr>
      <w:r>
        <w:rPr>
          <w:rFonts w:hint="eastAsia" w:ascii="楷体_GB2312" w:hAnsi="楷体_GB2312" w:eastAsia="楷体_GB2312" w:cs="楷体_GB2312"/>
          <w:sz w:val="32"/>
          <w:szCs w:val="32"/>
          <w:lang w:val="en-US" w:eastAsia="zh-CN"/>
        </w:rPr>
        <w:t>（二）科学规划设计：</w:t>
      </w:r>
      <w:r>
        <w:rPr>
          <w:rFonts w:hint="eastAsia" w:ascii="Times New Roman" w:hAnsi="Times New Roman" w:eastAsia="仿宋_GB2312" w:cs="Times New Roman"/>
          <w:sz w:val="32"/>
          <w:szCs w:val="32"/>
        </w:rPr>
        <w:t>根据</w:t>
      </w:r>
      <w:r>
        <w:rPr>
          <w:rFonts w:hint="eastAsia" w:ascii="Times New Roman" w:hAnsi="Times New Roman" w:eastAsia="仿宋_GB2312" w:cs="Times New Roman"/>
          <w:sz w:val="32"/>
          <w:szCs w:val="32"/>
          <w:lang w:val="en-US" w:eastAsia="zh-CN"/>
        </w:rPr>
        <w:t>新水坑村</w:t>
      </w:r>
      <w:r>
        <w:rPr>
          <w:rFonts w:hint="eastAsia" w:ascii="Times New Roman" w:hAnsi="Times New Roman" w:eastAsia="仿宋_GB2312" w:cs="Times New Roman"/>
          <w:sz w:val="32"/>
          <w:szCs w:val="32"/>
        </w:rPr>
        <w:t>地形地貌、交通需求和未来发展，科学规划道路布局，合理确定道路宽度、路面材料和排水系统。</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rPr>
      </w:pPr>
      <w:r>
        <w:rPr>
          <w:rFonts w:hint="eastAsia" w:ascii="楷体_GB2312" w:hAnsi="楷体_GB2312" w:eastAsia="楷体_GB2312" w:cs="楷体_GB2312"/>
          <w:sz w:val="32"/>
          <w:szCs w:val="32"/>
          <w:lang w:val="en-US" w:eastAsia="zh-CN"/>
        </w:rPr>
        <w:t>（三）采用先进技术：</w:t>
      </w:r>
      <w:r>
        <w:rPr>
          <w:rFonts w:hint="eastAsia" w:ascii="Times New Roman" w:hAnsi="Times New Roman" w:eastAsia="仿宋_GB2312" w:cs="Times New Roman"/>
          <w:sz w:val="32"/>
          <w:szCs w:val="32"/>
        </w:rPr>
        <w:t>在施工中采用先进的道路施工技术和材料，确保道路建设和改造的质量和耐久性。参考《农村公路工程技术标准》指导建设工作。</w:t>
      </w:r>
    </w:p>
    <w:p>
      <w:pPr>
        <w:keepNext w:val="0"/>
        <w:keepLines w:val="0"/>
        <w:pageBreakBefore w:val="0"/>
        <w:widowControl/>
        <w:kinsoku w:val="0"/>
        <w:wordWrap/>
        <w:overflowPunct/>
        <w:topLinePunct w:val="0"/>
        <w:autoSpaceDE w:val="0"/>
        <w:autoSpaceDN w:val="0"/>
        <w:bidi w:val="0"/>
        <w:adjustRightInd/>
        <w:snapToGrid/>
        <w:spacing w:line="560" w:lineRule="exact"/>
        <w:ind w:firstLine="636" w:firstLineChars="200"/>
        <w:jc w:val="both"/>
        <w:textAlignment w:val="baseline"/>
        <w:rPr>
          <w:rFonts w:hint="eastAsia" w:ascii="黑体" w:hAnsi="黑体" w:eastAsia="黑体" w:cs="黑体"/>
          <w:b w:val="0"/>
          <w:bCs w:val="0"/>
          <w:spacing w:val="-1"/>
          <w:sz w:val="32"/>
          <w:szCs w:val="32"/>
        </w:rPr>
      </w:pPr>
      <w:r>
        <w:rPr>
          <w:rFonts w:hint="eastAsia" w:ascii="黑体" w:hAnsi="黑体" w:eastAsia="黑体" w:cs="黑体"/>
          <w:b w:val="0"/>
          <w:bCs w:val="0"/>
          <w:spacing w:val="-1"/>
          <w:sz w:val="32"/>
          <w:szCs w:val="32"/>
        </w:rPr>
        <w:t>二、质量保障</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（一）质量控制体系</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1.建立完善的质量控制体系，明确质量目标和质量标准，制定质量检验计划和检验方法。对村内道路提升改造的设计、施工全过程进行质量控制，确保项目质量符合国家规定的相关标准和要求。</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2.加强对原材料的质量检验，对水泥、沥青、砂石等原材料进行进场检验检查，对不合格的材料坚决予以退回，不得用于项目建设。</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（二）施工质量管理</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1.选派经验丰富、技术过硬的施工队伍，确保施工过程中的技术水平和施工质量。加强对施工人员的培训和管理，提高施工人员的质量意识和操作技能。</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2.严格按照施工图纸和施工方案进行施工，加强对施工过程的监督和检查。对关键部位和重要工序进行旁站监理，确保施工质量符合要求。</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（三）验收管理</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1.制定严格的验收标准和验收程序，对项目的各个环节进行验收。只有通过验收的环节才能进入下一道工序，确保项目整体质量。</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2.邀请相关部门、专业机构等进行竣工验收，对项目改造提升的道路的质量、功能、环保等方面进行全面评估。确保道路符合相关标准和要求，能够正常投入使用。</w:t>
      </w:r>
    </w:p>
    <w:p>
      <w:pPr>
        <w:keepNext w:val="0"/>
        <w:keepLines w:val="0"/>
        <w:pageBreakBefore w:val="0"/>
        <w:widowControl/>
        <w:kinsoku w:val="0"/>
        <w:wordWrap/>
        <w:overflowPunct/>
        <w:topLinePunct w:val="0"/>
        <w:autoSpaceDE w:val="0"/>
        <w:autoSpaceDN w:val="0"/>
        <w:bidi w:val="0"/>
        <w:adjustRightInd/>
        <w:snapToGrid/>
        <w:spacing w:line="560" w:lineRule="exact"/>
        <w:ind w:firstLine="636" w:firstLineChars="200"/>
        <w:jc w:val="both"/>
        <w:textAlignment w:val="baseline"/>
        <w:rPr>
          <w:rFonts w:hint="eastAsia" w:ascii="黑体" w:hAnsi="黑体" w:eastAsia="黑体" w:cs="黑体"/>
          <w:b w:val="0"/>
          <w:bCs w:val="0"/>
          <w:spacing w:val="-1"/>
          <w:sz w:val="32"/>
          <w:szCs w:val="32"/>
        </w:rPr>
      </w:pPr>
      <w:r>
        <w:rPr>
          <w:rFonts w:hint="eastAsia" w:ascii="黑体" w:hAnsi="黑体" w:eastAsia="黑体" w:cs="黑体"/>
          <w:b w:val="0"/>
          <w:bCs w:val="0"/>
          <w:spacing w:val="-1"/>
          <w:sz w:val="32"/>
          <w:szCs w:val="32"/>
        </w:rPr>
        <w:t>三、进度保障</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（一）项目计划管理</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1.制定详细的项目进度计划，明确各个阶段的工作任务、时间节点和责任人。对项目进度进行动态监控和调整，确保项目按计划顺利进行。</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2.采用项目管理软件等工具，对项目进度进行信息化管理。及时掌握项目进展情况，发现问题及时解决，提高项目管理的效率和精度。</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（二）资源合理配置</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根据施工进度计划，合理配置人力、物资和设备资源，确保施工过程中资源供应充足。</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（三）施工进度管理</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1.优化施工组织设计，合理安排施工顺序和施工工艺。采用平行施工、流水作业等方式，提高施工效率，缩短施工周期。</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2.加强对施工过程的协调和管理，定期监控施工进度，及时解决施工中出现的问题。如施工场地受限、交叉作业干扰等，确保施工进度不受影响。</w:t>
      </w:r>
    </w:p>
    <w:p>
      <w:pPr>
        <w:keepNext w:val="0"/>
        <w:keepLines w:val="0"/>
        <w:pageBreakBefore w:val="0"/>
        <w:widowControl/>
        <w:kinsoku w:val="0"/>
        <w:wordWrap/>
        <w:overflowPunct/>
        <w:topLinePunct w:val="0"/>
        <w:autoSpaceDE w:val="0"/>
        <w:autoSpaceDN w:val="0"/>
        <w:bidi w:val="0"/>
        <w:adjustRightInd/>
        <w:snapToGrid/>
        <w:spacing w:line="560" w:lineRule="exact"/>
        <w:ind w:firstLine="636" w:firstLineChars="200"/>
        <w:jc w:val="both"/>
        <w:textAlignment w:val="baseline"/>
        <w:rPr>
          <w:rFonts w:hint="eastAsia" w:ascii="黑体" w:hAnsi="黑体" w:eastAsia="黑体" w:cs="黑体"/>
          <w:b w:val="0"/>
          <w:bCs w:val="0"/>
          <w:spacing w:val="-1"/>
          <w:sz w:val="32"/>
          <w:szCs w:val="32"/>
        </w:rPr>
      </w:pPr>
      <w:r>
        <w:rPr>
          <w:rFonts w:hint="eastAsia" w:ascii="黑体" w:hAnsi="黑体" w:eastAsia="黑体" w:cs="黑体"/>
          <w:b w:val="0"/>
          <w:bCs w:val="0"/>
          <w:spacing w:val="-1"/>
          <w:sz w:val="32"/>
          <w:szCs w:val="32"/>
        </w:rPr>
        <w:t>四、安全保障</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（一）安全管理制度</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1.建立健全安全管理制度，明确安全责任和安全目标。制定安全操作规程和应急预案，加强对施工人员的安全教育和培训，提高施工人员的安全意识和自我保护能力。</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2.加强对施工现场的安全管理，设置安全警示标志和防护设施。定期进行安全检查和隐患排查，及时发现并消除安全隐患，确保施工安全。</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（二）施工安全措施</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1.对道路提升改造的施工过程进行风险评估，制定相应的安全措施。如起重吊装安全措施、临时用电安全措施等。</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2.加强对施工设备和机械的安全管理，定期进行维护和保养。确保设备和机械的安全性能良好，操作人员持证上岗。</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（三）消防安全措施</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加强对施工现场的用火用电管理，严格执行动火审批制度。确保施工现场的消防安全。</w:t>
      </w:r>
    </w:p>
    <w:p>
      <w:pPr>
        <w:keepNext w:val="0"/>
        <w:keepLines w:val="0"/>
        <w:pageBreakBefore w:val="0"/>
        <w:widowControl/>
        <w:kinsoku w:val="0"/>
        <w:wordWrap/>
        <w:overflowPunct/>
        <w:topLinePunct w:val="0"/>
        <w:autoSpaceDE w:val="0"/>
        <w:autoSpaceDN w:val="0"/>
        <w:bidi w:val="0"/>
        <w:adjustRightInd/>
        <w:snapToGrid/>
        <w:spacing w:line="560" w:lineRule="exact"/>
        <w:ind w:firstLine="636" w:firstLineChars="200"/>
        <w:jc w:val="both"/>
        <w:textAlignment w:val="baseline"/>
        <w:rPr>
          <w:rFonts w:hint="eastAsia" w:ascii="黑体" w:hAnsi="黑体" w:eastAsia="黑体" w:cs="黑体"/>
          <w:b w:val="0"/>
          <w:bCs w:val="0"/>
          <w:spacing w:val="-1"/>
          <w:sz w:val="32"/>
          <w:szCs w:val="32"/>
        </w:rPr>
      </w:pPr>
      <w:r>
        <w:rPr>
          <w:rFonts w:hint="eastAsia" w:ascii="黑体" w:hAnsi="黑体" w:eastAsia="黑体" w:cs="黑体"/>
          <w:b w:val="0"/>
          <w:bCs w:val="0"/>
          <w:spacing w:val="-1"/>
          <w:sz w:val="32"/>
          <w:szCs w:val="32"/>
        </w:rPr>
        <w:t>五、环保保障</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（一）环境保护措施</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1.制定环境保护措施，减少道路施工建设对环境的影响。如施工现场的扬尘控制、噪声控制、废水处理等。</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2.加强对施工过程中的建筑垃圾管理，及时清理和运输建筑垃圾。采用环保型建筑材料和施工工艺，减少建筑垃圾的产生。</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3.采用节能型建筑材料和设备，提高能源利用效率，降低能源消耗。</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4.加强对施工现场的能源管理，合理安排施工时间和施工设备的使用。避免能源浪费，实现节能减排的目标。</w:t>
      </w:r>
    </w:p>
    <w:p>
      <w:pPr>
        <w:keepNext w:val="0"/>
        <w:keepLines w:val="0"/>
        <w:pageBreakBefore w:val="0"/>
        <w:widowControl/>
        <w:kinsoku w:val="0"/>
        <w:wordWrap/>
        <w:overflowPunct/>
        <w:topLinePunct w:val="0"/>
        <w:autoSpaceDE w:val="0"/>
        <w:autoSpaceDN w:val="0"/>
        <w:bidi w:val="0"/>
        <w:adjustRightInd/>
        <w:snapToGrid/>
        <w:spacing w:line="560" w:lineRule="exact"/>
        <w:ind w:firstLine="636" w:firstLineChars="200"/>
        <w:jc w:val="both"/>
        <w:textAlignment w:val="baseline"/>
        <w:rPr>
          <w:rFonts w:hint="eastAsia" w:ascii="黑体" w:hAnsi="黑体" w:eastAsia="黑体" w:cs="黑体"/>
          <w:b w:val="0"/>
          <w:bCs w:val="0"/>
          <w:spacing w:val="-1"/>
          <w:sz w:val="32"/>
          <w:szCs w:val="32"/>
        </w:rPr>
      </w:pPr>
      <w:r>
        <w:rPr>
          <w:rFonts w:hint="eastAsia" w:ascii="黑体" w:hAnsi="黑体" w:eastAsia="黑体" w:cs="黑体"/>
          <w:b w:val="0"/>
          <w:bCs w:val="0"/>
          <w:spacing w:val="-1"/>
          <w:sz w:val="32"/>
          <w:szCs w:val="32"/>
        </w:rPr>
        <w:t>六、资金保障</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（一）资金预算管理</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1.制定详细的项目资金预算，明确项目的资金需求和来源。对项目资金进行合理分配和使用，确保资金使用的合理性和有效性。</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2.加强对项目资金的预算执行情况进行监控和管理，及时调整资金预算，确保项目资金的充足和稳定。</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（二）资金筹集渠道</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积极争取政府财政资金支持，如申请专项建设资金、补贴资金等。</w:t>
      </w:r>
    </w:p>
    <w:p>
      <w:pPr>
        <w:keepNext w:val="0"/>
        <w:keepLines w:val="0"/>
        <w:pageBreakBefore w:val="0"/>
        <w:widowControl/>
        <w:kinsoku w:val="0"/>
        <w:wordWrap/>
        <w:overflowPunct/>
        <w:topLinePunct w:val="0"/>
        <w:autoSpaceDE w:val="0"/>
        <w:autoSpaceDN w:val="0"/>
        <w:bidi w:val="0"/>
        <w:adjustRightInd/>
        <w:snapToGrid/>
        <w:spacing w:line="560" w:lineRule="exact"/>
        <w:ind w:firstLine="636" w:firstLineChars="200"/>
        <w:jc w:val="both"/>
        <w:textAlignment w:val="baseline"/>
        <w:rPr>
          <w:rFonts w:hint="eastAsia" w:ascii="黑体" w:hAnsi="黑体" w:eastAsia="黑体" w:cs="黑体"/>
          <w:b w:val="0"/>
          <w:bCs w:val="0"/>
          <w:spacing w:val="-1"/>
          <w:sz w:val="32"/>
          <w:szCs w:val="32"/>
        </w:rPr>
      </w:pPr>
      <w:r>
        <w:rPr>
          <w:rFonts w:hint="eastAsia" w:ascii="黑体" w:hAnsi="黑体" w:eastAsia="黑体" w:cs="黑体"/>
          <w:b w:val="0"/>
          <w:bCs w:val="0"/>
          <w:spacing w:val="-1"/>
          <w:sz w:val="32"/>
          <w:szCs w:val="32"/>
        </w:rPr>
        <w:t>七、</w:t>
      </w:r>
      <w:r>
        <w:rPr>
          <w:rFonts w:hint="eastAsia" w:ascii="黑体" w:hAnsi="黑体" w:eastAsia="黑体" w:cs="黑体"/>
          <w:b w:val="0"/>
          <w:bCs w:val="0"/>
          <w:spacing w:val="-1"/>
          <w:sz w:val="32"/>
          <w:szCs w:val="32"/>
          <w:lang w:val="en-US" w:eastAsia="zh-CN"/>
        </w:rPr>
        <w:t>管护</w:t>
      </w:r>
      <w:r>
        <w:rPr>
          <w:rFonts w:hint="eastAsia" w:ascii="黑体" w:hAnsi="黑体" w:eastAsia="黑体" w:cs="黑体"/>
          <w:b w:val="0"/>
          <w:bCs w:val="0"/>
          <w:spacing w:val="-1"/>
          <w:sz w:val="32"/>
          <w:szCs w:val="32"/>
        </w:rPr>
        <w:t>保障</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（一）管护模式</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1.建立科学合理的管护模式，明确管护单位和职责。按照街的长效管护机制，确保村内部道路的正常运行和服务质量。</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2.可以采用市场化管护模式，通过招标等方式选择专业的管养单位进行管理。也可以采用政府购买服务的方式，委托专业机构进行管护。</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（二）设施维护保养</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建立健全设施维护保养制度，定期对道路进行维护保养。及时更换损坏的设施设备，确保道路的正常通行使用。</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（三）服务质量提升</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1.加强对管养人员的培训和管理，提高服务意识和服务水平。为用户提供优质、高效、便捷的服务，提升用户满意度。</w:t>
      </w:r>
    </w:p>
    <w:p>
      <w:pPr>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ascii="Times New Roman" w:hAnsi="Times New Roman" w:eastAsia="宋体" w:cs="Times New Roman"/>
          <w:spacing w:val="-1"/>
          <w:sz w:val="28"/>
          <w:szCs w:val="28"/>
        </w:rPr>
      </w:pPr>
      <w:r>
        <w:rPr>
          <w:rFonts w:hint="eastAsia" w:ascii="Times New Roman" w:hAnsi="Times New Roman" w:eastAsia="仿宋_GB2312" w:cs="Times New Roman"/>
          <w:sz w:val="32"/>
          <w:szCs w:val="32"/>
          <w:lang w:val="en-US" w:eastAsia="zh-CN"/>
        </w:rPr>
        <w:t>2.建立反馈机制，及时了解村民的需求和意见。根据村民反馈，不断改进道路质量，提高道路的使用体验。</w:t>
      </w:r>
    </w:p>
    <w:p>
      <w:pPr>
        <w:rPr>
          <w:rFonts w:ascii="Times New Roman" w:hAnsi="Times New Roman" w:eastAsia="宋体" w:cs="Times New Roman"/>
          <w:spacing w:val="-1"/>
          <w:sz w:val="28"/>
          <w:szCs w:val="28"/>
        </w:rPr>
        <w:sectPr>
          <w:footerReference r:id="rId7" w:type="default"/>
          <w:type w:val="continuous"/>
          <w:pgSz w:w="11906" w:h="16838"/>
          <w:pgMar w:top="1871" w:right="1531" w:bottom="1871" w:left="1531" w:header="850" w:footer="1417" w:gutter="0"/>
          <w:pgNumType w:fmt="decimal"/>
          <w:cols w:space="0" w:num="1"/>
          <w:docGrid w:type="lines" w:linePitch="595" w:charSpace="0"/>
        </w:sectPr>
      </w:pPr>
      <w:r>
        <w:rPr>
          <w:rFonts w:ascii="Times New Roman" w:hAnsi="Times New Roman" w:eastAsia="宋体" w:cs="Times New Roman"/>
          <w:spacing w:val="-1"/>
          <w:sz w:val="28"/>
          <w:szCs w:val="28"/>
        </w:rPr>
        <w:br w:type="page"/>
      </w:r>
    </w:p>
    <w:p>
      <w:pPr>
        <w:adjustRightInd/>
        <w:snapToGrid/>
        <w:spacing w:before="120" w:beforeLines="50" w:after="120" w:afterLines="50" w:line="360" w:lineRule="auto"/>
        <w:jc w:val="center"/>
        <w:outlineLvl w:val="0"/>
        <w:rPr>
          <w:rFonts w:hint="eastAsia" w:ascii="仿宋_GB2312" w:hAnsi="仿宋_GB2312" w:eastAsia="仿宋_GB2312" w:cs="仿宋_GB2312"/>
          <w:sz w:val="32"/>
          <w:szCs w:val="32"/>
        </w:rPr>
      </w:pPr>
      <w:bookmarkStart w:id="28" w:name="_Toc30814"/>
      <w:r>
        <w:rPr>
          <w:rFonts w:hint="eastAsia" w:ascii="仿宋_GB2312" w:hAnsi="仿宋_GB2312" w:eastAsia="仿宋_GB2312" w:cs="仿宋_GB2312"/>
          <w:spacing w:val="1"/>
          <w:sz w:val="32"/>
          <w:szCs w:val="32"/>
          <w14:textOutline w14:w="6540" w14:cap="sq" w14:cmpd="sng" w14:algn="ctr">
            <w14:solidFill>
              <w14:srgbClr w14:val="000000"/>
            </w14:solidFill>
            <w14:prstDash w14:val="solid"/>
            <w14:bevel/>
          </w14:textOutline>
        </w:rPr>
        <w:t>第七章</w:t>
      </w:r>
      <w:r>
        <w:rPr>
          <w:rFonts w:hint="eastAsia" w:ascii="仿宋_GB2312" w:hAnsi="仿宋_GB2312" w:eastAsia="仿宋_GB2312" w:cs="仿宋_GB2312"/>
          <w:spacing w:val="1"/>
          <w:sz w:val="32"/>
          <w:szCs w:val="32"/>
          <w:lang w:val="en-US" w:eastAsia="zh-CN"/>
          <w14:textOutline w14:w="6540" w14:cap="sq" w14:cmpd="sng" w14:algn="ctr">
            <w14:solidFill>
              <w14:srgbClr w14:val="000000"/>
            </w14:solidFill>
            <w14:prstDash w14:val="solid"/>
            <w14:bevel/>
          </w14:textOutline>
        </w:rPr>
        <w:t xml:space="preserve"> </w:t>
      </w:r>
      <w:r>
        <w:rPr>
          <w:rFonts w:hint="eastAsia" w:ascii="仿宋_GB2312" w:hAnsi="仿宋_GB2312" w:eastAsia="仿宋_GB2312" w:cs="仿宋_GB2312"/>
          <w:spacing w:val="1"/>
          <w:sz w:val="32"/>
          <w:szCs w:val="32"/>
          <w14:textOutline w14:w="6540" w14:cap="sq" w14:cmpd="sng" w14:algn="ctr">
            <w14:solidFill>
              <w14:srgbClr w14:val="000000"/>
            </w14:solidFill>
            <w14:prstDash w14:val="solid"/>
            <w14:bevel/>
          </w14:textOutline>
        </w:rPr>
        <w:t>附件</w:t>
      </w:r>
      <w:bookmarkEnd w:id="28"/>
      <w:bookmarkStart w:id="29" w:name="_bookmark110"/>
      <w:bookmarkEnd w:id="29"/>
      <w:bookmarkStart w:id="30" w:name="_bookmark112"/>
      <w:bookmarkEnd w:id="30"/>
      <w:bookmarkStart w:id="31" w:name="_bookmark111"/>
      <w:bookmarkEnd w:id="31"/>
      <w:bookmarkStart w:id="32" w:name="_bookmark79"/>
      <w:bookmarkEnd w:id="32"/>
    </w:p>
    <w:p>
      <w:pPr>
        <w:pStyle w:val="4"/>
        <w:keepNext/>
        <w:keepLines/>
        <w:pageBreakBefore w:val="0"/>
        <w:widowControl/>
        <w:kinsoku w:val="0"/>
        <w:wordWrap/>
        <w:overflowPunct/>
        <w:topLinePunct w:val="0"/>
        <w:autoSpaceDE w:val="0"/>
        <w:autoSpaceDN w:val="0"/>
        <w:bidi w:val="0"/>
        <w:adjustRightInd w:val="0"/>
        <w:snapToGrid w:val="0"/>
        <w:spacing w:before="0" w:after="0" w:line="600" w:lineRule="exact"/>
        <w:jc w:val="center"/>
        <w:textAlignment w:val="baseline"/>
        <w:rPr>
          <w:rFonts w:hint="eastAsia" w:ascii="方正小标宋简体" w:hAnsi="方正小标宋简体" w:eastAsia="方正小标宋简体" w:cs="方正小标宋简体"/>
          <w:b w:val="0"/>
          <w:bCs/>
          <w:snapToGrid w:val="0"/>
          <w:kern w:val="0"/>
          <w:sz w:val="36"/>
          <w:szCs w:val="36"/>
          <w:u w:val="none"/>
        </w:rPr>
      </w:pPr>
      <w:bookmarkStart w:id="33" w:name="_Toc3838"/>
      <w:bookmarkStart w:id="34" w:name="_Toc27395"/>
      <w:r>
        <w:rPr>
          <w:rFonts w:hint="eastAsia" w:ascii="方正小标宋简体" w:hAnsi="方正小标宋简体" w:eastAsia="方正小标宋简体" w:cs="方正小标宋简体"/>
          <w:b w:val="0"/>
          <w:bCs/>
          <w:snapToGrid w:val="0"/>
          <w:kern w:val="0"/>
          <w:sz w:val="36"/>
          <w:szCs w:val="36"/>
          <w:u w:val="single"/>
          <w:lang w:val="en-US" w:eastAsia="zh-CN" w:bidi="ar-SA"/>
        </w:rPr>
        <w:t>大龙街新水坑村新环村路（市新路至莲花大道）道路升级改造工程</w:t>
      </w:r>
      <w:r>
        <w:rPr>
          <w:rFonts w:hint="eastAsia" w:ascii="方正小标宋简体" w:hAnsi="方正小标宋简体" w:eastAsia="方正小标宋简体" w:cs="方正小标宋简体"/>
          <w:b w:val="0"/>
          <w:bCs/>
          <w:snapToGrid w:val="0"/>
          <w:kern w:val="0"/>
          <w:sz w:val="36"/>
          <w:szCs w:val="36"/>
          <w:u w:val="none"/>
          <w:lang w:val="en-US" w:eastAsia="zh-CN" w:bidi="ar-SA"/>
        </w:rPr>
        <w:t>农</w:t>
      </w:r>
      <w:r>
        <w:rPr>
          <w:rFonts w:hint="eastAsia" w:ascii="方正小标宋简体" w:hAnsi="方正小标宋简体" w:eastAsia="方正小标宋简体" w:cs="方正小标宋简体"/>
          <w:b w:val="0"/>
          <w:bCs/>
          <w:snapToGrid w:val="0"/>
          <w:kern w:val="0"/>
          <w:sz w:val="36"/>
          <w:szCs w:val="36"/>
          <w:u w:val="none"/>
        </w:rPr>
        <w:t>业建设项目</w:t>
      </w:r>
      <w:bookmarkEnd w:id="33"/>
      <w:bookmarkEnd w:id="34"/>
    </w:p>
    <w:p>
      <w:pPr>
        <w:pStyle w:val="4"/>
        <w:keepNext/>
        <w:keepLines/>
        <w:pageBreakBefore w:val="0"/>
        <w:widowControl/>
        <w:kinsoku w:val="0"/>
        <w:wordWrap/>
        <w:overflowPunct/>
        <w:topLinePunct w:val="0"/>
        <w:autoSpaceDE w:val="0"/>
        <w:autoSpaceDN w:val="0"/>
        <w:bidi w:val="0"/>
        <w:adjustRightInd w:val="0"/>
        <w:snapToGrid w:val="0"/>
        <w:spacing w:before="0" w:after="0" w:line="600" w:lineRule="exact"/>
        <w:jc w:val="center"/>
        <w:textAlignment w:val="baseline"/>
        <w:rPr>
          <w:rFonts w:cs="黑体" w:asciiTheme="minorEastAsia" w:hAnsiTheme="minorEastAsia" w:eastAsiaTheme="minorEastAsia"/>
          <w:b w:val="0"/>
          <w:bCs/>
          <w:kern w:val="0"/>
          <w:sz w:val="28"/>
          <w:szCs w:val="28"/>
        </w:rPr>
      </w:pPr>
      <w:bookmarkStart w:id="35" w:name="_Toc20178"/>
      <w:bookmarkStart w:id="36" w:name="_Toc17097"/>
      <w:r>
        <w:rPr>
          <w:rFonts w:hint="eastAsia" w:ascii="方正小标宋简体" w:hAnsi="方正小标宋简体" w:eastAsia="方正小标宋简体" w:cs="方正小标宋简体"/>
          <w:b w:val="0"/>
          <w:bCs/>
          <w:snapToGrid w:val="0"/>
          <w:kern w:val="0"/>
          <w:sz w:val="36"/>
          <w:szCs w:val="36"/>
          <w:u w:val="none"/>
        </w:rPr>
        <w:t>资金筹措表</w:t>
      </w:r>
      <w:bookmarkEnd w:id="35"/>
      <w:bookmarkEnd w:id="36"/>
    </w:p>
    <w:tbl>
      <w:tblPr>
        <w:tblStyle w:val="23"/>
        <w:tblW w:w="1329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11"/>
        <w:gridCol w:w="911"/>
        <w:gridCol w:w="1010"/>
        <w:gridCol w:w="2772"/>
        <w:gridCol w:w="651"/>
        <w:gridCol w:w="698"/>
        <w:gridCol w:w="858"/>
        <w:gridCol w:w="1024"/>
        <w:gridCol w:w="814"/>
        <w:gridCol w:w="1005"/>
        <w:gridCol w:w="816"/>
        <w:gridCol w:w="1068"/>
        <w:gridCol w:w="7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11" w:type="dxa"/>
            <w:vMerge w:val="restart"/>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乡镇</w:t>
            </w:r>
          </w:p>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名称</w:t>
            </w:r>
          </w:p>
        </w:tc>
        <w:tc>
          <w:tcPr>
            <w:tcW w:w="911" w:type="dxa"/>
            <w:vMerge w:val="restart"/>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村组</w:t>
            </w:r>
          </w:p>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名称</w:t>
            </w:r>
          </w:p>
        </w:tc>
        <w:tc>
          <w:tcPr>
            <w:tcW w:w="3782" w:type="dxa"/>
            <w:gridSpan w:val="2"/>
            <w:vMerge w:val="restart"/>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工程和费用名称</w:t>
            </w:r>
          </w:p>
        </w:tc>
        <w:tc>
          <w:tcPr>
            <w:tcW w:w="1349" w:type="dxa"/>
            <w:gridSpan w:val="2"/>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工程数量</w:t>
            </w:r>
          </w:p>
        </w:tc>
        <w:tc>
          <w:tcPr>
            <w:tcW w:w="6346" w:type="dxa"/>
            <w:gridSpan w:val="7"/>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投资计划（万元）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11" w:type="dxa"/>
            <w:vMerge w:val="continue"/>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p>
        </w:tc>
        <w:tc>
          <w:tcPr>
            <w:tcW w:w="911" w:type="dxa"/>
            <w:vMerge w:val="continue"/>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p>
        </w:tc>
        <w:tc>
          <w:tcPr>
            <w:tcW w:w="3782" w:type="dxa"/>
            <w:gridSpan w:val="2"/>
            <w:vMerge w:val="continue"/>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p>
        </w:tc>
        <w:tc>
          <w:tcPr>
            <w:tcW w:w="651" w:type="dxa"/>
            <w:vMerge w:val="restart"/>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单位</w:t>
            </w:r>
          </w:p>
        </w:tc>
        <w:tc>
          <w:tcPr>
            <w:tcW w:w="698" w:type="dxa"/>
            <w:vMerge w:val="restart"/>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数量</w:t>
            </w:r>
          </w:p>
        </w:tc>
        <w:tc>
          <w:tcPr>
            <w:tcW w:w="858" w:type="dxa"/>
            <w:vMerge w:val="restart"/>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小计</w:t>
            </w:r>
          </w:p>
        </w:tc>
        <w:tc>
          <w:tcPr>
            <w:tcW w:w="1838" w:type="dxa"/>
            <w:gridSpan w:val="2"/>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中央财政资金</w:t>
            </w:r>
          </w:p>
        </w:tc>
        <w:tc>
          <w:tcPr>
            <w:tcW w:w="1821" w:type="dxa"/>
            <w:gridSpan w:val="2"/>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地方财政资金</w:t>
            </w:r>
          </w:p>
        </w:tc>
        <w:tc>
          <w:tcPr>
            <w:tcW w:w="1829" w:type="dxa"/>
            <w:gridSpan w:val="2"/>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自筹资金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11" w:type="dxa"/>
            <w:vMerge w:val="continue"/>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p>
        </w:tc>
        <w:tc>
          <w:tcPr>
            <w:tcW w:w="911" w:type="dxa"/>
            <w:vMerge w:val="continue"/>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p>
        </w:tc>
        <w:tc>
          <w:tcPr>
            <w:tcW w:w="3782" w:type="dxa"/>
            <w:gridSpan w:val="2"/>
            <w:vMerge w:val="continue"/>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p>
        </w:tc>
        <w:tc>
          <w:tcPr>
            <w:tcW w:w="651" w:type="dxa"/>
            <w:vMerge w:val="continue"/>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p>
        </w:tc>
        <w:tc>
          <w:tcPr>
            <w:tcW w:w="698" w:type="dxa"/>
            <w:vMerge w:val="continue"/>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p>
        </w:tc>
        <w:tc>
          <w:tcPr>
            <w:tcW w:w="858" w:type="dxa"/>
            <w:vMerge w:val="continue"/>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p>
        </w:tc>
        <w:tc>
          <w:tcPr>
            <w:tcW w:w="1024" w:type="dxa"/>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投入金额</w:t>
            </w:r>
          </w:p>
        </w:tc>
        <w:tc>
          <w:tcPr>
            <w:tcW w:w="814" w:type="dxa"/>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占比</w:t>
            </w:r>
          </w:p>
        </w:tc>
        <w:tc>
          <w:tcPr>
            <w:tcW w:w="1005" w:type="dxa"/>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投入金额</w:t>
            </w:r>
          </w:p>
        </w:tc>
        <w:tc>
          <w:tcPr>
            <w:tcW w:w="816" w:type="dxa"/>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占比</w:t>
            </w:r>
          </w:p>
        </w:tc>
        <w:tc>
          <w:tcPr>
            <w:tcW w:w="1068" w:type="dxa"/>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投入金额</w:t>
            </w:r>
          </w:p>
        </w:tc>
        <w:tc>
          <w:tcPr>
            <w:tcW w:w="761" w:type="dxa"/>
            <w:tcMar>
              <w:top w:w="15" w:type="dxa"/>
              <w:left w:w="15" w:type="dxa"/>
              <w:right w:w="15" w:type="dxa"/>
            </w:tcMar>
            <w:vAlign w:val="center"/>
          </w:tcPr>
          <w:p>
            <w:pPr>
              <w:widowControl/>
              <w:snapToGrid w:val="0"/>
              <w:jc w:val="center"/>
              <w:textAlignment w:val="center"/>
              <w:rPr>
                <w:rFonts w:hint="eastAsia" w:ascii="黑体" w:hAnsi="黑体" w:eastAsia="黑体" w:cs="黑体"/>
                <w:kern w:val="0"/>
                <w:sz w:val="24"/>
                <w:szCs w:val="24"/>
              </w:rPr>
            </w:pPr>
            <w:r>
              <w:rPr>
                <w:rFonts w:hint="eastAsia" w:ascii="黑体" w:hAnsi="黑体" w:eastAsia="黑体" w:cs="黑体"/>
                <w:kern w:val="0"/>
                <w:sz w:val="24"/>
                <w:szCs w:val="24"/>
              </w:rPr>
              <w:t>占比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604" w:type="dxa"/>
            <w:gridSpan w:val="4"/>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总计</w:t>
            </w:r>
          </w:p>
        </w:tc>
        <w:tc>
          <w:tcPr>
            <w:tcW w:w="651"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69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85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322.38</w:t>
            </w:r>
          </w:p>
        </w:tc>
        <w:tc>
          <w:tcPr>
            <w:tcW w:w="1024"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814"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1005"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816" w:type="dxa"/>
            <w:tcMar>
              <w:top w:w="15" w:type="dxa"/>
              <w:left w:w="15" w:type="dxa"/>
              <w:right w:w="15" w:type="dxa"/>
            </w:tcMar>
            <w:vAlign w:val="center"/>
          </w:tcPr>
          <w:p>
            <w:pPr>
              <w:widowControl/>
              <w:snapToGrid w:val="0"/>
              <w:jc w:val="center"/>
              <w:textAlignment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62%</w:t>
            </w:r>
          </w:p>
        </w:tc>
        <w:tc>
          <w:tcPr>
            <w:tcW w:w="106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122.38</w:t>
            </w:r>
          </w:p>
        </w:tc>
        <w:tc>
          <w:tcPr>
            <w:tcW w:w="761" w:type="dxa"/>
            <w:tcMar>
              <w:top w:w="15" w:type="dxa"/>
              <w:left w:w="15" w:type="dxa"/>
              <w:right w:w="15" w:type="dxa"/>
            </w:tcMar>
            <w:vAlign w:val="center"/>
          </w:tcPr>
          <w:p>
            <w:pPr>
              <w:widowControl/>
              <w:snapToGrid w:val="0"/>
              <w:jc w:val="center"/>
              <w:textAlignment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11" w:type="dxa"/>
            <w:vMerge w:val="restart"/>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大龙街</w:t>
            </w:r>
          </w:p>
        </w:tc>
        <w:tc>
          <w:tcPr>
            <w:tcW w:w="911" w:type="dxa"/>
            <w:vMerge w:val="restart"/>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新水坑村</w:t>
            </w:r>
          </w:p>
        </w:tc>
        <w:tc>
          <w:tcPr>
            <w:tcW w:w="3782" w:type="dxa"/>
            <w:gridSpan w:val="2"/>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小计</w:t>
            </w:r>
          </w:p>
        </w:tc>
        <w:tc>
          <w:tcPr>
            <w:tcW w:w="651"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69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snapToGrid w:val="0"/>
                <w:color w:val="000000"/>
                <w:kern w:val="0"/>
                <w:sz w:val="24"/>
                <w:szCs w:val="24"/>
                <w:lang w:val="en-US" w:eastAsia="zh-CN" w:bidi="ar-SA"/>
              </w:rPr>
            </w:pPr>
          </w:p>
        </w:tc>
        <w:tc>
          <w:tcPr>
            <w:tcW w:w="85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kern w:val="0"/>
                <w:sz w:val="24"/>
                <w:szCs w:val="24"/>
              </w:rPr>
              <w:t>322.38</w:t>
            </w:r>
          </w:p>
        </w:tc>
        <w:tc>
          <w:tcPr>
            <w:tcW w:w="1024"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snapToGrid w:val="0"/>
                <w:color w:val="000000"/>
                <w:kern w:val="0"/>
                <w:sz w:val="24"/>
                <w:szCs w:val="24"/>
                <w:lang w:val="en-US" w:eastAsia="zh-CN" w:bidi="ar-SA"/>
              </w:rPr>
            </w:pPr>
          </w:p>
        </w:tc>
        <w:tc>
          <w:tcPr>
            <w:tcW w:w="814"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snapToGrid w:val="0"/>
                <w:color w:val="000000"/>
                <w:kern w:val="0"/>
                <w:sz w:val="24"/>
                <w:szCs w:val="24"/>
                <w:lang w:val="en-US" w:eastAsia="zh-CN" w:bidi="ar-SA"/>
              </w:rPr>
            </w:pPr>
          </w:p>
        </w:tc>
        <w:tc>
          <w:tcPr>
            <w:tcW w:w="1005"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kern w:val="0"/>
                <w:sz w:val="24"/>
                <w:szCs w:val="24"/>
              </w:rPr>
              <w:t>200</w:t>
            </w:r>
          </w:p>
        </w:tc>
        <w:tc>
          <w:tcPr>
            <w:tcW w:w="816"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kern w:val="0"/>
                <w:sz w:val="24"/>
                <w:szCs w:val="24"/>
                <w:lang w:val="en-US" w:eastAsia="zh-CN"/>
              </w:rPr>
              <w:t>62%</w:t>
            </w:r>
          </w:p>
        </w:tc>
        <w:tc>
          <w:tcPr>
            <w:tcW w:w="106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kern w:val="0"/>
                <w:sz w:val="24"/>
                <w:szCs w:val="24"/>
              </w:rPr>
              <w:t>122.38</w:t>
            </w:r>
          </w:p>
        </w:tc>
        <w:tc>
          <w:tcPr>
            <w:tcW w:w="761"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11" w:type="dxa"/>
            <w:vMerge w:val="continue"/>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911" w:type="dxa"/>
            <w:vMerge w:val="continue"/>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1010" w:type="dxa"/>
            <w:vMerge w:val="restart"/>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工程建设费</w:t>
            </w:r>
          </w:p>
        </w:tc>
        <w:tc>
          <w:tcPr>
            <w:tcW w:w="2772"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村庄内部道路建设</w:t>
            </w:r>
          </w:p>
        </w:tc>
        <w:tc>
          <w:tcPr>
            <w:tcW w:w="651"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69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85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1024"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814"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1005"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816"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106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761"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11" w:type="dxa"/>
            <w:vMerge w:val="continue"/>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911" w:type="dxa"/>
            <w:vMerge w:val="continue"/>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1010" w:type="dxa"/>
            <w:vMerge w:val="continue"/>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2772"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综合性公共服务中心建设</w:t>
            </w:r>
          </w:p>
        </w:tc>
        <w:tc>
          <w:tcPr>
            <w:tcW w:w="651"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69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85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1024"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814"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1005"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816"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106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761"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11" w:type="dxa"/>
            <w:vMerge w:val="continue"/>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911" w:type="dxa"/>
            <w:vMerge w:val="continue"/>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3782" w:type="dxa"/>
            <w:gridSpan w:val="2"/>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工程建设其他费</w:t>
            </w:r>
          </w:p>
        </w:tc>
        <w:tc>
          <w:tcPr>
            <w:tcW w:w="651"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69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85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1024"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814"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1005"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816"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106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761"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11" w:type="dxa"/>
            <w:vMerge w:val="continue"/>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911" w:type="dxa"/>
            <w:vMerge w:val="continue"/>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3782" w:type="dxa"/>
            <w:gridSpan w:val="2"/>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基本预备费</w:t>
            </w:r>
          </w:p>
        </w:tc>
        <w:tc>
          <w:tcPr>
            <w:tcW w:w="651"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bookmarkStart w:id="37" w:name="_GoBack"/>
            <w:bookmarkEnd w:id="37"/>
          </w:p>
        </w:tc>
        <w:tc>
          <w:tcPr>
            <w:tcW w:w="69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85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1024"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814"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1005"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816"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1068"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c>
          <w:tcPr>
            <w:tcW w:w="761" w:type="dxa"/>
            <w:tcMar>
              <w:top w:w="15" w:type="dxa"/>
              <w:left w:w="15" w:type="dxa"/>
              <w:right w:w="15" w:type="dxa"/>
            </w:tcMar>
            <w:vAlign w:val="center"/>
          </w:tcPr>
          <w:p>
            <w:pPr>
              <w:widowControl/>
              <w:snapToGrid w:val="0"/>
              <w:jc w:val="center"/>
              <w:textAlignment w:val="center"/>
              <w:rPr>
                <w:rFonts w:hint="eastAsia" w:ascii="仿宋_GB2312" w:hAnsi="仿宋_GB2312" w:eastAsia="仿宋_GB2312" w:cs="仿宋_GB2312"/>
                <w:kern w:val="0"/>
                <w:sz w:val="24"/>
                <w:szCs w:val="24"/>
              </w:rPr>
            </w:pPr>
          </w:p>
        </w:tc>
      </w:tr>
    </w:tbl>
    <w:p>
      <w:pPr>
        <w:pStyle w:val="2"/>
        <w:ind w:left="0" w:leftChars="0" w:firstLine="0" w:firstLineChars="0"/>
      </w:pPr>
    </w:p>
    <w:sectPr>
      <w:pgSz w:w="16839" w:h="11906" w:orient="landscape"/>
      <w:pgMar w:top="1800" w:right="1440" w:bottom="1800" w:left="1440" w:header="850" w:footer="680"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D6D4411-811E-4C02-A43D-4977D4DBA4BC}"/>
  </w:font>
  <w:font w:name="黑体">
    <w:panose1 w:val="02010609060101010101"/>
    <w:charset w:val="86"/>
    <w:family w:val="auto"/>
    <w:pitch w:val="default"/>
    <w:sig w:usb0="800002BF" w:usb1="38CF7CFA" w:usb2="00000016" w:usb3="00000000" w:csb0="00040001" w:csb1="00000000"/>
    <w:embedRegular r:id="rId2" w:fontKey="{2D8D43FA-8AD0-4FEA-85BB-7B389A9742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965BB9C7-082C-41B4-8ABD-6254E4059B1E}"/>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embedRegular r:id="rId4" w:fontKey="{CBFBFBCF-FBA9-49A0-8345-794F14C417E8}"/>
  </w:font>
  <w:font w:name="楷体_GB2312">
    <w:panose1 w:val="02010609030101010101"/>
    <w:charset w:val="86"/>
    <w:family w:val="auto"/>
    <w:pitch w:val="default"/>
    <w:sig w:usb0="00000001" w:usb1="080E0000" w:usb2="00000000" w:usb3="00000000" w:csb0="00040000" w:csb1="00000000"/>
    <w:embedRegular r:id="rId5" w:fontKey="{5E3A5545-46F7-443A-86DE-9B293650B3A0}"/>
  </w:font>
  <w:font w:name="楷体">
    <w:panose1 w:val="02010609060101010101"/>
    <w:charset w:val="86"/>
    <w:family w:val="auto"/>
    <w:pitch w:val="default"/>
    <w:sig w:usb0="800002BF" w:usb1="38CF7CFA" w:usb2="00000016" w:usb3="00000000" w:csb0="00040001" w:csb1="00000000"/>
    <w:embedRegular r:id="rId6" w:fontKey="{C002F87D-FC07-43FA-BDB5-A061D5069D91}"/>
  </w:font>
  <w:font w:name="方正小标宋简体">
    <w:panose1 w:val="03000509000000000000"/>
    <w:charset w:val="86"/>
    <w:family w:val="script"/>
    <w:pitch w:val="default"/>
    <w:sig w:usb0="00000001" w:usb1="080E0000" w:usb2="00000000" w:usb3="00000000" w:csb0="00040000" w:csb1="00000000"/>
    <w:embedRegular r:id="rId7" w:fontKey="{7F712C30-2F5D-4A7D-A067-D30FA8D4A3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52079388"/>
                            <w:docPartObj>
                              <w:docPartGallery w:val="autotext"/>
                            </w:docPartObj>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352079388"/>
                      <w:docPartObj>
                        <w:docPartGallery w:val="autotext"/>
                      </w:docPartObj>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v:textbox>
            </v:shape>
          </w:pict>
        </mc:Fallback>
      </mc:AlternateContent>
    </w:r>
  </w:p>
  <w:p>
    <w:pPr>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133F65"/>
    <w:multiLevelType w:val="multilevel"/>
    <w:tmpl w:val="57133F65"/>
    <w:lvl w:ilvl="0" w:tentative="0">
      <w:start w:val="1"/>
      <w:numFmt w:val="decimal"/>
      <w:lvlText w:val="第%1章 "/>
      <w:lvlJc w:val="left"/>
      <w:pPr>
        <w:tabs>
          <w:tab w:val="left" w:pos="3260"/>
        </w:tabs>
        <w:ind w:left="3260" w:hanging="425"/>
      </w:pPr>
      <w:rPr>
        <w:rFonts w:hint="eastAsia"/>
      </w:rPr>
    </w:lvl>
    <w:lvl w:ilvl="1" w:tentative="0">
      <w:start w:val="1"/>
      <w:numFmt w:val="decimal"/>
      <w:pStyle w:val="78"/>
      <w:lvlText w:val="%1.%2 "/>
      <w:lvlJc w:val="left"/>
      <w:pPr>
        <w:tabs>
          <w:tab w:val="left" w:pos="567"/>
        </w:tabs>
        <w:ind w:left="567" w:hanging="567"/>
      </w:pPr>
      <w:rPr>
        <w:rFonts w:hint="eastAsia"/>
      </w:rPr>
    </w:lvl>
    <w:lvl w:ilvl="2" w:tentative="0">
      <w:start w:val="1"/>
      <w:numFmt w:val="decimal"/>
      <w:pStyle w:val="79"/>
      <w:lvlText w:val="%1.%2.%3 "/>
      <w:lvlJc w:val="left"/>
      <w:pPr>
        <w:tabs>
          <w:tab w:val="left" w:pos="993"/>
        </w:tabs>
        <w:ind w:left="993" w:hanging="709"/>
      </w:pPr>
      <w:rPr>
        <w:rFonts w:hint="eastAsia"/>
      </w:rPr>
    </w:lvl>
    <w:lvl w:ilvl="3" w:tentative="0">
      <w:start w:val="1"/>
      <w:numFmt w:val="decimal"/>
      <w:pStyle w:val="80"/>
      <w:lvlText w:val="%1.%2.%3.%4 "/>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5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ThkYWMyYjI5YTJhMzJmNzRhMmRkMmFiMDI0MGQ1YTkifQ=="/>
  </w:docVars>
  <w:rsids>
    <w:rsidRoot w:val="00BD4E1D"/>
    <w:rsid w:val="00001CBD"/>
    <w:rsid w:val="00003AA6"/>
    <w:rsid w:val="00003FC6"/>
    <w:rsid w:val="00006937"/>
    <w:rsid w:val="00010A7D"/>
    <w:rsid w:val="00012A9B"/>
    <w:rsid w:val="0002383D"/>
    <w:rsid w:val="00023A15"/>
    <w:rsid w:val="00024B17"/>
    <w:rsid w:val="0003167B"/>
    <w:rsid w:val="00033AA4"/>
    <w:rsid w:val="0003601F"/>
    <w:rsid w:val="0004602E"/>
    <w:rsid w:val="0004784E"/>
    <w:rsid w:val="00053FEB"/>
    <w:rsid w:val="000559D9"/>
    <w:rsid w:val="000560AA"/>
    <w:rsid w:val="00061AC4"/>
    <w:rsid w:val="00066EBD"/>
    <w:rsid w:val="00067B6A"/>
    <w:rsid w:val="000741E1"/>
    <w:rsid w:val="00075308"/>
    <w:rsid w:val="00082472"/>
    <w:rsid w:val="000835E8"/>
    <w:rsid w:val="00090C3D"/>
    <w:rsid w:val="000A67D0"/>
    <w:rsid w:val="000A6F57"/>
    <w:rsid w:val="000B0237"/>
    <w:rsid w:val="000C0E06"/>
    <w:rsid w:val="000C35A3"/>
    <w:rsid w:val="000C3945"/>
    <w:rsid w:val="000C71C2"/>
    <w:rsid w:val="000E5FDE"/>
    <w:rsid w:val="000F7077"/>
    <w:rsid w:val="00101A47"/>
    <w:rsid w:val="00103D66"/>
    <w:rsid w:val="00105CF7"/>
    <w:rsid w:val="0011070C"/>
    <w:rsid w:val="00111D45"/>
    <w:rsid w:val="001346C3"/>
    <w:rsid w:val="00137353"/>
    <w:rsid w:val="0014174A"/>
    <w:rsid w:val="00141D37"/>
    <w:rsid w:val="00142358"/>
    <w:rsid w:val="00142A7E"/>
    <w:rsid w:val="00145BE0"/>
    <w:rsid w:val="00151E9B"/>
    <w:rsid w:val="00164537"/>
    <w:rsid w:val="00191BAE"/>
    <w:rsid w:val="0019536C"/>
    <w:rsid w:val="0019658E"/>
    <w:rsid w:val="00197ADF"/>
    <w:rsid w:val="001A220C"/>
    <w:rsid w:val="001B0156"/>
    <w:rsid w:val="001C01F1"/>
    <w:rsid w:val="001D4F9E"/>
    <w:rsid w:val="001E1808"/>
    <w:rsid w:val="001E6A2B"/>
    <w:rsid w:val="001F010D"/>
    <w:rsid w:val="001F5777"/>
    <w:rsid w:val="0020609D"/>
    <w:rsid w:val="002143AB"/>
    <w:rsid w:val="00227675"/>
    <w:rsid w:val="00231B31"/>
    <w:rsid w:val="00240ACA"/>
    <w:rsid w:val="00240EEF"/>
    <w:rsid w:val="00241E1B"/>
    <w:rsid w:val="00247309"/>
    <w:rsid w:val="002512C2"/>
    <w:rsid w:val="002519B6"/>
    <w:rsid w:val="002644C7"/>
    <w:rsid w:val="00265B1E"/>
    <w:rsid w:val="00266491"/>
    <w:rsid w:val="002818B0"/>
    <w:rsid w:val="00284F13"/>
    <w:rsid w:val="0028617E"/>
    <w:rsid w:val="00292E26"/>
    <w:rsid w:val="00296CD7"/>
    <w:rsid w:val="00296E86"/>
    <w:rsid w:val="002A43A7"/>
    <w:rsid w:val="002A68BE"/>
    <w:rsid w:val="002B031C"/>
    <w:rsid w:val="002B146D"/>
    <w:rsid w:val="002B36C8"/>
    <w:rsid w:val="002C285C"/>
    <w:rsid w:val="002D10F1"/>
    <w:rsid w:val="002D2402"/>
    <w:rsid w:val="002E1824"/>
    <w:rsid w:val="002E6021"/>
    <w:rsid w:val="002F14F8"/>
    <w:rsid w:val="002F4D68"/>
    <w:rsid w:val="00300839"/>
    <w:rsid w:val="003061B4"/>
    <w:rsid w:val="003065A5"/>
    <w:rsid w:val="003121EC"/>
    <w:rsid w:val="00317BBD"/>
    <w:rsid w:val="00323CBE"/>
    <w:rsid w:val="003254B7"/>
    <w:rsid w:val="00327277"/>
    <w:rsid w:val="00331D99"/>
    <w:rsid w:val="00332EB8"/>
    <w:rsid w:val="00335BB9"/>
    <w:rsid w:val="00343D26"/>
    <w:rsid w:val="00356E5E"/>
    <w:rsid w:val="003623BC"/>
    <w:rsid w:val="00365C3C"/>
    <w:rsid w:val="00366231"/>
    <w:rsid w:val="00367447"/>
    <w:rsid w:val="00373C6A"/>
    <w:rsid w:val="00387292"/>
    <w:rsid w:val="003874A1"/>
    <w:rsid w:val="0039264E"/>
    <w:rsid w:val="003944AD"/>
    <w:rsid w:val="0039494D"/>
    <w:rsid w:val="003A00AA"/>
    <w:rsid w:val="003A66F7"/>
    <w:rsid w:val="003C4533"/>
    <w:rsid w:val="003C56B7"/>
    <w:rsid w:val="003D19A5"/>
    <w:rsid w:val="003D23D7"/>
    <w:rsid w:val="003D5C5D"/>
    <w:rsid w:val="003E1A46"/>
    <w:rsid w:val="003E2156"/>
    <w:rsid w:val="003E500C"/>
    <w:rsid w:val="003F303E"/>
    <w:rsid w:val="003F6E29"/>
    <w:rsid w:val="003F72C5"/>
    <w:rsid w:val="004024C3"/>
    <w:rsid w:val="004040C5"/>
    <w:rsid w:val="00411545"/>
    <w:rsid w:val="00412D93"/>
    <w:rsid w:val="00414358"/>
    <w:rsid w:val="004167BA"/>
    <w:rsid w:val="00421324"/>
    <w:rsid w:val="00422190"/>
    <w:rsid w:val="00423BD0"/>
    <w:rsid w:val="0042529D"/>
    <w:rsid w:val="004315ED"/>
    <w:rsid w:val="00433A3F"/>
    <w:rsid w:val="00433CE7"/>
    <w:rsid w:val="004340FD"/>
    <w:rsid w:val="0043649D"/>
    <w:rsid w:val="00441EF2"/>
    <w:rsid w:val="004420B5"/>
    <w:rsid w:val="00443845"/>
    <w:rsid w:val="00451C9A"/>
    <w:rsid w:val="0045589F"/>
    <w:rsid w:val="00461D6B"/>
    <w:rsid w:val="00462485"/>
    <w:rsid w:val="00464C8B"/>
    <w:rsid w:val="00481B84"/>
    <w:rsid w:val="00486437"/>
    <w:rsid w:val="004865D2"/>
    <w:rsid w:val="004A1637"/>
    <w:rsid w:val="004A3FD1"/>
    <w:rsid w:val="004A4699"/>
    <w:rsid w:val="004A5188"/>
    <w:rsid w:val="004A601F"/>
    <w:rsid w:val="004B19F1"/>
    <w:rsid w:val="004B1B2D"/>
    <w:rsid w:val="004B2F0D"/>
    <w:rsid w:val="004C5D2D"/>
    <w:rsid w:val="004C5EAD"/>
    <w:rsid w:val="004D364B"/>
    <w:rsid w:val="004D6E04"/>
    <w:rsid w:val="004E6761"/>
    <w:rsid w:val="005026C4"/>
    <w:rsid w:val="00504E27"/>
    <w:rsid w:val="00505146"/>
    <w:rsid w:val="0050762A"/>
    <w:rsid w:val="00513019"/>
    <w:rsid w:val="00513F40"/>
    <w:rsid w:val="00514D6F"/>
    <w:rsid w:val="00515A18"/>
    <w:rsid w:val="0052549D"/>
    <w:rsid w:val="0052643C"/>
    <w:rsid w:val="00533B54"/>
    <w:rsid w:val="00536503"/>
    <w:rsid w:val="00554024"/>
    <w:rsid w:val="005543CF"/>
    <w:rsid w:val="00566C9A"/>
    <w:rsid w:val="00581301"/>
    <w:rsid w:val="00581B58"/>
    <w:rsid w:val="005A3CEE"/>
    <w:rsid w:val="005A7DE8"/>
    <w:rsid w:val="005B217A"/>
    <w:rsid w:val="005B2EA5"/>
    <w:rsid w:val="005B44B9"/>
    <w:rsid w:val="005B4525"/>
    <w:rsid w:val="005B759B"/>
    <w:rsid w:val="005B7CBB"/>
    <w:rsid w:val="005E3D3B"/>
    <w:rsid w:val="005F64F4"/>
    <w:rsid w:val="00600D43"/>
    <w:rsid w:val="0060232E"/>
    <w:rsid w:val="00607319"/>
    <w:rsid w:val="006108EB"/>
    <w:rsid w:val="00612F08"/>
    <w:rsid w:val="00614060"/>
    <w:rsid w:val="0061447B"/>
    <w:rsid w:val="00620327"/>
    <w:rsid w:val="0063501C"/>
    <w:rsid w:val="00644584"/>
    <w:rsid w:val="00645A3D"/>
    <w:rsid w:val="006546AC"/>
    <w:rsid w:val="00654778"/>
    <w:rsid w:val="006621BE"/>
    <w:rsid w:val="00665D1D"/>
    <w:rsid w:val="006719EF"/>
    <w:rsid w:val="006734F3"/>
    <w:rsid w:val="00673B03"/>
    <w:rsid w:val="0068353D"/>
    <w:rsid w:val="0069216A"/>
    <w:rsid w:val="006A30C2"/>
    <w:rsid w:val="006A34B8"/>
    <w:rsid w:val="006A36DC"/>
    <w:rsid w:val="006A38F8"/>
    <w:rsid w:val="006B2ACF"/>
    <w:rsid w:val="006B7B5F"/>
    <w:rsid w:val="006D59F2"/>
    <w:rsid w:val="006D7EF8"/>
    <w:rsid w:val="006E2E22"/>
    <w:rsid w:val="006E34F0"/>
    <w:rsid w:val="006E7733"/>
    <w:rsid w:val="006F3D3F"/>
    <w:rsid w:val="0070532C"/>
    <w:rsid w:val="0071364A"/>
    <w:rsid w:val="00713EF9"/>
    <w:rsid w:val="00715D78"/>
    <w:rsid w:val="0071643A"/>
    <w:rsid w:val="00716D75"/>
    <w:rsid w:val="00721DC7"/>
    <w:rsid w:val="007222DF"/>
    <w:rsid w:val="007232B4"/>
    <w:rsid w:val="007272DC"/>
    <w:rsid w:val="00732A2C"/>
    <w:rsid w:val="0074280D"/>
    <w:rsid w:val="0074601F"/>
    <w:rsid w:val="00752683"/>
    <w:rsid w:val="0076535A"/>
    <w:rsid w:val="00774FCA"/>
    <w:rsid w:val="00775348"/>
    <w:rsid w:val="007779BC"/>
    <w:rsid w:val="00783096"/>
    <w:rsid w:val="00783FC5"/>
    <w:rsid w:val="00796855"/>
    <w:rsid w:val="00797859"/>
    <w:rsid w:val="007A0F17"/>
    <w:rsid w:val="007A1FA6"/>
    <w:rsid w:val="007B70AB"/>
    <w:rsid w:val="007C4C7E"/>
    <w:rsid w:val="007D1EF8"/>
    <w:rsid w:val="007D4D6E"/>
    <w:rsid w:val="007D7629"/>
    <w:rsid w:val="007E178E"/>
    <w:rsid w:val="007E457A"/>
    <w:rsid w:val="007F32E1"/>
    <w:rsid w:val="007F4341"/>
    <w:rsid w:val="007F7BE9"/>
    <w:rsid w:val="00803B23"/>
    <w:rsid w:val="0080554D"/>
    <w:rsid w:val="00811969"/>
    <w:rsid w:val="00811A01"/>
    <w:rsid w:val="00812440"/>
    <w:rsid w:val="008131E0"/>
    <w:rsid w:val="00837D2E"/>
    <w:rsid w:val="008503B0"/>
    <w:rsid w:val="008567AB"/>
    <w:rsid w:val="00856D6C"/>
    <w:rsid w:val="008654DF"/>
    <w:rsid w:val="00866B8D"/>
    <w:rsid w:val="00866F5D"/>
    <w:rsid w:val="00867614"/>
    <w:rsid w:val="00870B58"/>
    <w:rsid w:val="0087208F"/>
    <w:rsid w:val="00873E85"/>
    <w:rsid w:val="00874F46"/>
    <w:rsid w:val="0087524C"/>
    <w:rsid w:val="008757AB"/>
    <w:rsid w:val="00880E6A"/>
    <w:rsid w:val="00881698"/>
    <w:rsid w:val="00881CEC"/>
    <w:rsid w:val="00883A91"/>
    <w:rsid w:val="00891FC9"/>
    <w:rsid w:val="008928AE"/>
    <w:rsid w:val="00892ECB"/>
    <w:rsid w:val="00893329"/>
    <w:rsid w:val="00893856"/>
    <w:rsid w:val="00893C1E"/>
    <w:rsid w:val="008A27FC"/>
    <w:rsid w:val="008B7EFF"/>
    <w:rsid w:val="008C0459"/>
    <w:rsid w:val="008C1697"/>
    <w:rsid w:val="008C2769"/>
    <w:rsid w:val="008C7749"/>
    <w:rsid w:val="008D1D65"/>
    <w:rsid w:val="008D35E5"/>
    <w:rsid w:val="008E0CC6"/>
    <w:rsid w:val="008E4870"/>
    <w:rsid w:val="008E506D"/>
    <w:rsid w:val="008E60B7"/>
    <w:rsid w:val="008E636A"/>
    <w:rsid w:val="0090591C"/>
    <w:rsid w:val="00921989"/>
    <w:rsid w:val="00921C6A"/>
    <w:rsid w:val="0092566E"/>
    <w:rsid w:val="00925CBD"/>
    <w:rsid w:val="00933A7C"/>
    <w:rsid w:val="00941029"/>
    <w:rsid w:val="009430D2"/>
    <w:rsid w:val="00950F57"/>
    <w:rsid w:val="00953459"/>
    <w:rsid w:val="00956ED7"/>
    <w:rsid w:val="009570E7"/>
    <w:rsid w:val="00974A7E"/>
    <w:rsid w:val="0097630F"/>
    <w:rsid w:val="00983633"/>
    <w:rsid w:val="009970BE"/>
    <w:rsid w:val="00997CBB"/>
    <w:rsid w:val="009A03CB"/>
    <w:rsid w:val="009A3C5E"/>
    <w:rsid w:val="009A40C7"/>
    <w:rsid w:val="009B1126"/>
    <w:rsid w:val="009B3373"/>
    <w:rsid w:val="009B43FD"/>
    <w:rsid w:val="009B5697"/>
    <w:rsid w:val="009C50D1"/>
    <w:rsid w:val="009C60D3"/>
    <w:rsid w:val="009C712C"/>
    <w:rsid w:val="009E6793"/>
    <w:rsid w:val="009F2FB8"/>
    <w:rsid w:val="00A03578"/>
    <w:rsid w:val="00A10006"/>
    <w:rsid w:val="00A133D7"/>
    <w:rsid w:val="00A147B1"/>
    <w:rsid w:val="00A264D3"/>
    <w:rsid w:val="00A35F0D"/>
    <w:rsid w:val="00A36B2A"/>
    <w:rsid w:val="00A40265"/>
    <w:rsid w:val="00A57BD4"/>
    <w:rsid w:val="00A626F8"/>
    <w:rsid w:val="00A64E00"/>
    <w:rsid w:val="00A6579C"/>
    <w:rsid w:val="00A65C16"/>
    <w:rsid w:val="00A70C11"/>
    <w:rsid w:val="00A7186F"/>
    <w:rsid w:val="00A76A0A"/>
    <w:rsid w:val="00A80B8B"/>
    <w:rsid w:val="00A8390A"/>
    <w:rsid w:val="00A857A3"/>
    <w:rsid w:val="00A9150F"/>
    <w:rsid w:val="00A91862"/>
    <w:rsid w:val="00A9301D"/>
    <w:rsid w:val="00AB1A5F"/>
    <w:rsid w:val="00AB2872"/>
    <w:rsid w:val="00AB2DEE"/>
    <w:rsid w:val="00AB4E54"/>
    <w:rsid w:val="00AB5796"/>
    <w:rsid w:val="00AC41E5"/>
    <w:rsid w:val="00AC5D44"/>
    <w:rsid w:val="00AD4843"/>
    <w:rsid w:val="00AE6163"/>
    <w:rsid w:val="00AF57EE"/>
    <w:rsid w:val="00B112E3"/>
    <w:rsid w:val="00B1527F"/>
    <w:rsid w:val="00B224B3"/>
    <w:rsid w:val="00B23C81"/>
    <w:rsid w:val="00B24CD0"/>
    <w:rsid w:val="00B260F0"/>
    <w:rsid w:val="00B27522"/>
    <w:rsid w:val="00B335A2"/>
    <w:rsid w:val="00B34ABD"/>
    <w:rsid w:val="00B35DA2"/>
    <w:rsid w:val="00B36ECF"/>
    <w:rsid w:val="00B47E86"/>
    <w:rsid w:val="00B52193"/>
    <w:rsid w:val="00B57891"/>
    <w:rsid w:val="00B63AB8"/>
    <w:rsid w:val="00B63D9E"/>
    <w:rsid w:val="00B6554A"/>
    <w:rsid w:val="00B67122"/>
    <w:rsid w:val="00B83E4F"/>
    <w:rsid w:val="00B846D9"/>
    <w:rsid w:val="00B9338A"/>
    <w:rsid w:val="00B93E44"/>
    <w:rsid w:val="00BA0F6E"/>
    <w:rsid w:val="00BA3F5C"/>
    <w:rsid w:val="00BB0787"/>
    <w:rsid w:val="00BB662B"/>
    <w:rsid w:val="00BD1387"/>
    <w:rsid w:val="00BD4E1D"/>
    <w:rsid w:val="00BF0669"/>
    <w:rsid w:val="00BF4642"/>
    <w:rsid w:val="00C0647F"/>
    <w:rsid w:val="00C179C9"/>
    <w:rsid w:val="00C27DEB"/>
    <w:rsid w:val="00C33D5D"/>
    <w:rsid w:val="00C341D5"/>
    <w:rsid w:val="00C430A8"/>
    <w:rsid w:val="00C57708"/>
    <w:rsid w:val="00C62CE0"/>
    <w:rsid w:val="00C64E22"/>
    <w:rsid w:val="00C71948"/>
    <w:rsid w:val="00C737E7"/>
    <w:rsid w:val="00C75937"/>
    <w:rsid w:val="00C856C3"/>
    <w:rsid w:val="00C91351"/>
    <w:rsid w:val="00C93C62"/>
    <w:rsid w:val="00C9429D"/>
    <w:rsid w:val="00CA24BF"/>
    <w:rsid w:val="00CA3C54"/>
    <w:rsid w:val="00CA6C7F"/>
    <w:rsid w:val="00CB2588"/>
    <w:rsid w:val="00CC6842"/>
    <w:rsid w:val="00CC6C9B"/>
    <w:rsid w:val="00CD409C"/>
    <w:rsid w:val="00CD4F61"/>
    <w:rsid w:val="00CE5545"/>
    <w:rsid w:val="00CF381E"/>
    <w:rsid w:val="00CF5B80"/>
    <w:rsid w:val="00D05D77"/>
    <w:rsid w:val="00D106D9"/>
    <w:rsid w:val="00D11CBF"/>
    <w:rsid w:val="00D1479B"/>
    <w:rsid w:val="00D2302E"/>
    <w:rsid w:val="00D242C7"/>
    <w:rsid w:val="00D25D13"/>
    <w:rsid w:val="00D30ECE"/>
    <w:rsid w:val="00D40F71"/>
    <w:rsid w:val="00D54158"/>
    <w:rsid w:val="00D541F0"/>
    <w:rsid w:val="00D6120C"/>
    <w:rsid w:val="00D6364F"/>
    <w:rsid w:val="00D66B6E"/>
    <w:rsid w:val="00D720F7"/>
    <w:rsid w:val="00D92638"/>
    <w:rsid w:val="00D928B5"/>
    <w:rsid w:val="00DA5EDF"/>
    <w:rsid w:val="00DA7DB9"/>
    <w:rsid w:val="00DB5FF5"/>
    <w:rsid w:val="00DC22D2"/>
    <w:rsid w:val="00DC6955"/>
    <w:rsid w:val="00DD0F04"/>
    <w:rsid w:val="00DD27D3"/>
    <w:rsid w:val="00DD4593"/>
    <w:rsid w:val="00DD4CEB"/>
    <w:rsid w:val="00DD6441"/>
    <w:rsid w:val="00DE0F17"/>
    <w:rsid w:val="00DE7466"/>
    <w:rsid w:val="00DF1BC3"/>
    <w:rsid w:val="00E0047C"/>
    <w:rsid w:val="00E06291"/>
    <w:rsid w:val="00E210C2"/>
    <w:rsid w:val="00E240D1"/>
    <w:rsid w:val="00E2679B"/>
    <w:rsid w:val="00E26BA3"/>
    <w:rsid w:val="00E34D9F"/>
    <w:rsid w:val="00E34F5B"/>
    <w:rsid w:val="00E3535A"/>
    <w:rsid w:val="00E4310B"/>
    <w:rsid w:val="00E54C6A"/>
    <w:rsid w:val="00E55853"/>
    <w:rsid w:val="00E60FCF"/>
    <w:rsid w:val="00E66F4A"/>
    <w:rsid w:val="00E67462"/>
    <w:rsid w:val="00E766F8"/>
    <w:rsid w:val="00E80C66"/>
    <w:rsid w:val="00E83158"/>
    <w:rsid w:val="00E90B96"/>
    <w:rsid w:val="00E9393B"/>
    <w:rsid w:val="00E93F1F"/>
    <w:rsid w:val="00EA0C51"/>
    <w:rsid w:val="00EB3801"/>
    <w:rsid w:val="00EB6781"/>
    <w:rsid w:val="00EC38B9"/>
    <w:rsid w:val="00ED1AC7"/>
    <w:rsid w:val="00ED3EE4"/>
    <w:rsid w:val="00ED653C"/>
    <w:rsid w:val="00ED6CA8"/>
    <w:rsid w:val="00ED6DA0"/>
    <w:rsid w:val="00EE029F"/>
    <w:rsid w:val="00EE211E"/>
    <w:rsid w:val="00EE224E"/>
    <w:rsid w:val="00EF24F7"/>
    <w:rsid w:val="00EF5540"/>
    <w:rsid w:val="00EF6039"/>
    <w:rsid w:val="00F0288A"/>
    <w:rsid w:val="00F05AE4"/>
    <w:rsid w:val="00F0684E"/>
    <w:rsid w:val="00F10C13"/>
    <w:rsid w:val="00F11AB5"/>
    <w:rsid w:val="00F16104"/>
    <w:rsid w:val="00F242F5"/>
    <w:rsid w:val="00F4017A"/>
    <w:rsid w:val="00F44522"/>
    <w:rsid w:val="00F52BF1"/>
    <w:rsid w:val="00F5307B"/>
    <w:rsid w:val="00F62950"/>
    <w:rsid w:val="00F62C57"/>
    <w:rsid w:val="00F62EC3"/>
    <w:rsid w:val="00F7614B"/>
    <w:rsid w:val="00F87039"/>
    <w:rsid w:val="00F9213C"/>
    <w:rsid w:val="00FA1139"/>
    <w:rsid w:val="00FA1343"/>
    <w:rsid w:val="00FA5943"/>
    <w:rsid w:val="00FB1636"/>
    <w:rsid w:val="00FB5F54"/>
    <w:rsid w:val="00FC0DD1"/>
    <w:rsid w:val="00FC3DFD"/>
    <w:rsid w:val="00FD3400"/>
    <w:rsid w:val="00FD3CFD"/>
    <w:rsid w:val="00FE06E1"/>
    <w:rsid w:val="00FE1223"/>
    <w:rsid w:val="00FE2026"/>
    <w:rsid w:val="00FE3A82"/>
    <w:rsid w:val="00FE7A69"/>
    <w:rsid w:val="00FF04FD"/>
    <w:rsid w:val="00FF0DAC"/>
    <w:rsid w:val="00FF2B95"/>
    <w:rsid w:val="00FF5ED3"/>
    <w:rsid w:val="016440BE"/>
    <w:rsid w:val="02C63B24"/>
    <w:rsid w:val="03664DD8"/>
    <w:rsid w:val="04EA4B05"/>
    <w:rsid w:val="052D0E6D"/>
    <w:rsid w:val="05E86423"/>
    <w:rsid w:val="07592A82"/>
    <w:rsid w:val="07C45C3D"/>
    <w:rsid w:val="098B5AF5"/>
    <w:rsid w:val="0B7057D7"/>
    <w:rsid w:val="0D3D30C3"/>
    <w:rsid w:val="0F8120BC"/>
    <w:rsid w:val="0FC92956"/>
    <w:rsid w:val="10A26577"/>
    <w:rsid w:val="11F0594A"/>
    <w:rsid w:val="12906AB9"/>
    <w:rsid w:val="13EC397C"/>
    <w:rsid w:val="143376FC"/>
    <w:rsid w:val="16443216"/>
    <w:rsid w:val="16511864"/>
    <w:rsid w:val="18020A33"/>
    <w:rsid w:val="1A04743A"/>
    <w:rsid w:val="1BC32B5E"/>
    <w:rsid w:val="1BD87507"/>
    <w:rsid w:val="1D62473E"/>
    <w:rsid w:val="1D7E7C3A"/>
    <w:rsid w:val="1E5135A1"/>
    <w:rsid w:val="1E7D6144"/>
    <w:rsid w:val="1FA25590"/>
    <w:rsid w:val="204F0863"/>
    <w:rsid w:val="2374763F"/>
    <w:rsid w:val="24EF7670"/>
    <w:rsid w:val="266D3D2B"/>
    <w:rsid w:val="26B97F35"/>
    <w:rsid w:val="27E0036F"/>
    <w:rsid w:val="282C1A02"/>
    <w:rsid w:val="28AE7FDE"/>
    <w:rsid w:val="298375F6"/>
    <w:rsid w:val="2A111F34"/>
    <w:rsid w:val="2AE06451"/>
    <w:rsid w:val="2B19140A"/>
    <w:rsid w:val="2B365A13"/>
    <w:rsid w:val="2D9703F7"/>
    <w:rsid w:val="2E635703"/>
    <w:rsid w:val="2F08202E"/>
    <w:rsid w:val="2FEC7542"/>
    <w:rsid w:val="300417D3"/>
    <w:rsid w:val="30195EF5"/>
    <w:rsid w:val="304D5DDD"/>
    <w:rsid w:val="30CB4750"/>
    <w:rsid w:val="30F474B4"/>
    <w:rsid w:val="32166B52"/>
    <w:rsid w:val="321759BB"/>
    <w:rsid w:val="32207535"/>
    <w:rsid w:val="32223D4C"/>
    <w:rsid w:val="32252D49"/>
    <w:rsid w:val="33CE6038"/>
    <w:rsid w:val="36273F45"/>
    <w:rsid w:val="36FB0144"/>
    <w:rsid w:val="39F340FC"/>
    <w:rsid w:val="3C297AE3"/>
    <w:rsid w:val="3DDC4907"/>
    <w:rsid w:val="3E6C0687"/>
    <w:rsid w:val="3F8F6F0E"/>
    <w:rsid w:val="3FAE47C2"/>
    <w:rsid w:val="41016749"/>
    <w:rsid w:val="44C23650"/>
    <w:rsid w:val="45007B43"/>
    <w:rsid w:val="46AB6D3D"/>
    <w:rsid w:val="49BF4FB3"/>
    <w:rsid w:val="49F148BF"/>
    <w:rsid w:val="4A443E36"/>
    <w:rsid w:val="4A9D5841"/>
    <w:rsid w:val="4A9E765B"/>
    <w:rsid w:val="4ACF18A8"/>
    <w:rsid w:val="4AD856DA"/>
    <w:rsid w:val="4BD73B3D"/>
    <w:rsid w:val="4D943478"/>
    <w:rsid w:val="4DD216B9"/>
    <w:rsid w:val="4EAB310E"/>
    <w:rsid w:val="4EDF3EA3"/>
    <w:rsid w:val="5133287B"/>
    <w:rsid w:val="51537FAF"/>
    <w:rsid w:val="51CE2237"/>
    <w:rsid w:val="523D3438"/>
    <w:rsid w:val="52A61715"/>
    <w:rsid w:val="52AE35F5"/>
    <w:rsid w:val="551708B8"/>
    <w:rsid w:val="57083473"/>
    <w:rsid w:val="5759430A"/>
    <w:rsid w:val="58497766"/>
    <w:rsid w:val="58674472"/>
    <w:rsid w:val="5D997080"/>
    <w:rsid w:val="5DBC7D30"/>
    <w:rsid w:val="5F8F5798"/>
    <w:rsid w:val="5FE71255"/>
    <w:rsid w:val="5FF6617D"/>
    <w:rsid w:val="611C5F5F"/>
    <w:rsid w:val="620F7077"/>
    <w:rsid w:val="62E93766"/>
    <w:rsid w:val="65E55EB8"/>
    <w:rsid w:val="665D25B4"/>
    <w:rsid w:val="682C0298"/>
    <w:rsid w:val="688D12AD"/>
    <w:rsid w:val="68C047A6"/>
    <w:rsid w:val="6AB904E6"/>
    <w:rsid w:val="6AF80A43"/>
    <w:rsid w:val="6DD513B7"/>
    <w:rsid w:val="6FCD7A7D"/>
    <w:rsid w:val="701E04B1"/>
    <w:rsid w:val="710917BE"/>
    <w:rsid w:val="714D4BC3"/>
    <w:rsid w:val="724E7BA5"/>
    <w:rsid w:val="72D017FE"/>
    <w:rsid w:val="74DC2328"/>
    <w:rsid w:val="76CC5798"/>
    <w:rsid w:val="76D11704"/>
    <w:rsid w:val="77A04A63"/>
    <w:rsid w:val="7A3B5BF2"/>
    <w:rsid w:val="7A622A67"/>
    <w:rsid w:val="7BE67FFA"/>
    <w:rsid w:val="7C53444F"/>
    <w:rsid w:val="7D133C7D"/>
    <w:rsid w:val="7D7111E2"/>
    <w:rsid w:val="7DB0768F"/>
    <w:rsid w:val="7E9136B4"/>
    <w:rsid w:val="7EB20CD7"/>
    <w:rsid w:val="7FD14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9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4">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3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0"/>
    <w:unhideWhenUsed/>
    <w:qFormat/>
    <w:uiPriority w:val="0"/>
    <w:pPr>
      <w:keepNext/>
      <w:keepLines/>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widowControl/>
      <w:spacing w:line="360" w:lineRule="auto"/>
      <w:ind w:left="492"/>
      <w:jc w:val="left"/>
    </w:pPr>
    <w:rPr>
      <w:rFonts w:ascii="仿宋_GB2312" w:hAnsi="宋体" w:eastAsia="仿宋_GB2312"/>
      <w:color w:val="000000"/>
      <w:kern w:val="0"/>
      <w:sz w:val="30"/>
    </w:rPr>
  </w:style>
  <w:style w:type="paragraph" w:styleId="7">
    <w:name w:val="toc 7"/>
    <w:basedOn w:val="1"/>
    <w:next w:val="1"/>
    <w:unhideWhenUsed/>
    <w:qFormat/>
    <w:uiPriority w:val="39"/>
    <w:pPr>
      <w:widowControl w:val="0"/>
      <w:kinsoku/>
      <w:autoSpaceDE/>
      <w:autoSpaceDN/>
      <w:adjustRightInd/>
      <w:snapToGrid/>
      <w:ind w:left="2520" w:leftChars="1200"/>
      <w:jc w:val="both"/>
      <w:textAlignment w:val="auto"/>
    </w:pPr>
    <w:rPr>
      <w:rFonts w:asciiTheme="minorHAnsi" w:hAnsiTheme="minorHAnsi" w:eastAsiaTheme="minorEastAsia" w:cstheme="minorBidi"/>
      <w:snapToGrid/>
      <w:color w:val="auto"/>
      <w:kern w:val="2"/>
      <w:szCs w:val="22"/>
    </w:rPr>
  </w:style>
  <w:style w:type="paragraph" w:styleId="8">
    <w:name w:val="annotation text"/>
    <w:basedOn w:val="1"/>
    <w:link w:val="68"/>
    <w:qFormat/>
    <w:uiPriority w:val="0"/>
  </w:style>
  <w:style w:type="paragraph" w:styleId="9">
    <w:name w:val="Body Text"/>
    <w:basedOn w:val="1"/>
    <w:next w:val="10"/>
    <w:link w:val="38"/>
    <w:qFormat/>
    <w:uiPriority w:val="0"/>
    <w:pPr>
      <w:kinsoku/>
      <w:autoSpaceDE/>
      <w:autoSpaceDN/>
      <w:adjustRightInd/>
      <w:snapToGrid/>
      <w:spacing w:line="360" w:lineRule="auto"/>
      <w:ind w:firstLine="200" w:firstLineChars="200"/>
      <w:jc w:val="both"/>
      <w:textAlignment w:val="auto"/>
    </w:pPr>
    <w:rPr>
      <w:rFonts w:ascii="Times New Roman" w:hAnsi="Times New Roman" w:eastAsia="仿宋" w:cstheme="minorBidi"/>
      <w:snapToGrid/>
      <w:color w:val="auto"/>
      <w:sz w:val="28"/>
      <w:szCs w:val="28"/>
    </w:rPr>
  </w:style>
  <w:style w:type="paragraph" w:styleId="10">
    <w:name w:val="toc 5"/>
    <w:basedOn w:val="1"/>
    <w:next w:val="1"/>
    <w:unhideWhenUsed/>
    <w:qFormat/>
    <w:uiPriority w:val="39"/>
    <w:pPr>
      <w:widowControl w:val="0"/>
      <w:kinsoku/>
      <w:autoSpaceDE/>
      <w:autoSpaceDN/>
      <w:adjustRightInd/>
      <w:snapToGrid/>
      <w:ind w:left="1680" w:leftChars="800"/>
      <w:jc w:val="both"/>
      <w:textAlignment w:val="auto"/>
    </w:pPr>
    <w:rPr>
      <w:rFonts w:asciiTheme="minorHAnsi" w:hAnsiTheme="minorHAnsi" w:eastAsiaTheme="minorEastAsia" w:cstheme="minorBidi"/>
      <w:snapToGrid/>
      <w:color w:val="auto"/>
      <w:kern w:val="2"/>
      <w:szCs w:val="22"/>
    </w:rPr>
  </w:style>
  <w:style w:type="paragraph" w:styleId="11">
    <w:name w:val="toc 3"/>
    <w:basedOn w:val="1"/>
    <w:next w:val="1"/>
    <w:qFormat/>
    <w:uiPriority w:val="39"/>
    <w:pPr>
      <w:ind w:left="840" w:leftChars="400"/>
    </w:pPr>
  </w:style>
  <w:style w:type="paragraph" w:styleId="12">
    <w:name w:val="Plain Text"/>
    <w:basedOn w:val="1"/>
    <w:link w:val="75"/>
    <w:qFormat/>
    <w:uiPriority w:val="0"/>
    <w:pPr>
      <w:widowControl w:val="0"/>
      <w:kinsoku/>
      <w:autoSpaceDE/>
      <w:autoSpaceDN/>
      <w:adjustRightInd/>
      <w:snapToGrid/>
      <w:jc w:val="both"/>
      <w:textAlignment w:val="auto"/>
    </w:pPr>
    <w:rPr>
      <w:rFonts w:ascii="宋体" w:hAnsi="Courier New" w:eastAsia="宋体" w:cs="Times New Roman"/>
      <w:snapToGrid/>
      <w:color w:val="auto"/>
      <w:kern w:val="2"/>
      <w:szCs w:val="20"/>
    </w:rPr>
  </w:style>
  <w:style w:type="paragraph" w:styleId="13">
    <w:name w:val="toc 8"/>
    <w:basedOn w:val="1"/>
    <w:next w:val="1"/>
    <w:unhideWhenUsed/>
    <w:qFormat/>
    <w:uiPriority w:val="39"/>
    <w:pPr>
      <w:widowControl w:val="0"/>
      <w:kinsoku/>
      <w:autoSpaceDE/>
      <w:autoSpaceDN/>
      <w:adjustRightInd/>
      <w:snapToGrid/>
      <w:ind w:left="2940" w:leftChars="1400"/>
      <w:jc w:val="both"/>
      <w:textAlignment w:val="auto"/>
    </w:pPr>
    <w:rPr>
      <w:rFonts w:asciiTheme="minorHAnsi" w:hAnsiTheme="minorHAnsi" w:eastAsiaTheme="minorEastAsia" w:cstheme="minorBidi"/>
      <w:snapToGrid/>
      <w:color w:val="auto"/>
      <w:kern w:val="2"/>
      <w:szCs w:val="22"/>
    </w:rPr>
  </w:style>
  <w:style w:type="paragraph" w:styleId="14">
    <w:name w:val="footer"/>
    <w:basedOn w:val="1"/>
    <w:link w:val="32"/>
    <w:qFormat/>
    <w:uiPriority w:val="0"/>
    <w:pPr>
      <w:tabs>
        <w:tab w:val="center" w:pos="4153"/>
        <w:tab w:val="right" w:pos="8306"/>
      </w:tabs>
    </w:pPr>
    <w:rPr>
      <w:sz w:val="18"/>
      <w:szCs w:val="18"/>
    </w:rPr>
  </w:style>
  <w:style w:type="paragraph" w:styleId="15">
    <w:name w:val="header"/>
    <w:basedOn w:val="1"/>
    <w:link w:val="31"/>
    <w:qFormat/>
    <w:uiPriority w:val="0"/>
    <w:pPr>
      <w:pBdr>
        <w:bottom w:val="single" w:color="auto" w:sz="6" w:space="1"/>
      </w:pBdr>
      <w:tabs>
        <w:tab w:val="center" w:pos="4153"/>
        <w:tab w:val="right" w:pos="8306"/>
      </w:tabs>
      <w:jc w:val="center"/>
    </w:pPr>
    <w:rPr>
      <w:sz w:val="18"/>
      <w:szCs w:val="18"/>
    </w:rPr>
  </w:style>
  <w:style w:type="paragraph" w:styleId="16">
    <w:name w:val="toc 1"/>
    <w:basedOn w:val="1"/>
    <w:next w:val="1"/>
    <w:qFormat/>
    <w:uiPriority w:val="39"/>
  </w:style>
  <w:style w:type="paragraph" w:styleId="17">
    <w:name w:val="toc 4"/>
    <w:basedOn w:val="1"/>
    <w:next w:val="1"/>
    <w:unhideWhenUsed/>
    <w:qFormat/>
    <w:uiPriority w:val="39"/>
    <w:pPr>
      <w:widowControl w:val="0"/>
      <w:kinsoku/>
      <w:autoSpaceDE/>
      <w:autoSpaceDN/>
      <w:adjustRightInd/>
      <w:snapToGrid/>
      <w:ind w:left="1260" w:leftChars="600"/>
      <w:jc w:val="both"/>
      <w:textAlignment w:val="auto"/>
    </w:pPr>
    <w:rPr>
      <w:rFonts w:asciiTheme="minorHAnsi" w:hAnsiTheme="minorHAnsi" w:eastAsiaTheme="minorEastAsia" w:cstheme="minorBidi"/>
      <w:snapToGrid/>
      <w:color w:val="auto"/>
      <w:kern w:val="2"/>
      <w:szCs w:val="22"/>
    </w:rPr>
  </w:style>
  <w:style w:type="paragraph" w:styleId="18">
    <w:name w:val="toc 6"/>
    <w:basedOn w:val="1"/>
    <w:next w:val="1"/>
    <w:unhideWhenUsed/>
    <w:qFormat/>
    <w:uiPriority w:val="39"/>
    <w:pPr>
      <w:widowControl w:val="0"/>
      <w:kinsoku/>
      <w:autoSpaceDE/>
      <w:autoSpaceDN/>
      <w:adjustRightInd/>
      <w:snapToGrid/>
      <w:ind w:left="2100" w:leftChars="1000"/>
      <w:jc w:val="both"/>
      <w:textAlignment w:val="auto"/>
    </w:pPr>
    <w:rPr>
      <w:rFonts w:asciiTheme="minorHAnsi" w:hAnsiTheme="minorHAnsi" w:eastAsiaTheme="minorEastAsia" w:cstheme="minorBidi"/>
      <w:snapToGrid/>
      <w:color w:val="auto"/>
      <w:kern w:val="2"/>
      <w:szCs w:val="22"/>
    </w:rPr>
  </w:style>
  <w:style w:type="paragraph" w:styleId="19">
    <w:name w:val="toc 2"/>
    <w:basedOn w:val="1"/>
    <w:next w:val="1"/>
    <w:qFormat/>
    <w:uiPriority w:val="39"/>
    <w:pPr>
      <w:ind w:left="420" w:leftChars="200"/>
    </w:pPr>
  </w:style>
  <w:style w:type="paragraph" w:styleId="20">
    <w:name w:val="toc 9"/>
    <w:basedOn w:val="1"/>
    <w:next w:val="1"/>
    <w:unhideWhenUsed/>
    <w:qFormat/>
    <w:uiPriority w:val="39"/>
    <w:pPr>
      <w:widowControl w:val="0"/>
      <w:kinsoku/>
      <w:autoSpaceDE/>
      <w:autoSpaceDN/>
      <w:adjustRightInd/>
      <w:snapToGrid/>
      <w:ind w:left="3360" w:leftChars="1600"/>
      <w:jc w:val="both"/>
      <w:textAlignment w:val="auto"/>
    </w:pPr>
    <w:rPr>
      <w:rFonts w:asciiTheme="minorHAnsi" w:hAnsiTheme="minorHAnsi" w:eastAsiaTheme="minorEastAsia" w:cstheme="minorBidi"/>
      <w:snapToGrid/>
      <w:color w:val="auto"/>
      <w:kern w:val="2"/>
      <w:szCs w:val="22"/>
    </w:rPr>
  </w:style>
  <w:style w:type="paragraph" w:styleId="21">
    <w:name w:val="Normal (Web)"/>
    <w:basedOn w:val="1"/>
    <w:unhideWhenUsed/>
    <w:qFormat/>
    <w:uiPriority w:val="99"/>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 w:type="paragraph" w:styleId="22">
    <w:name w:val="annotation subject"/>
    <w:basedOn w:val="8"/>
    <w:next w:val="8"/>
    <w:link w:val="69"/>
    <w:qFormat/>
    <w:uiPriority w:val="0"/>
    <w:rPr>
      <w:b/>
      <w:bCs/>
    </w:rPr>
  </w:style>
  <w:style w:type="table" w:styleId="24">
    <w:name w:val="Table Grid"/>
    <w:basedOn w:val="23"/>
    <w:unhideWhenUsed/>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bCs/>
    </w:rPr>
  </w:style>
  <w:style w:type="character" w:styleId="27">
    <w:name w:val="Emphasis"/>
    <w:basedOn w:val="25"/>
    <w:qFormat/>
    <w:uiPriority w:val="0"/>
    <w:rPr>
      <w:i/>
    </w:rPr>
  </w:style>
  <w:style w:type="character" w:styleId="28">
    <w:name w:val="Hyperlink"/>
    <w:basedOn w:val="25"/>
    <w:unhideWhenUsed/>
    <w:qFormat/>
    <w:uiPriority w:val="99"/>
    <w:rPr>
      <w:color w:val="0000FF" w:themeColor="hyperlink"/>
      <w:u w:val="single"/>
      <w14:textFill>
        <w14:solidFill>
          <w14:schemeClr w14:val="hlink"/>
        </w14:solidFill>
      </w14:textFill>
    </w:rPr>
  </w:style>
  <w:style w:type="character" w:styleId="29">
    <w:name w:val="annotation reference"/>
    <w:basedOn w:val="25"/>
    <w:qFormat/>
    <w:uiPriority w:val="0"/>
    <w:rPr>
      <w:sz w:val="21"/>
      <w:szCs w:val="21"/>
    </w:rPr>
  </w:style>
  <w:style w:type="table" w:customStyle="1" w:styleId="30">
    <w:name w:val="Table Normal"/>
    <w:semiHidden/>
    <w:unhideWhenUsed/>
    <w:qFormat/>
    <w:uiPriority w:val="0"/>
    <w:tblPr>
      <w:tblCellMar>
        <w:top w:w="0" w:type="dxa"/>
        <w:left w:w="0" w:type="dxa"/>
        <w:bottom w:w="0" w:type="dxa"/>
        <w:right w:w="0" w:type="dxa"/>
      </w:tblCellMar>
    </w:tblPr>
  </w:style>
  <w:style w:type="character" w:customStyle="1" w:styleId="31">
    <w:name w:val="页眉 字符"/>
    <w:basedOn w:val="25"/>
    <w:link w:val="15"/>
    <w:qFormat/>
    <w:uiPriority w:val="0"/>
    <w:rPr>
      <w:rFonts w:eastAsia="Arial"/>
      <w:snapToGrid w:val="0"/>
      <w:color w:val="000000"/>
      <w:sz w:val="18"/>
      <w:szCs w:val="18"/>
    </w:rPr>
  </w:style>
  <w:style w:type="character" w:customStyle="1" w:styleId="32">
    <w:name w:val="页脚 字符"/>
    <w:basedOn w:val="25"/>
    <w:link w:val="14"/>
    <w:qFormat/>
    <w:uiPriority w:val="0"/>
    <w:rPr>
      <w:rFonts w:eastAsia="Arial"/>
      <w:snapToGrid w:val="0"/>
      <w:color w:val="000000"/>
      <w:sz w:val="18"/>
      <w:szCs w:val="18"/>
    </w:rPr>
  </w:style>
  <w:style w:type="character" w:customStyle="1" w:styleId="33">
    <w:name w:val="标题 1 字符"/>
    <w:basedOn w:val="25"/>
    <w:link w:val="4"/>
    <w:qFormat/>
    <w:uiPriority w:val="0"/>
    <w:rPr>
      <w:rFonts w:eastAsia="Arial"/>
      <w:b/>
      <w:bCs/>
      <w:snapToGrid w:val="0"/>
      <w:color w:val="000000"/>
      <w:kern w:val="44"/>
      <w:sz w:val="44"/>
      <w:szCs w:val="44"/>
    </w:rPr>
  </w:style>
  <w:style w:type="paragraph" w:customStyle="1" w:styleId="34">
    <w:name w:val="TOC Heading"/>
    <w:basedOn w:val="4"/>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376092" w:themeColor="accent1" w:themeShade="BF"/>
      <w:kern w:val="0"/>
      <w:sz w:val="32"/>
      <w:szCs w:val="32"/>
    </w:rPr>
  </w:style>
  <w:style w:type="character" w:customStyle="1" w:styleId="35">
    <w:name w:val="Unresolved Mention"/>
    <w:basedOn w:val="25"/>
    <w:semiHidden/>
    <w:unhideWhenUsed/>
    <w:qFormat/>
    <w:uiPriority w:val="99"/>
    <w:rPr>
      <w:color w:val="605E5C"/>
      <w:shd w:val="clear" w:color="auto" w:fill="E1DFDD"/>
    </w:rPr>
  </w:style>
  <w:style w:type="paragraph" w:styleId="36">
    <w:name w:val="List Paragraph"/>
    <w:basedOn w:val="1"/>
    <w:link w:val="76"/>
    <w:qFormat/>
    <w:uiPriority w:val="99"/>
    <w:pPr>
      <w:ind w:firstLine="420" w:firstLineChars="200"/>
    </w:pPr>
  </w:style>
  <w:style w:type="character" w:styleId="37">
    <w:name w:val="Placeholder Text"/>
    <w:basedOn w:val="25"/>
    <w:semiHidden/>
    <w:qFormat/>
    <w:uiPriority w:val="99"/>
    <w:rPr>
      <w:color w:val="808080"/>
    </w:rPr>
  </w:style>
  <w:style w:type="character" w:customStyle="1" w:styleId="38">
    <w:name w:val="正文文本 字符"/>
    <w:basedOn w:val="25"/>
    <w:link w:val="9"/>
    <w:qFormat/>
    <w:uiPriority w:val="0"/>
    <w:rPr>
      <w:rFonts w:ascii="Times New Roman" w:hAnsi="Times New Roman" w:eastAsia="仿宋" w:cstheme="minorBidi"/>
      <w:sz w:val="28"/>
      <w:szCs w:val="28"/>
    </w:rPr>
  </w:style>
  <w:style w:type="character" w:customStyle="1" w:styleId="39">
    <w:name w:val="标题 2 字符"/>
    <w:basedOn w:val="25"/>
    <w:link w:val="5"/>
    <w:semiHidden/>
    <w:qFormat/>
    <w:uiPriority w:val="0"/>
    <w:rPr>
      <w:rFonts w:asciiTheme="majorHAnsi" w:hAnsiTheme="majorHAnsi" w:eastAsiaTheme="majorEastAsia" w:cstheme="majorBidi"/>
      <w:b/>
      <w:bCs/>
      <w:snapToGrid w:val="0"/>
      <w:color w:val="000000"/>
      <w:sz w:val="32"/>
      <w:szCs w:val="32"/>
    </w:rPr>
  </w:style>
  <w:style w:type="character" w:customStyle="1" w:styleId="40">
    <w:name w:val="标题 3 字符"/>
    <w:basedOn w:val="25"/>
    <w:link w:val="6"/>
    <w:semiHidden/>
    <w:qFormat/>
    <w:uiPriority w:val="0"/>
    <w:rPr>
      <w:rFonts w:eastAsia="Arial"/>
      <w:b/>
      <w:bCs/>
      <w:snapToGrid w:val="0"/>
      <w:color w:val="000000"/>
      <w:sz w:val="32"/>
      <w:szCs w:val="32"/>
    </w:rPr>
  </w:style>
  <w:style w:type="character" w:customStyle="1" w:styleId="41">
    <w:name w:val="font191"/>
    <w:basedOn w:val="25"/>
    <w:qFormat/>
    <w:uiPriority w:val="0"/>
    <w:rPr>
      <w:rFonts w:hint="eastAsia" w:ascii="宋体" w:hAnsi="宋体" w:eastAsia="宋体" w:cs="宋体"/>
      <w:color w:val="000000"/>
      <w:sz w:val="22"/>
      <w:szCs w:val="22"/>
      <w:u w:val="none"/>
    </w:rPr>
  </w:style>
  <w:style w:type="character" w:customStyle="1" w:styleId="42">
    <w:name w:val="font61"/>
    <w:basedOn w:val="25"/>
    <w:qFormat/>
    <w:uiPriority w:val="0"/>
    <w:rPr>
      <w:rFonts w:hint="default" w:ascii="Times New Roman" w:hAnsi="Times New Roman" w:cs="Times New Roman"/>
      <w:color w:val="000000"/>
      <w:sz w:val="22"/>
      <w:szCs w:val="22"/>
      <w:u w:val="none"/>
    </w:rPr>
  </w:style>
  <w:style w:type="character" w:customStyle="1" w:styleId="43">
    <w:name w:val="font161"/>
    <w:basedOn w:val="25"/>
    <w:qFormat/>
    <w:uiPriority w:val="0"/>
    <w:rPr>
      <w:rFonts w:hint="default" w:ascii="Times New Roman" w:hAnsi="Times New Roman" w:cs="Times New Roman"/>
      <w:color w:val="000000"/>
      <w:sz w:val="22"/>
      <w:szCs w:val="22"/>
      <w:u w:val="none"/>
    </w:rPr>
  </w:style>
  <w:style w:type="character" w:customStyle="1" w:styleId="44">
    <w:name w:val="font151"/>
    <w:basedOn w:val="25"/>
    <w:qFormat/>
    <w:uiPriority w:val="0"/>
    <w:rPr>
      <w:rFonts w:hint="eastAsia" w:ascii="宋体" w:hAnsi="宋体" w:eastAsia="宋体" w:cs="宋体"/>
      <w:color w:val="000000"/>
      <w:sz w:val="22"/>
      <w:szCs w:val="22"/>
      <w:u w:val="none"/>
      <w:vertAlign w:val="superscript"/>
    </w:rPr>
  </w:style>
  <w:style w:type="character" w:customStyle="1" w:styleId="45">
    <w:name w:val="font11"/>
    <w:basedOn w:val="25"/>
    <w:qFormat/>
    <w:uiPriority w:val="0"/>
    <w:rPr>
      <w:rFonts w:hint="eastAsia" w:ascii="宋体" w:hAnsi="宋体" w:eastAsia="宋体" w:cs="宋体"/>
      <w:color w:val="000000"/>
      <w:sz w:val="22"/>
      <w:szCs w:val="22"/>
      <w:u w:val="none"/>
      <w:vertAlign w:val="superscript"/>
    </w:rPr>
  </w:style>
  <w:style w:type="character" w:customStyle="1" w:styleId="46">
    <w:name w:val="font251"/>
    <w:basedOn w:val="25"/>
    <w:qFormat/>
    <w:uiPriority w:val="0"/>
    <w:rPr>
      <w:rFonts w:hint="eastAsia" w:ascii="宋体" w:hAnsi="宋体" w:eastAsia="宋体" w:cs="宋体"/>
      <w:color w:val="000000"/>
      <w:sz w:val="22"/>
      <w:szCs w:val="22"/>
      <w:u w:val="none"/>
      <w:vertAlign w:val="superscript"/>
    </w:rPr>
  </w:style>
  <w:style w:type="character" w:customStyle="1" w:styleId="47">
    <w:name w:val="font231"/>
    <w:basedOn w:val="25"/>
    <w:qFormat/>
    <w:uiPriority w:val="0"/>
    <w:rPr>
      <w:rFonts w:hint="eastAsia" w:ascii="宋体" w:hAnsi="宋体" w:eastAsia="宋体" w:cs="宋体"/>
      <w:color w:val="000000"/>
      <w:sz w:val="22"/>
      <w:szCs w:val="22"/>
      <w:u w:val="none"/>
    </w:rPr>
  </w:style>
  <w:style w:type="character" w:customStyle="1" w:styleId="48">
    <w:name w:val="font201"/>
    <w:basedOn w:val="25"/>
    <w:qFormat/>
    <w:uiPriority w:val="0"/>
    <w:rPr>
      <w:rFonts w:hint="default" w:ascii="Times New Roman" w:hAnsi="Times New Roman" w:cs="Times New Roman"/>
      <w:color w:val="000000"/>
      <w:sz w:val="22"/>
      <w:szCs w:val="22"/>
      <w:u w:val="none"/>
    </w:rPr>
  </w:style>
  <w:style w:type="character" w:customStyle="1" w:styleId="49">
    <w:name w:val="font171"/>
    <w:basedOn w:val="25"/>
    <w:qFormat/>
    <w:uiPriority w:val="0"/>
    <w:rPr>
      <w:rFonts w:ascii="Calibri" w:hAnsi="Calibri" w:cs="Calibri"/>
      <w:color w:val="000000"/>
      <w:sz w:val="21"/>
      <w:szCs w:val="21"/>
      <w:u w:val="none"/>
    </w:rPr>
  </w:style>
  <w:style w:type="character" w:customStyle="1" w:styleId="50">
    <w:name w:val="font122"/>
    <w:basedOn w:val="25"/>
    <w:qFormat/>
    <w:uiPriority w:val="0"/>
    <w:rPr>
      <w:rFonts w:hint="eastAsia" w:ascii="宋体" w:hAnsi="宋体" w:eastAsia="宋体" w:cs="宋体"/>
      <w:color w:val="000000"/>
      <w:sz w:val="24"/>
      <w:szCs w:val="24"/>
      <w:u w:val="none"/>
      <w:vertAlign w:val="superscript"/>
    </w:rPr>
  </w:style>
  <w:style w:type="character" w:customStyle="1" w:styleId="51">
    <w:name w:val="font31"/>
    <w:basedOn w:val="25"/>
    <w:qFormat/>
    <w:uiPriority w:val="0"/>
    <w:rPr>
      <w:rFonts w:hint="eastAsia" w:ascii="宋体" w:hAnsi="宋体" w:eastAsia="宋体" w:cs="宋体"/>
      <w:color w:val="000000"/>
      <w:sz w:val="22"/>
      <w:szCs w:val="22"/>
      <w:u w:val="none"/>
    </w:rPr>
  </w:style>
  <w:style w:type="character" w:customStyle="1" w:styleId="52">
    <w:name w:val="font131"/>
    <w:basedOn w:val="25"/>
    <w:qFormat/>
    <w:uiPriority w:val="0"/>
    <w:rPr>
      <w:rFonts w:hint="default" w:ascii="Times New Roman" w:hAnsi="Times New Roman" w:cs="Times New Roman"/>
      <w:color w:val="000000"/>
      <w:sz w:val="22"/>
      <w:szCs w:val="22"/>
      <w:u w:val="none"/>
    </w:rPr>
  </w:style>
  <w:style w:type="character" w:customStyle="1" w:styleId="53">
    <w:name w:val="font112"/>
    <w:basedOn w:val="25"/>
    <w:qFormat/>
    <w:uiPriority w:val="0"/>
    <w:rPr>
      <w:rFonts w:hint="eastAsia" w:ascii="宋体" w:hAnsi="宋体" w:eastAsia="宋体" w:cs="宋体"/>
      <w:color w:val="000000"/>
      <w:sz w:val="22"/>
      <w:szCs w:val="22"/>
      <w:u w:val="none"/>
    </w:rPr>
  </w:style>
  <w:style w:type="character" w:customStyle="1" w:styleId="54">
    <w:name w:val="font222"/>
    <w:basedOn w:val="25"/>
    <w:qFormat/>
    <w:uiPriority w:val="0"/>
    <w:rPr>
      <w:rFonts w:hint="eastAsia" w:ascii="宋体" w:hAnsi="宋体" w:eastAsia="宋体" w:cs="宋体"/>
      <w:color w:val="000000"/>
      <w:sz w:val="22"/>
      <w:szCs w:val="22"/>
      <w:u w:val="none"/>
    </w:rPr>
  </w:style>
  <w:style w:type="character" w:customStyle="1" w:styleId="55">
    <w:name w:val="font91"/>
    <w:basedOn w:val="25"/>
    <w:qFormat/>
    <w:uiPriority w:val="0"/>
    <w:rPr>
      <w:rFonts w:hint="default" w:ascii="Times New Roman" w:hAnsi="Times New Roman" w:cs="Times New Roman"/>
      <w:color w:val="000000"/>
      <w:sz w:val="22"/>
      <w:szCs w:val="22"/>
      <w:u w:val="none"/>
    </w:rPr>
  </w:style>
  <w:style w:type="character" w:customStyle="1" w:styleId="56">
    <w:name w:val="font12"/>
    <w:basedOn w:val="25"/>
    <w:qFormat/>
    <w:uiPriority w:val="0"/>
    <w:rPr>
      <w:rFonts w:hint="eastAsia" w:ascii="宋体" w:hAnsi="宋体" w:eastAsia="宋体" w:cs="宋体"/>
      <w:color w:val="000000"/>
      <w:sz w:val="22"/>
      <w:szCs w:val="22"/>
      <w:u w:val="none"/>
      <w:vertAlign w:val="superscript"/>
    </w:rPr>
  </w:style>
  <w:style w:type="character" w:customStyle="1" w:styleId="57">
    <w:name w:val="font101"/>
    <w:basedOn w:val="25"/>
    <w:qFormat/>
    <w:uiPriority w:val="0"/>
    <w:rPr>
      <w:rFonts w:hint="eastAsia" w:ascii="宋体" w:hAnsi="宋体" w:eastAsia="宋体" w:cs="宋体"/>
      <w:color w:val="000000"/>
      <w:sz w:val="22"/>
      <w:szCs w:val="22"/>
      <w:u w:val="none"/>
    </w:rPr>
  </w:style>
  <w:style w:type="character" w:customStyle="1" w:styleId="58">
    <w:name w:val="font81"/>
    <w:basedOn w:val="25"/>
    <w:qFormat/>
    <w:uiPriority w:val="0"/>
    <w:rPr>
      <w:rFonts w:hint="default" w:ascii="Times New Roman" w:hAnsi="Times New Roman" w:cs="Times New Roman"/>
      <w:color w:val="000000"/>
      <w:sz w:val="22"/>
      <w:szCs w:val="22"/>
      <w:u w:val="none"/>
    </w:rPr>
  </w:style>
  <w:style w:type="character" w:customStyle="1" w:styleId="59">
    <w:name w:val="font51"/>
    <w:qFormat/>
    <w:uiPriority w:val="0"/>
    <w:rPr>
      <w:rFonts w:hint="default" w:ascii="Calibri" w:hAnsi="Calibri" w:cs="Calibri"/>
      <w:color w:val="000000"/>
      <w:sz w:val="22"/>
      <w:szCs w:val="22"/>
      <w:u w:val="none"/>
    </w:rPr>
  </w:style>
  <w:style w:type="character" w:customStyle="1" w:styleId="60">
    <w:name w:val="font181"/>
    <w:basedOn w:val="25"/>
    <w:qFormat/>
    <w:uiPriority w:val="0"/>
    <w:rPr>
      <w:rFonts w:hint="default" w:ascii="Times New Roman" w:hAnsi="Times New Roman" w:cs="Times New Roman"/>
      <w:color w:val="000000"/>
      <w:sz w:val="22"/>
      <w:szCs w:val="22"/>
      <w:u w:val="none"/>
    </w:rPr>
  </w:style>
  <w:style w:type="character" w:customStyle="1" w:styleId="61">
    <w:name w:val="font132"/>
    <w:basedOn w:val="25"/>
    <w:qFormat/>
    <w:uiPriority w:val="0"/>
    <w:rPr>
      <w:rFonts w:hint="default" w:ascii="Times New Roman" w:hAnsi="Times New Roman" w:cs="Times New Roman"/>
      <w:color w:val="000000"/>
      <w:sz w:val="22"/>
      <w:szCs w:val="22"/>
      <w:u w:val="none"/>
    </w:rPr>
  </w:style>
  <w:style w:type="character" w:customStyle="1" w:styleId="62">
    <w:name w:val="font221"/>
    <w:basedOn w:val="25"/>
    <w:qFormat/>
    <w:uiPriority w:val="0"/>
    <w:rPr>
      <w:rFonts w:hint="eastAsia" w:ascii="宋体" w:hAnsi="宋体" w:eastAsia="宋体" w:cs="宋体"/>
      <w:color w:val="000000"/>
      <w:sz w:val="22"/>
      <w:szCs w:val="22"/>
      <w:u w:val="none"/>
    </w:rPr>
  </w:style>
  <w:style w:type="character" w:customStyle="1" w:styleId="63">
    <w:name w:val="font21"/>
    <w:basedOn w:val="25"/>
    <w:qFormat/>
    <w:uiPriority w:val="0"/>
    <w:rPr>
      <w:rFonts w:hint="eastAsia" w:ascii="宋体" w:hAnsi="宋体" w:eastAsia="宋体" w:cs="宋体"/>
      <w:color w:val="000000"/>
      <w:sz w:val="22"/>
      <w:szCs w:val="22"/>
      <w:u w:val="none"/>
    </w:rPr>
  </w:style>
  <w:style w:type="character" w:customStyle="1" w:styleId="64">
    <w:name w:val="font71"/>
    <w:basedOn w:val="25"/>
    <w:qFormat/>
    <w:uiPriority w:val="0"/>
    <w:rPr>
      <w:rFonts w:hint="eastAsia" w:ascii="宋体" w:hAnsi="宋体" w:eastAsia="宋体" w:cs="宋体"/>
      <w:color w:val="000000"/>
      <w:sz w:val="22"/>
      <w:szCs w:val="22"/>
      <w:u w:val="none"/>
    </w:rPr>
  </w:style>
  <w:style w:type="character" w:customStyle="1" w:styleId="65">
    <w:name w:val="font241"/>
    <w:basedOn w:val="25"/>
    <w:qFormat/>
    <w:uiPriority w:val="0"/>
    <w:rPr>
      <w:rFonts w:hint="eastAsia" w:ascii="宋体" w:hAnsi="宋体" w:eastAsia="宋体" w:cs="宋体"/>
      <w:color w:val="000000"/>
      <w:sz w:val="22"/>
      <w:szCs w:val="22"/>
      <w:u w:val="none"/>
      <w:vertAlign w:val="superscript"/>
    </w:rPr>
  </w:style>
  <w:style w:type="character" w:customStyle="1" w:styleId="66">
    <w:name w:val="font01"/>
    <w:basedOn w:val="25"/>
    <w:qFormat/>
    <w:uiPriority w:val="0"/>
    <w:rPr>
      <w:rFonts w:hint="eastAsia" w:ascii="宋体" w:hAnsi="宋体" w:eastAsia="宋体" w:cs="宋体"/>
      <w:color w:val="000000"/>
      <w:sz w:val="24"/>
      <w:szCs w:val="24"/>
      <w:u w:val="none"/>
      <w:vertAlign w:val="superscript"/>
    </w:rPr>
  </w:style>
  <w:style w:type="character" w:customStyle="1" w:styleId="67">
    <w:name w:val="font41"/>
    <w:basedOn w:val="25"/>
    <w:qFormat/>
    <w:uiPriority w:val="0"/>
    <w:rPr>
      <w:rFonts w:hint="eastAsia" w:ascii="宋体" w:hAnsi="宋体" w:eastAsia="宋体" w:cs="宋体"/>
      <w:color w:val="000000"/>
      <w:sz w:val="22"/>
      <w:szCs w:val="22"/>
      <w:u w:val="none"/>
    </w:rPr>
  </w:style>
  <w:style w:type="character" w:customStyle="1" w:styleId="68">
    <w:name w:val="批注文字 字符"/>
    <w:basedOn w:val="25"/>
    <w:link w:val="8"/>
    <w:qFormat/>
    <w:uiPriority w:val="0"/>
    <w:rPr>
      <w:rFonts w:eastAsia="Arial"/>
      <w:snapToGrid w:val="0"/>
      <w:color w:val="000000"/>
      <w:sz w:val="21"/>
      <w:szCs w:val="21"/>
    </w:rPr>
  </w:style>
  <w:style w:type="character" w:customStyle="1" w:styleId="69">
    <w:name w:val="批注主题 字符"/>
    <w:basedOn w:val="68"/>
    <w:link w:val="22"/>
    <w:qFormat/>
    <w:uiPriority w:val="0"/>
    <w:rPr>
      <w:rFonts w:eastAsia="Arial"/>
      <w:b/>
      <w:bCs/>
      <w:snapToGrid w:val="0"/>
      <w:color w:val="000000"/>
      <w:sz w:val="21"/>
      <w:szCs w:val="21"/>
    </w:rPr>
  </w:style>
  <w:style w:type="paragraph" w:customStyle="1" w:styleId="70">
    <w:name w:val="Default"/>
    <w:qFormat/>
    <w:uiPriority w:val="0"/>
    <w:pPr>
      <w:widowControl w:val="0"/>
      <w:autoSpaceDE w:val="0"/>
      <w:autoSpaceDN w:val="0"/>
      <w:adjustRightInd w:val="0"/>
    </w:pPr>
    <w:rPr>
      <w:rFonts w:ascii="仿宋_GB2312" w:hAnsi="Arial" w:eastAsia="仿宋_GB2312" w:cs="仿宋_GB2312"/>
      <w:color w:val="000000"/>
      <w:sz w:val="24"/>
      <w:szCs w:val="24"/>
      <w:lang w:val="en-US" w:eastAsia="zh-CN" w:bidi="ar-SA"/>
    </w:rPr>
  </w:style>
  <w:style w:type="character" w:customStyle="1" w:styleId="71">
    <w:name w:val="text_vgzkf"/>
    <w:basedOn w:val="25"/>
    <w:qFormat/>
    <w:uiPriority w:val="0"/>
  </w:style>
  <w:style w:type="paragraph" w:customStyle="1" w:styleId="72">
    <w:name w:val="Char"/>
    <w:basedOn w:val="1"/>
    <w:qFormat/>
    <w:uiPriority w:val="0"/>
    <w:pPr>
      <w:kinsoku/>
      <w:autoSpaceDE/>
      <w:autoSpaceDN/>
      <w:adjustRightInd/>
      <w:snapToGrid/>
      <w:spacing w:after="160" w:line="240" w:lineRule="exact"/>
      <w:textAlignment w:val="auto"/>
    </w:pPr>
    <w:rPr>
      <w:rFonts w:ascii="Times New Roman" w:hAnsi="Times New Roman" w:eastAsia="仿宋_GB2312" w:cs="Times New Roman"/>
      <w:snapToGrid/>
      <w:color w:val="auto"/>
      <w:kern w:val="2"/>
      <w:sz w:val="32"/>
      <w:szCs w:val="20"/>
    </w:rPr>
  </w:style>
  <w:style w:type="character" w:customStyle="1" w:styleId="73">
    <w:name w:val="普通段落 Char"/>
    <w:link w:val="74"/>
    <w:qFormat/>
    <w:uiPriority w:val="0"/>
    <w:rPr>
      <w:rFonts w:ascii="Calibri" w:hAnsi="Calibri" w:cs="宋体"/>
      <w:sz w:val="28"/>
      <w:lang w:eastAsia="en-US" w:bidi="en-US"/>
    </w:rPr>
  </w:style>
  <w:style w:type="paragraph" w:customStyle="1" w:styleId="74">
    <w:name w:val="普通段落"/>
    <w:basedOn w:val="1"/>
    <w:link w:val="73"/>
    <w:qFormat/>
    <w:uiPriority w:val="0"/>
    <w:pPr>
      <w:kinsoku/>
      <w:autoSpaceDE/>
      <w:autoSpaceDN/>
      <w:adjustRightInd/>
      <w:snapToGrid/>
      <w:ind w:firstLine="560"/>
      <w:textAlignment w:val="auto"/>
    </w:pPr>
    <w:rPr>
      <w:rFonts w:ascii="Calibri" w:hAnsi="Calibri" w:cs="宋体" w:eastAsiaTheme="minorEastAsia"/>
      <w:snapToGrid/>
      <w:color w:val="auto"/>
      <w:sz w:val="28"/>
      <w:szCs w:val="20"/>
      <w:lang w:eastAsia="en-US" w:bidi="en-US"/>
    </w:rPr>
  </w:style>
  <w:style w:type="character" w:customStyle="1" w:styleId="75">
    <w:name w:val="纯文本 字符"/>
    <w:basedOn w:val="25"/>
    <w:link w:val="12"/>
    <w:qFormat/>
    <w:uiPriority w:val="0"/>
    <w:rPr>
      <w:rFonts w:ascii="宋体" w:hAnsi="Courier New" w:eastAsia="宋体" w:cs="Times New Roman"/>
      <w:kern w:val="2"/>
      <w:sz w:val="21"/>
    </w:rPr>
  </w:style>
  <w:style w:type="character" w:customStyle="1" w:styleId="76">
    <w:name w:val="列表段落 字符"/>
    <w:link w:val="36"/>
    <w:qFormat/>
    <w:uiPriority w:val="99"/>
    <w:rPr>
      <w:rFonts w:eastAsia="Arial"/>
      <w:snapToGrid w:val="0"/>
      <w:color w:val="000000"/>
      <w:sz w:val="21"/>
      <w:szCs w:val="21"/>
    </w:rPr>
  </w:style>
  <w:style w:type="paragraph" w:customStyle="1" w:styleId="77">
    <w:name w:val="cucd-0"/>
    <w:qFormat/>
    <w:uiPriority w:val="0"/>
    <w:pPr>
      <w:spacing w:line="360" w:lineRule="auto"/>
      <w:ind w:firstLine="200" w:firstLineChars="200"/>
      <w:jc w:val="both"/>
    </w:pPr>
    <w:rPr>
      <w:rFonts w:ascii="Calibri" w:hAnsi="Calibri" w:eastAsia="宋体" w:cs="Calibri"/>
      <w:kern w:val="2"/>
      <w:sz w:val="24"/>
      <w:szCs w:val="24"/>
      <w:lang w:val="en-US" w:eastAsia="zh-CN" w:bidi="ar-SA"/>
    </w:rPr>
  </w:style>
  <w:style w:type="paragraph" w:customStyle="1" w:styleId="78">
    <w:name w:val="cucd-2"/>
    <w:next w:val="79"/>
    <w:qFormat/>
    <w:uiPriority w:val="0"/>
    <w:pPr>
      <w:numPr>
        <w:ilvl w:val="1"/>
        <w:numId w:val="1"/>
      </w:numPr>
      <w:spacing w:line="360" w:lineRule="auto"/>
      <w:outlineLvl w:val="1"/>
    </w:pPr>
    <w:rPr>
      <w:rFonts w:ascii="Calibri" w:hAnsi="Calibri" w:eastAsia="宋体" w:cs="Calibri"/>
      <w:b/>
      <w:kern w:val="2"/>
      <w:sz w:val="30"/>
      <w:szCs w:val="24"/>
      <w:lang w:val="en-US" w:eastAsia="zh-CN" w:bidi="ar-SA"/>
    </w:rPr>
  </w:style>
  <w:style w:type="paragraph" w:customStyle="1" w:styleId="79">
    <w:name w:val="cucd-3"/>
    <w:next w:val="80"/>
    <w:qFormat/>
    <w:uiPriority w:val="0"/>
    <w:pPr>
      <w:numPr>
        <w:ilvl w:val="2"/>
        <w:numId w:val="1"/>
      </w:numPr>
      <w:spacing w:line="360" w:lineRule="auto"/>
      <w:outlineLvl w:val="2"/>
    </w:pPr>
    <w:rPr>
      <w:rFonts w:ascii="Calibri" w:hAnsi="Calibri" w:eastAsia="宋体" w:cs="Calibri"/>
      <w:b/>
      <w:kern w:val="2"/>
      <w:sz w:val="28"/>
      <w:szCs w:val="24"/>
      <w:lang w:val="en-US" w:eastAsia="zh-CN" w:bidi="ar-SA"/>
    </w:rPr>
  </w:style>
  <w:style w:type="paragraph" w:customStyle="1" w:styleId="80">
    <w:name w:val="cucd-4"/>
    <w:next w:val="77"/>
    <w:qFormat/>
    <w:uiPriority w:val="0"/>
    <w:pPr>
      <w:numPr>
        <w:ilvl w:val="3"/>
        <w:numId w:val="1"/>
      </w:numPr>
      <w:spacing w:line="360" w:lineRule="auto"/>
      <w:ind w:left="0" w:firstLine="723" w:firstLineChars="200"/>
      <w:outlineLvl w:val="3"/>
    </w:pPr>
    <w:rPr>
      <w:rFonts w:ascii="Calibri" w:hAnsi="Calibri" w:eastAsia="宋体" w:cs="Calibri"/>
      <w:b/>
      <w:kern w:val="2"/>
      <w:sz w:val="24"/>
      <w:szCs w:val="24"/>
      <w:lang w:val="en-US" w:eastAsia="zh-CN" w:bidi="ar-SA"/>
    </w:rPr>
  </w:style>
  <w:style w:type="paragraph" w:customStyle="1" w:styleId="81">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15077</Words>
  <Characters>15858</Characters>
  <Lines>106</Lines>
  <Paragraphs>29</Paragraphs>
  <TotalTime>1</TotalTime>
  <ScaleCrop>false</ScaleCrop>
  <LinksUpToDate>false</LinksUpToDate>
  <CharactersWithSpaces>15915</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2020-12-03T18:48:00Z</dcterms:created>
  <dc:creator>Lenovo</dc:creator>
  <cp:lastModifiedBy>lenovo</cp:lastModifiedBy>
  <cp:lastPrinted>2024-12-02T07:54:00Z</cp:lastPrinted>
  <dcterms:modified xsi:type="dcterms:W3CDTF">2025-01-10T01:34:30Z</dcterms:modified>
  <cp:revision>228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2022-05-31T08:33:22Z</vt:filetime>
  </property>
  <property fmtid="{D5CDD505-2E9C-101B-9397-08002B2CF9AE}" pid="4" name="KSOProductBuildVer">
    <vt:lpwstr>2052-11.8.2.12085</vt:lpwstr>
  </property>
  <property fmtid="{D5CDD505-2E9C-101B-9397-08002B2CF9AE}" pid="5" name="ICV">
    <vt:lpwstr>F5ABA2481EF749019C26D6EB1DFF8D24_13</vt:lpwstr>
  </property>
</Properties>
</file>