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rPr>
      </w:pPr>
      <w:bookmarkStart w:id="0" w:name="_Toc13888"/>
      <w:bookmarkStart w:id="1" w:name="_Toc32633"/>
      <w:r>
        <w:rPr>
          <w:rFonts w:hint="eastAsia" w:ascii="方正小标宋简体" w:hAnsi="方正小标宋简体" w:cs="方正小标宋简体"/>
          <w:b w:val="0"/>
          <w:bCs w:val="0"/>
          <w:color w:val="auto"/>
          <w:sz w:val="44"/>
          <w:szCs w:val="44"/>
          <w:lang w:val="en-US" w:eastAsia="zh-CN"/>
        </w:rPr>
        <w:t>沙头</w:t>
      </w:r>
      <w:r>
        <w:rPr>
          <w:rFonts w:hint="eastAsia" w:ascii="方正小标宋简体" w:hAnsi="方正小标宋简体" w:eastAsia="方正小标宋简体" w:cs="方正小标宋简体"/>
          <w:b w:val="0"/>
          <w:bCs w:val="0"/>
          <w:color w:val="auto"/>
          <w:sz w:val="44"/>
          <w:szCs w:val="44"/>
        </w:rPr>
        <w:t>街</w:t>
      </w:r>
      <w:r>
        <w:rPr>
          <w:rFonts w:hint="eastAsia" w:ascii="方正小标宋简体" w:hAnsi="方正小标宋简体" w:cs="方正小标宋简体"/>
          <w:b w:val="0"/>
          <w:bCs w:val="0"/>
          <w:color w:val="auto"/>
          <w:sz w:val="44"/>
          <w:szCs w:val="44"/>
          <w:lang w:val="en-US" w:eastAsia="zh-CN"/>
        </w:rPr>
        <w:t>大罗</w:t>
      </w:r>
      <w:r>
        <w:rPr>
          <w:rFonts w:hint="eastAsia" w:ascii="方正小标宋简体" w:hAnsi="方正小标宋简体" w:eastAsia="方正小标宋简体" w:cs="方正小标宋简体"/>
          <w:b w:val="0"/>
          <w:bCs w:val="0"/>
          <w:color w:val="auto"/>
          <w:sz w:val="44"/>
          <w:szCs w:val="44"/>
        </w:rPr>
        <w:t>村</w:t>
      </w:r>
      <w:r>
        <w:rPr>
          <w:rFonts w:hint="eastAsia" w:ascii="方正小标宋简体" w:hAnsi="方正小标宋简体" w:cs="方正小标宋简体"/>
          <w:b w:val="0"/>
          <w:bCs w:val="0"/>
          <w:color w:val="auto"/>
          <w:sz w:val="44"/>
          <w:szCs w:val="44"/>
          <w:lang w:val="en-US" w:eastAsia="zh-CN"/>
        </w:rPr>
        <w:t>人居环境</w:t>
      </w:r>
      <w:r>
        <w:rPr>
          <w:rFonts w:hint="eastAsia" w:ascii="方正小标宋简体" w:hAnsi="方正小标宋简体" w:eastAsia="方正小标宋简体" w:cs="方正小标宋简体"/>
          <w:b w:val="0"/>
          <w:bCs w:val="0"/>
          <w:color w:val="auto"/>
          <w:sz w:val="44"/>
          <w:szCs w:val="44"/>
        </w:rPr>
        <w:t>升级改造</w:t>
      </w:r>
      <w:bookmarkEnd w:id="0"/>
      <w:bookmarkEnd w:id="1"/>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bookmarkStart w:id="2" w:name="_Toc3151"/>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rPr>
      </w:pPr>
      <w:bookmarkStart w:id="3" w:name="_Toc30980"/>
      <w:r>
        <w:rPr>
          <w:rFonts w:hint="eastAsia" w:ascii="方正小标宋简体" w:hAnsi="方正小标宋简体" w:eastAsia="方正小标宋简体" w:cs="方正小标宋简体"/>
          <w:b w:val="0"/>
          <w:bCs w:val="0"/>
          <w:color w:val="auto"/>
          <w:sz w:val="44"/>
          <w:szCs w:val="44"/>
        </w:rPr>
        <w:t>项目实施方案</w:t>
      </w:r>
      <w:bookmarkEnd w:id="2"/>
      <w:bookmarkEnd w:id="3"/>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宋体" w:cs="Times New Roman"/>
          <w:b/>
          <w:bCs/>
          <w:snapToGrid/>
          <w:color w:val="auto"/>
          <w:kern w:val="2"/>
          <w:sz w:val="30"/>
          <w:szCs w:val="30"/>
        </w:rPr>
        <w:sectPr>
          <w:headerReference r:id="rId3" w:type="default"/>
          <w:footerReference r:id="rId4" w:type="default"/>
          <w:pgSz w:w="11906" w:h="16839" w:orient="landscape"/>
          <w:pgMar w:top="1440" w:right="1800" w:bottom="1440" w:left="1800" w:header="850" w:footer="0" w:gutter="0"/>
          <w:cols w:space="720" w:num="1"/>
          <w:docGrid w:linePitch="286" w:charSpace="0"/>
        </w:sectPr>
      </w:pPr>
      <w:r>
        <w:rPr>
          <w:rFonts w:hint="eastAsia" w:ascii="仿宋_GB2312" w:hAnsi="仿宋_GB2312" w:eastAsia="仿宋_GB2312" w:cs="仿宋_GB2312"/>
          <w:b/>
          <w:snapToGrid/>
          <w:color w:val="auto"/>
          <w:kern w:val="2"/>
          <w:sz w:val="32"/>
          <w:szCs w:val="32"/>
        </w:rPr>
        <w:t>建设单位：广州市番禺区沙头街大罗村民委员会</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both"/>
        <w:textAlignment w:val="auto"/>
        <w:outlineLvl w:val="9"/>
        <w:rPr>
          <w:rFonts w:hint="eastAsia" w:ascii="方正小标宋简体" w:hAnsi="方正小标宋简体" w:eastAsia="方正小标宋简体" w:cs="方正小标宋简体"/>
          <w:b w:val="0"/>
          <w:bCs w:val="0"/>
          <w:color w:val="auto"/>
          <w:sz w:val="44"/>
          <w:szCs w:val="44"/>
        </w:rPr>
      </w:pPr>
    </w:p>
    <w:sdt>
      <w:sdtPr>
        <w:rPr>
          <w:rFonts w:ascii="宋体" w:hAnsi="宋体" w:eastAsia="宋体" w:cs="Times New Roman"/>
          <w:kern w:val="2"/>
          <w:sz w:val="21"/>
          <w:szCs w:val="22"/>
          <w:lang w:val="en-US" w:eastAsia="zh-CN" w:bidi="ar-SA"/>
        </w:rPr>
        <w:id w:val="147465554"/>
        <w15:color w:val="DBDBDB"/>
        <w:docPartObj>
          <w:docPartGallery w:val="Table of Contents"/>
          <w:docPartUnique/>
        </w:docPartObj>
      </w:sdtPr>
      <w:sdtEndPr>
        <w:rPr>
          <w:rFonts w:hint="eastAsia" w:ascii="仿宋_GB2312" w:hAnsi="宋体" w:eastAsia="仿宋_GB2312" w:cs="Times New Roman"/>
          <w:color w:val="000000"/>
          <w:kern w:val="0"/>
          <w:sz w:val="30"/>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目录</w:t>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_Toc25434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 xml:space="preserve">第一章 </w:t>
          </w:r>
          <w:r>
            <w:rPr>
              <w:rFonts w:hint="eastAsia" w:ascii="仿宋_GB2312" w:hAnsi="仿宋_GB2312" w:eastAsia="仿宋_GB2312" w:cs="仿宋_GB2312"/>
              <w:b/>
              <w:bCs/>
              <w:sz w:val="32"/>
              <w:szCs w:val="32"/>
              <w:highlight w:val="none"/>
              <w:lang w:eastAsia="zh-CN"/>
            </w:rPr>
            <w:t>项目背景</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_Toc25434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_Toc31565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第二章 </w:t>
          </w:r>
          <w:r>
            <w:rPr>
              <w:rFonts w:hint="eastAsia" w:ascii="仿宋_GB2312" w:hAnsi="仿宋_GB2312" w:eastAsia="仿宋_GB2312" w:cs="仿宋_GB2312"/>
              <w:b/>
              <w:bCs/>
              <w:sz w:val="32"/>
              <w:szCs w:val="32"/>
              <w:highlight w:val="none"/>
              <w:lang w:val="en-US" w:eastAsia="zh-CN"/>
            </w:rPr>
            <w:t>建设内容</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_Toc31565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_Toc11436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第三章 </w:t>
          </w:r>
          <w:r>
            <w:rPr>
              <w:rFonts w:hint="eastAsia" w:ascii="仿宋_GB2312" w:hAnsi="仿宋_GB2312" w:eastAsia="仿宋_GB2312" w:cs="仿宋_GB2312"/>
              <w:b/>
              <w:bCs/>
              <w:sz w:val="32"/>
              <w:szCs w:val="32"/>
              <w:highlight w:val="none"/>
              <w:lang w:val="en-US" w:eastAsia="zh-CN"/>
            </w:rPr>
            <w:t>项目投资</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_Toc11436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_Toc22681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第四章 </w:t>
          </w:r>
          <w:r>
            <w:rPr>
              <w:rFonts w:hint="eastAsia" w:ascii="仿宋_GB2312" w:hAnsi="仿宋_GB2312" w:eastAsia="仿宋_GB2312" w:cs="仿宋_GB2312"/>
              <w:b/>
              <w:bCs/>
              <w:sz w:val="32"/>
              <w:szCs w:val="32"/>
              <w:highlight w:val="none"/>
              <w:lang w:val="en-US" w:eastAsia="zh-CN"/>
            </w:rPr>
            <w:t>实施计划</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_Toc22681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_Toc20899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第五章 </w:t>
          </w:r>
          <w:r>
            <w:rPr>
              <w:rFonts w:hint="eastAsia" w:ascii="仿宋_GB2312" w:hAnsi="仿宋_GB2312" w:eastAsia="仿宋_GB2312" w:cs="仿宋_GB2312"/>
              <w:b/>
              <w:bCs/>
              <w:sz w:val="32"/>
              <w:szCs w:val="32"/>
              <w:highlight w:val="none"/>
              <w:lang w:val="en-US" w:eastAsia="zh-CN"/>
            </w:rPr>
            <w:t>效益分析</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_Toc20899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_Toc31045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第六章 </w:t>
          </w:r>
          <w:r>
            <w:rPr>
              <w:rFonts w:hint="eastAsia" w:ascii="仿宋_GB2312" w:hAnsi="仿宋_GB2312" w:eastAsia="仿宋_GB2312" w:cs="仿宋_GB2312"/>
              <w:b/>
              <w:bCs/>
              <w:sz w:val="32"/>
              <w:szCs w:val="32"/>
              <w:highlight w:val="none"/>
              <w:lang w:val="en-US" w:eastAsia="zh-CN"/>
            </w:rPr>
            <w:t>保障措施</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_Toc31045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6"/>
            <w:keepNext w:val="0"/>
            <w:keepLines w:val="0"/>
            <w:pageBreakBefore w:val="0"/>
            <w:tabs>
              <w:tab w:val="right" w:leader="dot" w:pos="824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HYPERLINK \l _Toc28308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第七章 附件</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PAGEREF _Toc28308 \h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17</w:t>
          </w:r>
          <w:r>
            <w:rPr>
              <w:rFonts w:hint="eastAsia" w:ascii="仿宋_GB2312" w:hAnsi="仿宋_GB2312" w:eastAsia="仿宋_GB2312" w:cs="仿宋_GB2312"/>
              <w:b/>
              <w:bCs/>
              <w:sz w:val="32"/>
              <w:szCs w:val="32"/>
              <w:highlight w:val="none"/>
              <w:lang w:val="en-US" w:eastAsia="zh-CN"/>
            </w:rPr>
            <w:fldChar w:fldCharType="end"/>
          </w:r>
          <w:r>
            <w:rPr>
              <w:rFonts w:hint="eastAsia" w:ascii="仿宋_GB2312" w:hAnsi="仿宋_GB2312" w:eastAsia="仿宋_GB2312" w:cs="仿宋_GB2312"/>
              <w:b/>
              <w:bCs/>
              <w:sz w:val="32"/>
              <w:szCs w:val="32"/>
              <w:highlight w:val="none"/>
              <w:lang w:val="en-US" w:eastAsia="zh-CN"/>
            </w:rPr>
            <w:fldChar w:fldCharType="end"/>
          </w:r>
        </w:p>
        <w:p>
          <w:pPr>
            <w:pStyle w:val="2"/>
            <w:keepNext w:val="0"/>
            <w:keepLines w:val="0"/>
            <w:pageBreakBefore w:val="0"/>
            <w:widowControl/>
            <w:numPr>
              <w:ilvl w:val="0"/>
              <w:numId w:val="0"/>
            </w:numPr>
            <w:kinsoku/>
            <w:wordWrap/>
            <w:overflowPunct/>
            <w:topLinePunct w:val="0"/>
            <w:autoSpaceDE/>
            <w:autoSpaceDN/>
            <w:bidi w:val="0"/>
            <w:adjustRightInd/>
            <w:snapToGrid/>
            <w:spacing w:line="720" w:lineRule="auto"/>
            <w:ind w:firstLine="643" w:firstLineChars="200"/>
            <w:jc w:val="left"/>
            <w:textAlignment w:val="auto"/>
            <w:rPr>
              <w:rFonts w:hint="eastAsia"/>
            </w:rPr>
          </w:pPr>
          <w:r>
            <w:rPr>
              <w:rFonts w:hint="eastAsia" w:ascii="仿宋_GB2312" w:hAnsi="仿宋_GB2312" w:eastAsia="仿宋_GB2312" w:cs="仿宋_GB2312"/>
              <w:b/>
              <w:bCs/>
              <w:sz w:val="32"/>
              <w:szCs w:val="32"/>
            </w:rPr>
            <w:fldChar w:fldCharType="end"/>
          </w:r>
        </w:p>
      </w:sdtContent>
    </w:sdt>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0"/>
        </w:numPr>
        <w:kinsoku/>
        <w:wordWrap/>
        <w:overflowPunct/>
        <w:topLinePunct w:val="0"/>
        <w:autoSpaceDE/>
        <w:autoSpaceDN/>
        <w:bidi w:val="0"/>
        <w:spacing w:line="560" w:lineRule="exact"/>
        <w:ind w:leftChars="0" w:firstLine="600" w:firstLineChars="200"/>
        <w:rPr>
          <w:rFonts w:hint="eastAsia"/>
        </w:rPr>
      </w:pPr>
    </w:p>
    <w:p>
      <w:pPr>
        <w:pStyle w:val="2"/>
        <w:keepNext w:val="0"/>
        <w:keepLines w:val="0"/>
        <w:pageBreakBefore w:val="0"/>
        <w:numPr>
          <w:ilvl w:val="0"/>
          <w:numId w:val="2"/>
        </w:numPr>
        <w:kinsoku/>
        <w:wordWrap/>
        <w:overflowPunct/>
        <w:topLinePunct w:val="0"/>
        <w:autoSpaceDE/>
        <w:autoSpaceDN/>
        <w:bidi w:val="0"/>
        <w:adjustRightInd/>
        <w:spacing w:line="560" w:lineRule="exact"/>
        <w:ind w:leftChars="0" w:firstLine="643" w:firstLineChars="200"/>
        <w:jc w:val="center"/>
        <w:outlineLvl w:val="0"/>
        <w:rPr>
          <w:rFonts w:hint="eastAsia" w:ascii="仿宋_GB2312" w:hAnsi="仿宋_GB2312" w:eastAsia="仿宋_GB2312" w:cs="仿宋_GB2312"/>
          <w:b/>
          <w:bCs/>
          <w:color w:val="auto"/>
          <w:sz w:val="32"/>
          <w:szCs w:val="32"/>
          <w:highlight w:val="none"/>
          <w:lang w:eastAsia="zh-CN"/>
        </w:rPr>
        <w:sectPr>
          <w:footerReference r:id="rId5" w:type="default"/>
          <w:pgSz w:w="11906" w:h="16838"/>
          <w:pgMar w:top="1440" w:right="1860" w:bottom="1440" w:left="1800" w:header="851" w:footer="992" w:gutter="0"/>
          <w:cols w:space="425" w:num="1"/>
          <w:docGrid w:type="lines" w:linePitch="312" w:charSpace="0"/>
        </w:sectPr>
      </w:pPr>
    </w:p>
    <w:p>
      <w:pPr>
        <w:pStyle w:val="2"/>
        <w:keepNext w:val="0"/>
        <w:keepLines w:val="0"/>
        <w:pageBreakBefore w:val="0"/>
        <w:numPr>
          <w:ilvl w:val="0"/>
          <w:numId w:val="0"/>
        </w:numPr>
        <w:kinsoku/>
        <w:wordWrap/>
        <w:overflowPunct/>
        <w:topLinePunct w:val="0"/>
        <w:autoSpaceDE/>
        <w:autoSpaceDN/>
        <w:bidi w:val="0"/>
        <w:adjustRightInd/>
        <w:spacing w:line="560" w:lineRule="exact"/>
        <w:jc w:val="center"/>
        <w:outlineLvl w:val="0"/>
        <w:rPr>
          <w:rFonts w:hint="eastAsia" w:ascii="仿宋_GB2312" w:hAnsi="仿宋_GB2312" w:eastAsia="仿宋_GB2312" w:cs="仿宋_GB2312"/>
          <w:b/>
          <w:bCs/>
          <w:color w:val="auto"/>
          <w:sz w:val="32"/>
          <w:szCs w:val="32"/>
          <w:highlight w:val="none"/>
          <w:lang w:eastAsia="zh-CN"/>
        </w:rPr>
      </w:pPr>
      <w:bookmarkStart w:id="4" w:name="_Toc25434"/>
      <w:r>
        <w:rPr>
          <w:rFonts w:hint="eastAsia" w:hAnsi="仿宋_GB2312" w:cs="仿宋_GB2312"/>
          <w:b/>
          <w:bCs/>
          <w:color w:val="auto"/>
          <w:sz w:val="32"/>
          <w:szCs w:val="32"/>
          <w:highlight w:val="none"/>
          <w:lang w:val="en-US" w:eastAsia="zh-CN"/>
        </w:rPr>
        <w:t xml:space="preserve">第一章 </w:t>
      </w:r>
      <w:r>
        <w:rPr>
          <w:rFonts w:hint="eastAsia" w:ascii="仿宋_GB2312" w:hAnsi="仿宋_GB2312" w:eastAsia="仿宋_GB2312" w:cs="仿宋_GB2312"/>
          <w:b/>
          <w:bCs/>
          <w:color w:val="auto"/>
          <w:sz w:val="32"/>
          <w:szCs w:val="32"/>
          <w:highlight w:val="none"/>
          <w:lang w:eastAsia="zh-CN"/>
        </w:rPr>
        <w:t>项目背景</w:t>
      </w:r>
      <w:bookmarkEnd w:id="4"/>
    </w:p>
    <w:p>
      <w:pPr>
        <w:keepNext w:val="0"/>
        <w:keepLines w:val="0"/>
        <w:pageBreakBefore w:val="0"/>
        <w:widowControl/>
        <w:numPr>
          <w:ilvl w:val="0"/>
          <w:numId w:val="3"/>
        </w:numPr>
        <w:shd w:val="clear"/>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黑体" w:hAnsi="黑体" w:eastAsia="黑体" w:cs="黑体"/>
          <w:b w:val="0"/>
          <w:bCs w:val="0"/>
          <w:snapToGrid w:val="0"/>
          <w:color w:val="auto"/>
          <w:kern w:val="0"/>
          <w:sz w:val="32"/>
          <w:szCs w:val="32"/>
          <w:highlight w:val="none"/>
          <w:lang w:val="en-US" w:eastAsia="zh-CN"/>
        </w:rPr>
      </w:pPr>
      <w:bookmarkStart w:id="5" w:name="_Toc14414"/>
      <w:bookmarkStart w:id="6" w:name="_Toc19806070"/>
      <w:bookmarkStart w:id="7" w:name="_Toc16089"/>
      <w:bookmarkStart w:id="8" w:name="_Toc276025909"/>
      <w:bookmarkStart w:id="9" w:name="_Toc275114978"/>
      <w:bookmarkStart w:id="10" w:name="_Toc103572163"/>
      <w:bookmarkStart w:id="11" w:name="_Toc12921"/>
      <w:r>
        <w:rPr>
          <w:rFonts w:hint="eastAsia" w:ascii="黑体" w:hAnsi="黑体" w:eastAsia="黑体" w:cs="黑体"/>
          <w:b w:val="0"/>
          <w:bCs w:val="0"/>
          <w:snapToGrid w:val="0"/>
          <w:color w:val="auto"/>
          <w:kern w:val="0"/>
          <w:sz w:val="32"/>
          <w:szCs w:val="32"/>
          <w:highlight w:val="none"/>
          <w:lang w:val="en-US" w:eastAsia="zh-CN"/>
        </w:rPr>
        <w:t>政策背景</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val="en-US" w:eastAsia="zh-CN"/>
        </w:rPr>
        <w:t>（一）政策和文件</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snapToGrid w:val="0"/>
          <w:color w:val="000000"/>
          <w:kern w:val="0"/>
          <w:sz w:val="32"/>
          <w:szCs w:val="32"/>
          <w:lang w:val="en-US" w:eastAsia="zh-CN"/>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2.做好2024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全面推进乡村振兴和建设农业强国的关键，必须加快农业农村的优先发展，不断推进农业农村综合配套的改革，解决引致经济社会发展不平衡与不充分的体制机制问题，深化农业供给侧结构性改革，聚集农业农村基础设施建设，深入开展调查研究和项目论证，认真组织编制重大建设项目规划，为乡村振兴战略顺利实施和实现农业农村高质量发展提供支撑。</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rPr>
        <w:t>3.广东省委、省政府发布了关于做好全面推进乡村振兴重点工作的实施意见，强调全面推进乡村振兴，扎实推动县镇村高质量发展，加快建设农业强省，并对实施基础设施通村入户便民利民提升工程，统筹推进“四好农村路”建设攻坚工作，加快农村公路提档升级，推动具备条件的行政村普及双车道公路等做出指示。</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（二）规划情况</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2023年2月，广东省委印发《中共广东省委关于实施“百县千镇万村高质量发展工程”促进城乡区域协调发展的决定》，把县域作为城乡融合发展的重要切入点，从推动县域高质量发展、强化乡镇联城带村的节点功能、建设宜居宜业和美乡村等方面提出多项具体要求，以全省122个县（市、区）、1609个乡镇（街道）、2.65万个行政村（社区）为主体，全面实施“百县千镇万村高质量发展工程”。到2025年，城乡融合发展体制机制基本建立，县域经济发展加快，新型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w:t>
      </w:r>
    </w:p>
    <w:p>
      <w:pPr>
        <w:keepNext w:val="0"/>
        <w:keepLines w:val="0"/>
        <w:pageBreakBefore w:val="0"/>
        <w:widowControl/>
        <w:numPr>
          <w:ilvl w:val="0"/>
          <w:numId w:val="3"/>
        </w:numPr>
        <w:shd w:val="clear"/>
        <w:kinsoku w:val="0"/>
        <w:wordWrap/>
        <w:overflowPunct/>
        <w:topLinePunct w:val="0"/>
        <w:autoSpaceDE w:val="0"/>
        <w:autoSpaceDN w:val="0"/>
        <w:bidi w:val="0"/>
        <w:adjustRightInd/>
        <w:snapToGrid/>
        <w:spacing w:line="560" w:lineRule="exact"/>
        <w:ind w:left="0" w:leftChars="0" w:firstLine="640" w:firstLineChars="200"/>
        <w:jc w:val="both"/>
        <w:textAlignment w:val="baseline"/>
        <w:rPr>
          <w:rFonts w:hint="eastAsia" w:ascii="黑体" w:hAnsi="黑体" w:eastAsia="黑体" w:cs="黑体"/>
          <w:b w:val="0"/>
          <w:bCs w:val="0"/>
          <w:snapToGrid w:val="0"/>
          <w:color w:val="auto"/>
          <w:kern w:val="0"/>
          <w:sz w:val="32"/>
          <w:szCs w:val="32"/>
          <w:highlight w:val="none"/>
          <w:lang w:val="en-US" w:eastAsia="zh-CN"/>
        </w:rPr>
      </w:pPr>
      <w:r>
        <w:rPr>
          <w:rFonts w:hint="eastAsia" w:ascii="黑体" w:hAnsi="黑体" w:eastAsia="黑体" w:cs="黑体"/>
          <w:b w:val="0"/>
          <w:bCs w:val="0"/>
          <w:snapToGrid w:val="0"/>
          <w:color w:val="auto"/>
          <w:kern w:val="0"/>
          <w:sz w:val="32"/>
          <w:szCs w:val="32"/>
          <w:highlight w:val="none"/>
          <w:lang w:val="en-US" w:eastAsia="zh-CN"/>
        </w:rPr>
        <w:t>区域背景</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（一）区域经济现状与社会背景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大罗村位于番禺区沙头街东北面，东</w:t>
      </w:r>
      <w:r>
        <w:rPr>
          <w:rFonts w:hint="default" w:ascii="仿宋_GB2312" w:hAnsi="仿宋_GB2312" w:eastAsia="仿宋_GB2312" w:cs="仿宋_GB2312"/>
          <w:sz w:val="32"/>
          <w:szCs w:val="32"/>
          <w:lang w:val="en-US" w:eastAsia="zh-CN"/>
        </w:rPr>
        <w:t>靠市广路</w:t>
      </w:r>
      <w:r>
        <w:rPr>
          <w:rFonts w:hint="eastAsia" w:ascii="仿宋_GB2312" w:hAnsi="仿宋_GB2312" w:eastAsia="仿宋_GB2312" w:cs="仿宋_GB2312"/>
          <w:sz w:val="32"/>
          <w:szCs w:val="32"/>
          <w:lang w:val="en-US" w:eastAsia="zh-CN"/>
        </w:rPr>
        <w:t>、银平路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西临莲花大道，地理优越，</w:t>
      </w:r>
      <w:r>
        <w:rPr>
          <w:rFonts w:hint="default" w:ascii="仿宋_GB2312" w:hAnsi="仿宋_GB2312" w:eastAsia="仿宋_GB2312" w:cs="仿宋_GB2312"/>
          <w:sz w:val="32"/>
          <w:szCs w:val="32"/>
          <w:lang w:val="en-US" w:eastAsia="zh-CN"/>
        </w:rPr>
        <w:t>交通便利</w:t>
      </w:r>
      <w:r>
        <w:rPr>
          <w:rFonts w:hint="eastAsia" w:ascii="仿宋_GB2312" w:hAnsi="仿宋_GB2312" w:eastAsia="仿宋_GB2312" w:cs="仿宋_GB2312"/>
          <w:sz w:val="32"/>
          <w:szCs w:val="32"/>
          <w:lang w:val="en-US" w:eastAsia="zh-CN"/>
        </w:rPr>
        <w:t>，距广州市中心城区约25公里，距番禺区中心城区约5公里。始建于明朝万历年间，旧时因村前有鱼塘，后有罗山岗，故称“罗塘”，村分南北两约，地大人多的南约被称“大罗塘”，后称大罗村。大罗村土地面积为0.4平方公里,下辖4个村民生产队。辖内有竹居陈公祠、碧川刘公祠、袁氏宗祠等一批有历史记忆、颇具岭南祠堂建筑特色的古民居建筑，始建于明清时期，并于近代重修，3座宗祠均被评为番禺区登记文物保护单位。村内公共设施配套完善，村内家庭通电率100%，通讯网络信号覆盖率、宽带网络使用率、有线电视使用率、道路硬底化、自来水入户率、行政村生活污水处理率以及垃圾无害化处理率均达100%，</w:t>
      </w:r>
      <w:r>
        <w:rPr>
          <w:rFonts w:hint="eastAsia" w:ascii="仿宋_GB2312" w:hAnsi="仿宋_GB2312" w:eastAsia="仿宋_GB2312" w:cs="仿宋_GB2312"/>
          <w:sz w:val="32"/>
          <w:szCs w:val="32"/>
        </w:rPr>
        <w:t>三线”基本规范有序</w:t>
      </w:r>
      <w:r>
        <w:rPr>
          <w:rFonts w:hint="eastAsia" w:ascii="仿宋_GB2312" w:hAnsi="仿宋_GB2312" w:eastAsia="仿宋_GB2312" w:cs="仿宋_GB2312"/>
          <w:sz w:val="32"/>
          <w:szCs w:val="32"/>
          <w:lang w:val="en-US" w:eastAsia="zh-CN"/>
        </w:rPr>
        <w:t>。</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（二）道路现状及存在问题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大罗村内的主要道路网络由瓦边路、新村大路、东约大街、西约南路、西约大街、校前大街等主要干道和小巷组成。村内道路已全部硬底化，部分主干道已铺设沥青，但由于道路建设年代不一，路况也参差不齐。长期以来，由于路面老化、车辆频繁通行以及季节性降雨的腐蚀，东约大街、新村大路等交通要道遭受严重损害，严重影响村民的日常出行和生活品质，村民及周边商户对于改善道路状况的呼声日益高涨，希望能够通过进一步的道路建设和维护，提高生活质量，促进村庄的经济发展。</w:t>
      </w:r>
    </w:p>
    <w:p>
      <w:pPr>
        <w:pStyle w:val="2"/>
        <w:ind w:left="0" w:leftChars="0" w:firstLine="0" w:firstLineChars="0"/>
        <w:jc w:val="center"/>
        <w:rPr>
          <w:rFonts w:hint="default"/>
          <w:sz w:val="32"/>
          <w:szCs w:val="32"/>
          <w:lang w:val="en-US" w:eastAsia="zh-CN"/>
        </w:rPr>
      </w:pPr>
      <w:r>
        <w:rPr>
          <w:rFonts w:hint="default"/>
          <w:sz w:val="32"/>
          <w:szCs w:val="32"/>
          <w:lang w:val="en-US" w:eastAsia="zh-CN"/>
        </w:rPr>
        <w:drawing>
          <wp:inline distT="0" distB="0" distL="114300" distR="114300">
            <wp:extent cx="4685030" cy="2869565"/>
            <wp:effectExtent l="0" t="0" r="1270" b="6985"/>
            <wp:docPr id="2" name="图片 2" descr="4e0826f71c620daa388d90d07ef3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0826f71c620daa388d90d07ef305c"/>
                    <pic:cNvPicPr>
                      <a:picLocks noChangeAspect="1"/>
                    </pic:cNvPicPr>
                  </pic:nvPicPr>
                  <pic:blipFill>
                    <a:blip r:embed="rId8"/>
                    <a:stretch>
                      <a:fillRect/>
                    </a:stretch>
                  </pic:blipFill>
                  <pic:spPr>
                    <a:xfrm>
                      <a:off x="0" y="0"/>
                      <a:ext cx="4685030" cy="2869565"/>
                    </a:xfrm>
                    <a:prstGeom prst="rect">
                      <a:avLst/>
                    </a:prstGeom>
                  </pic:spPr>
                </pic:pic>
              </a:graphicData>
            </a:graphic>
          </wp:inline>
        </w:drawing>
      </w:r>
    </w:p>
    <w:p>
      <w:pPr>
        <w:pStyle w:val="2"/>
        <w:ind w:left="0" w:leftChars="0" w:firstLine="0" w:firstLineChars="0"/>
        <w:jc w:val="both"/>
        <w:rPr>
          <w:rFonts w:hint="default"/>
          <w:sz w:val="32"/>
          <w:szCs w:val="32"/>
          <w:lang w:val="en-US" w:eastAsia="zh-CN"/>
        </w:rPr>
      </w:pPr>
    </w:p>
    <w:p>
      <w:pPr>
        <w:pStyle w:val="2"/>
        <w:ind w:left="0" w:leftChars="0" w:firstLine="0" w:firstLineChars="0"/>
        <w:jc w:val="center"/>
        <w:rPr>
          <w:rFonts w:hint="default"/>
          <w:sz w:val="32"/>
          <w:szCs w:val="32"/>
          <w:lang w:val="en-US" w:eastAsia="zh-CN"/>
        </w:rPr>
      </w:pPr>
      <w:r>
        <w:rPr>
          <w:rFonts w:hint="default"/>
          <w:sz w:val="32"/>
          <w:szCs w:val="32"/>
          <w:lang w:val="en-US" w:eastAsia="zh-CN"/>
        </w:rPr>
        <w:drawing>
          <wp:inline distT="0" distB="0" distL="114300" distR="114300">
            <wp:extent cx="4791710" cy="2964815"/>
            <wp:effectExtent l="0" t="0" r="8890" b="6985"/>
            <wp:docPr id="3" name="图片 3" descr="cd6cf55feadd3ad11132e9e9cc09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6cf55feadd3ad11132e9e9cc094b5"/>
                    <pic:cNvPicPr>
                      <a:picLocks noChangeAspect="1"/>
                    </pic:cNvPicPr>
                  </pic:nvPicPr>
                  <pic:blipFill>
                    <a:blip r:embed="rId9"/>
                    <a:stretch>
                      <a:fillRect/>
                    </a:stretch>
                  </pic:blipFill>
                  <pic:spPr>
                    <a:xfrm>
                      <a:off x="0" y="0"/>
                      <a:ext cx="4791710" cy="2964815"/>
                    </a:xfrm>
                    <a:prstGeom prst="rect">
                      <a:avLst/>
                    </a:prstGeom>
                  </pic:spPr>
                </pic:pic>
              </a:graphicData>
            </a:graphic>
          </wp:inline>
        </w:drawing>
      </w:r>
    </w:p>
    <w:p>
      <w:pPr>
        <w:pStyle w:val="2"/>
        <w:ind w:left="0" w:leftChars="0" w:firstLine="0" w:firstLineChars="0"/>
        <w:jc w:val="both"/>
        <w:rPr>
          <w:rFonts w:hint="default"/>
          <w:sz w:val="32"/>
          <w:szCs w:val="32"/>
          <w:lang w:val="en-US" w:eastAsia="zh-CN"/>
        </w:rPr>
      </w:pPr>
    </w:p>
    <w:p>
      <w:pPr>
        <w:pStyle w:val="2"/>
        <w:ind w:left="0" w:leftChars="0" w:firstLine="0" w:firstLineChars="0"/>
        <w:jc w:val="both"/>
        <w:rPr>
          <w:rFonts w:hint="default"/>
          <w:sz w:val="32"/>
          <w:szCs w:val="32"/>
          <w:lang w:val="en-US" w:eastAsia="zh-CN"/>
        </w:rPr>
      </w:pPr>
    </w:p>
    <w:p>
      <w:pPr>
        <w:pStyle w:val="2"/>
        <w:keepNext w:val="0"/>
        <w:keepLines w:val="0"/>
        <w:pageBreakBefore w:val="0"/>
        <w:numPr>
          <w:ilvl w:val="0"/>
          <w:numId w:val="3"/>
        </w:numPr>
        <w:wordWrap/>
        <w:overflowPunct/>
        <w:topLinePunct w:val="0"/>
        <w:bidi w:val="0"/>
        <w:spacing w:line="560" w:lineRule="exact"/>
        <w:ind w:left="0" w:leftChars="0" w:firstLine="640" w:firstLineChars="200"/>
        <w:rPr>
          <w:rFonts w:hint="eastAsia" w:ascii="黑体" w:hAnsi="黑体" w:eastAsia="黑体" w:cs="黑体"/>
          <w:b w:val="0"/>
          <w:bCs w:val="0"/>
          <w:snapToGrid w:val="0"/>
          <w:color w:val="auto"/>
          <w:kern w:val="0"/>
          <w:sz w:val="32"/>
          <w:szCs w:val="32"/>
          <w:highlight w:val="none"/>
          <w:lang w:val="en-US" w:eastAsia="zh-CN"/>
        </w:rPr>
      </w:pPr>
      <w:r>
        <w:rPr>
          <w:rFonts w:hint="eastAsia" w:ascii="黑体" w:hAnsi="黑体" w:eastAsia="黑体" w:cs="黑体"/>
          <w:b w:val="0"/>
          <w:bCs w:val="0"/>
          <w:snapToGrid w:val="0"/>
          <w:color w:val="auto"/>
          <w:kern w:val="0"/>
          <w:sz w:val="32"/>
          <w:szCs w:val="32"/>
          <w:highlight w:val="none"/>
          <w:lang w:val="en-US" w:eastAsia="zh-CN"/>
        </w:rPr>
        <w:t>项目由来</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大罗村作为大罗塘珠宝首饰集聚区的核心区域，具有</w:t>
      </w:r>
      <w:r>
        <w:rPr>
          <w:rFonts w:hint="default" w:ascii="仿宋_GB2312" w:hAnsi="仿宋_GB2312" w:eastAsia="仿宋_GB2312" w:cs="仿宋_GB2312"/>
          <w:kern w:val="2"/>
          <w:sz w:val="32"/>
          <w:szCs w:val="32"/>
          <w:lang w:val="en-US" w:eastAsia="zh-CN" w:bidi="ar-SA"/>
        </w:rPr>
        <w:t>兴旺的产业环境</w:t>
      </w:r>
      <w:r>
        <w:rPr>
          <w:rFonts w:hint="eastAsia" w:ascii="仿宋_GB2312" w:hAnsi="仿宋_GB2312" w:eastAsia="仿宋_GB2312" w:cs="仿宋_GB2312"/>
          <w:kern w:val="2"/>
          <w:sz w:val="32"/>
          <w:szCs w:val="32"/>
          <w:lang w:val="en-US" w:eastAsia="zh-CN" w:bidi="ar-SA"/>
        </w:rPr>
        <w:t>，产业兴旺</w:t>
      </w:r>
      <w:r>
        <w:rPr>
          <w:rFonts w:hint="default" w:ascii="仿宋_GB2312" w:hAnsi="仿宋_GB2312" w:eastAsia="仿宋_GB2312" w:cs="仿宋_GB2312"/>
          <w:kern w:val="2"/>
          <w:sz w:val="32"/>
          <w:szCs w:val="32"/>
          <w:lang w:val="en-US" w:eastAsia="zh-CN" w:bidi="ar-SA"/>
        </w:rPr>
        <w:t>带来了大量就业岗位，吸引了大量外来人口租住在大罗村。</w:t>
      </w:r>
      <w:r>
        <w:rPr>
          <w:rFonts w:hint="eastAsia" w:hAnsi="仿宋_GB2312" w:cs="仿宋_GB2312"/>
          <w:kern w:val="2"/>
          <w:sz w:val="32"/>
          <w:szCs w:val="32"/>
          <w:lang w:val="en-US" w:eastAsia="zh-CN" w:bidi="ar-SA"/>
        </w:rPr>
        <w:t>道路作为城中村配套基础设施建设内容的重要组成部分，是营商“硬”环境的重要交通服务保障。</w:t>
      </w:r>
      <w:bookmarkStart w:id="12" w:name="_Toc27565"/>
    </w:p>
    <w:p>
      <w:pPr>
        <w:pStyle w:val="2"/>
        <w:keepNext w:val="0"/>
        <w:keepLines w:val="0"/>
        <w:pageBreakBefore w:val="0"/>
        <w:numPr>
          <w:ilvl w:val="0"/>
          <w:numId w:val="0"/>
        </w:numPr>
        <w:wordWrap/>
        <w:overflowPunct/>
        <w:topLinePunct w:val="0"/>
        <w:bidi w:val="0"/>
        <w:spacing w:line="560" w:lineRule="exact"/>
        <w:ind w:firstLine="640" w:firstLineChars="200"/>
        <w:rPr>
          <w:rFonts w:hint="default"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本次人居环境升级改造项目覆盖大罗村使用频率极高的路段，全长约400米，存在路面破损、坑洼不平、排水不畅等问题，亟需改造提升，切实营造安全、畅通、整洁的通行环境，以更好的道路出行和人居环境体验和更优质的服务保障推动大罗村营商环境持续优化。</w:t>
      </w:r>
      <w:bookmarkEnd w:id="12"/>
    </w:p>
    <w:p>
      <w:pPr>
        <w:pStyle w:val="2"/>
        <w:keepNext w:val="0"/>
        <w:keepLines w:val="0"/>
        <w:pageBreakBefore w:val="0"/>
        <w:wordWrap/>
        <w:overflowPunct/>
        <w:topLinePunct w:val="0"/>
        <w:bidi w:val="0"/>
        <w:spacing w:line="560" w:lineRule="exact"/>
        <w:ind w:left="0" w:leftChars="0" w:firstLine="640" w:firstLineChars="200"/>
        <w:rPr>
          <w:rFonts w:hint="default" w:ascii="黑体" w:hAnsi="黑体" w:eastAsia="黑体" w:cs="黑体"/>
          <w:b w:val="0"/>
          <w:bCs w:val="0"/>
          <w:snapToGrid w:val="0"/>
          <w:color w:val="auto"/>
          <w:kern w:val="0"/>
          <w:sz w:val="32"/>
          <w:szCs w:val="32"/>
          <w:highlight w:val="none"/>
          <w:lang w:val="en-US" w:eastAsia="zh-CN"/>
        </w:rPr>
      </w:pPr>
      <w:r>
        <w:rPr>
          <w:rFonts w:hint="eastAsia" w:ascii="黑体" w:hAnsi="黑体" w:eastAsia="黑体" w:cs="黑体"/>
          <w:b w:val="0"/>
          <w:bCs w:val="0"/>
          <w:snapToGrid w:val="0"/>
          <w:color w:val="auto"/>
          <w:kern w:val="0"/>
          <w:sz w:val="32"/>
          <w:szCs w:val="32"/>
          <w:highlight w:val="none"/>
          <w:lang w:val="en-US" w:eastAsia="zh-CN"/>
        </w:rPr>
        <w:t>四、项目建设必要性</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（一）政策必要性</w:t>
      </w:r>
    </w:p>
    <w:p>
      <w:pPr>
        <w:pStyle w:val="11"/>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textAlignment w:val="bottom"/>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2"/>
          <w:sz w:val="32"/>
          <w:szCs w:val="32"/>
          <w:lang w:val="en-US" w:eastAsia="zh-CN" w:bidi="ar-SA"/>
        </w:rPr>
        <w:t>为贯彻落实《中共中央国务院关于实施乡村振兴战略的意见》、《中共广东省委关于实施“百县千镇万村高质量发展工程”促进城乡区域协调发展的决定》、《番禺区国土空间总体规划（2021-2035年）》等要求，计划实施大罗村人居环境升级改造项目。</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（二）社会经济发展必要性</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hAnsi="仿宋_GB2312" w:cs="仿宋_GB2312"/>
          <w:sz w:val="32"/>
          <w:szCs w:val="32"/>
          <w:lang w:val="en-US" w:eastAsia="zh-CN"/>
        </w:rPr>
      </w:pPr>
      <w:r>
        <w:rPr>
          <w:rFonts w:hint="eastAsia" w:ascii="楷体" w:hAnsi="楷体" w:eastAsia="楷体" w:cs="楷体"/>
          <w:sz w:val="32"/>
          <w:szCs w:val="32"/>
          <w:lang w:val="en-US" w:eastAsia="zh-CN"/>
        </w:rPr>
        <w:t>1.</w:t>
      </w:r>
      <w:r>
        <w:rPr>
          <w:rFonts w:hint="eastAsia" w:ascii="仿宋_GB2312" w:hAnsi="仿宋_GB2312" w:eastAsia="仿宋_GB2312" w:cs="仿宋_GB2312"/>
          <w:sz w:val="32"/>
          <w:szCs w:val="32"/>
          <w:lang w:val="en-US" w:eastAsia="zh-CN"/>
        </w:rPr>
        <w:t>完善公共设施配套</w:t>
      </w:r>
      <w:r>
        <w:rPr>
          <w:rFonts w:hint="eastAsia" w:hAnsi="仿宋_GB2312" w:cs="仿宋_GB2312"/>
          <w:sz w:val="32"/>
          <w:szCs w:val="32"/>
          <w:lang w:val="en-US" w:eastAsia="zh-CN"/>
        </w:rPr>
        <w:t>。完善道路基础设施建设，是加快推进乡村振兴、助力“百千万工程”的重要抓手，实施大罗村人居环境升级改造项目，对村内道路铺设沥青，有助于完善村内基础设施建设，一方面有利于美化村人居环境，沥青道路不仅美观，且能有效减少噪音和扬尘；另一方面有助于提高道路通行能力，沥青改造可以有效解决道路积水问题，提高村内道路的耐久性、承载能力和使用寿命，提升行车的安全性和舒适度。</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2.提升经济发展效益。项目通过财政补助实施，资金投入能够迅速转化为实体资产，长期服务于村庄，道路设施对于产业发展提供重要支撑作用，一方面便利的交通通过提高生产、经营、运输效率，为企业提供良好的投资环境，帮助企业降本增效，提高城中村的产业竞争力；另一方面，大罗村作为珠宝集聚区的核心区，良好的道路条件能够提供更优良的珠宝购买体验，带动珠宝产业的繁荣。</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（三）可持续发展必要性</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本次拟建项目不涉及耕地保护范围、生态保护红线、河道蓝线等各类控制线占用。实施土料利用开挖料，弃渣全部运至指定的弃渣场，不涉及上料场和弃渣场临时征地问题。此外积极减少施工现场材料浪费和能源消耗水资源减少现场施工对环境的干扰和污染，且对道路铺设沥青能有效减少噪音和扬尘，减少对水资源的消耗和污染排放，符合绿色发展的理念。</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（四）建设单位的发展需求</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随着乡村振兴战略的深入实施，对基础设施现代化的需求日益迫切，提升道路基础设施建设是响应国家政策，落实乡村治理体系和治理能力现代化的重要举措，符合大罗村的长远发展目标。大罗村作为“百千万工程”第二批典型村，为响应“百千万工程”，将人居环境整治、基础设施建设和绿美建设作为城中村工作的重点，旨在打造宜居、宜业的美丽乡村，提升村民的生活品质和幸福感，营造近悦远来的营商环境，对城中村集体经济持续健康发展具有综合性、全局性和战略性的影响作用。</w:t>
      </w:r>
    </w:p>
    <w:p>
      <w:pPr>
        <w:pStyle w:val="2"/>
        <w:rPr>
          <w:rFonts w:hint="eastAsia"/>
          <w:lang w:val="en-US" w:eastAsia="zh-CN"/>
        </w:rPr>
      </w:pPr>
    </w:p>
    <w:bookmarkEnd w:id="5"/>
    <w:bookmarkEnd w:id="6"/>
    <w:bookmarkEnd w:id="7"/>
    <w:bookmarkEnd w:id="8"/>
    <w:bookmarkEnd w:id="9"/>
    <w:bookmarkEnd w:id="10"/>
    <w:bookmarkEnd w:id="11"/>
    <w:p>
      <w:pPr>
        <w:pStyle w:val="2"/>
        <w:keepNext w:val="0"/>
        <w:keepLines w:val="0"/>
        <w:pageBreakBefore w:val="0"/>
        <w:numPr>
          <w:ilvl w:val="0"/>
          <w:numId w:val="0"/>
        </w:numPr>
        <w:kinsoku/>
        <w:wordWrap/>
        <w:overflowPunct/>
        <w:topLinePunct w:val="0"/>
        <w:autoSpaceDE/>
        <w:autoSpaceDN/>
        <w:bidi w:val="0"/>
        <w:adjustRightInd/>
        <w:spacing w:line="560" w:lineRule="exact"/>
        <w:ind w:leftChars="200"/>
        <w:jc w:val="center"/>
        <w:outlineLvl w:val="0"/>
        <w:rPr>
          <w:rFonts w:hint="eastAsia" w:ascii="仿宋_GB2312" w:hAnsi="仿宋_GB2312" w:eastAsia="仿宋_GB2312" w:cs="仿宋_GB2312"/>
          <w:b/>
          <w:bCs/>
          <w:color w:val="auto"/>
          <w:sz w:val="32"/>
          <w:szCs w:val="32"/>
          <w:highlight w:val="none"/>
          <w:lang w:val="en-US" w:eastAsia="zh-CN"/>
        </w:rPr>
      </w:pPr>
      <w:bookmarkStart w:id="13" w:name="_Toc31565"/>
      <w:r>
        <w:rPr>
          <w:rFonts w:hint="eastAsia" w:hAnsi="仿宋_GB2312" w:cs="仿宋_GB2312"/>
          <w:b/>
          <w:bCs/>
          <w:color w:val="auto"/>
          <w:sz w:val="32"/>
          <w:szCs w:val="32"/>
          <w:highlight w:val="none"/>
          <w:lang w:val="en-US" w:eastAsia="zh-CN"/>
        </w:rPr>
        <w:t xml:space="preserve">第二章 </w:t>
      </w:r>
      <w:r>
        <w:rPr>
          <w:rFonts w:hint="eastAsia" w:ascii="仿宋_GB2312" w:hAnsi="仿宋_GB2312" w:eastAsia="仿宋_GB2312" w:cs="仿宋_GB2312"/>
          <w:b/>
          <w:bCs/>
          <w:color w:val="auto"/>
          <w:sz w:val="32"/>
          <w:szCs w:val="32"/>
          <w:highlight w:val="none"/>
          <w:lang w:val="en-US" w:eastAsia="zh-CN"/>
        </w:rPr>
        <w:t>建设内容</w:t>
      </w:r>
      <w:bookmarkEnd w:id="13"/>
    </w:p>
    <w:p>
      <w:pPr>
        <w:pStyle w:val="10"/>
        <w:keepNext w:val="0"/>
        <w:keepLines w:val="0"/>
        <w:pageBreakBefore w:val="0"/>
        <w:numPr>
          <w:ilvl w:val="0"/>
          <w:numId w:val="4"/>
        </w:numPr>
        <w:kinsoku/>
        <w:wordWrap/>
        <w:overflowPunct/>
        <w:topLinePunct w:val="0"/>
        <w:autoSpaceDE/>
        <w:autoSpaceDN/>
        <w:bidi w:val="0"/>
        <w:adjustRightInd/>
        <w:spacing w:line="560" w:lineRule="exact"/>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建设原则</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坚持导向，服务大局</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以人为本，对接需求</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统筹规划，共建共享</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因地制宜，分类</w:t>
      </w:r>
      <w:r>
        <w:rPr>
          <w:rFonts w:hint="eastAsia" w:ascii="仿宋_GB2312" w:hAnsi="仿宋_GB2312" w:eastAsia="仿宋_GB2312" w:cs="仿宋_GB2312"/>
          <w:sz w:val="32"/>
          <w:szCs w:val="32"/>
          <w:lang w:val="en-US" w:eastAsia="zh-CN"/>
        </w:rPr>
        <w:t>指导</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rPr>
        <w:t>改革创新，提升效能</w:t>
      </w:r>
    </w:p>
    <w:p>
      <w:pPr>
        <w:pStyle w:val="10"/>
        <w:keepNext w:val="0"/>
        <w:keepLines w:val="0"/>
        <w:pageBreakBefore w:val="0"/>
        <w:numPr>
          <w:ilvl w:val="0"/>
          <w:numId w:val="4"/>
        </w:numPr>
        <w:kinsoku/>
        <w:wordWrap/>
        <w:overflowPunct/>
        <w:topLinePunct w:val="0"/>
        <w:autoSpaceDE/>
        <w:autoSpaceDN/>
        <w:bidi w:val="0"/>
        <w:adjustRightInd/>
        <w:spacing w:line="560" w:lineRule="exact"/>
        <w:ind w:firstLine="640" w:firstLineChars="200"/>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建设内容</w:t>
      </w:r>
    </w:p>
    <w:p>
      <w:pPr>
        <w:pStyle w:val="10"/>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本次升级提升为大罗村新村大路和东约大街道路升级改造，建设地点位于沙头街大罗村新村大路及东约大街，建设内容为铺设沥青，包括：</w:t>
      </w:r>
      <w:bookmarkStart w:id="14" w:name="OLE_LINK4"/>
      <w:bookmarkStart w:id="15" w:name="OLE_LINK3"/>
      <w:r>
        <w:rPr>
          <w:rFonts w:hint="eastAsia" w:ascii="仿宋_GB2312" w:hAnsi="仿宋_GB2312" w:eastAsia="仿宋_GB2312" w:cs="仿宋_GB2312"/>
          <w:color w:val="auto"/>
          <w:kern w:val="0"/>
          <w:sz w:val="32"/>
          <w:szCs w:val="32"/>
          <w:lang w:val="en-US" w:eastAsia="zh-CN" w:bidi="ar-SA"/>
        </w:rPr>
        <w:t>1.新村大路道路升级改造长度约194米，最宽处约21米（含部分停车位），最窄处约7.4米，平均宽度约14.8米，总面积约2880平方米；2.东约大街两端长约207米，最宽处约8.3米，最窄处约4米，平均宽度约6.7米，总面积约1390平方米</w:t>
      </w:r>
      <w:bookmarkEnd w:id="14"/>
      <w:r>
        <w:rPr>
          <w:rFonts w:hint="eastAsia" w:ascii="仿宋_GB2312" w:hAnsi="仿宋_GB2312" w:eastAsia="仿宋_GB2312" w:cs="仿宋_GB2312"/>
          <w:color w:val="auto"/>
          <w:kern w:val="0"/>
          <w:sz w:val="32"/>
          <w:szCs w:val="32"/>
          <w:lang w:val="en-US" w:eastAsia="zh-CN" w:bidi="ar-SA"/>
        </w:rPr>
        <w:t>。</w:t>
      </w:r>
    </w:p>
    <w:p>
      <w:pPr>
        <w:pStyle w:val="10"/>
        <w:keepNext w:val="0"/>
        <w:keepLines w:val="0"/>
        <w:pageBreakBefore w:val="0"/>
        <w:numPr>
          <w:ilvl w:val="0"/>
          <w:numId w:val="4"/>
        </w:numPr>
        <w:kinsoku/>
        <w:wordWrap/>
        <w:overflowPunct/>
        <w:topLinePunct w:val="0"/>
        <w:autoSpaceDE/>
        <w:autoSpaceDN/>
        <w:bidi w:val="0"/>
        <w:adjustRightInd/>
        <w:spacing w:line="560" w:lineRule="exact"/>
        <w:ind w:firstLine="640" w:firstLineChars="200"/>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建设地点</w:t>
      </w:r>
    </w:p>
    <w:p>
      <w:pPr>
        <w:pStyle w:val="10"/>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bookmarkStart w:id="29" w:name="_GoBack"/>
      <w:r>
        <w:rPr>
          <w:sz w:val="32"/>
          <w:szCs w:val="32"/>
        </w:rPr>
        <w:drawing>
          <wp:anchor distT="0" distB="0" distL="114300" distR="114300" simplePos="0" relativeHeight="251659264" behindDoc="0" locked="0" layoutInCell="1" allowOverlap="1">
            <wp:simplePos x="0" y="0"/>
            <wp:positionH relativeFrom="column">
              <wp:posOffset>166370</wp:posOffset>
            </wp:positionH>
            <wp:positionV relativeFrom="paragraph">
              <wp:posOffset>395605</wp:posOffset>
            </wp:positionV>
            <wp:extent cx="4585335" cy="2444115"/>
            <wp:effectExtent l="0" t="0" r="5715"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85335" cy="2444115"/>
                    </a:xfrm>
                    <a:prstGeom prst="rect">
                      <a:avLst/>
                    </a:prstGeom>
                    <a:noFill/>
                    <a:ln>
                      <a:noFill/>
                    </a:ln>
                  </pic:spPr>
                </pic:pic>
              </a:graphicData>
            </a:graphic>
          </wp:anchor>
        </w:drawing>
      </w:r>
      <w:bookmarkEnd w:id="29"/>
      <w:r>
        <w:rPr>
          <w:rFonts w:hint="eastAsia" w:ascii="仿宋_GB2312" w:hAnsi="仿宋_GB2312" w:eastAsia="仿宋_GB2312" w:cs="仿宋_GB2312"/>
          <w:color w:val="auto"/>
          <w:kern w:val="0"/>
          <w:sz w:val="32"/>
          <w:szCs w:val="32"/>
          <w:lang w:val="en-US" w:eastAsia="zh-CN" w:bidi="ar-SA"/>
        </w:rPr>
        <w:t>项目建设地点位于沙头街大罗村新村大路及东约大街。</w:t>
      </w:r>
    </w:p>
    <w:p>
      <w:pPr>
        <w:pStyle w:val="10"/>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p>
    <w:bookmarkEnd w:id="15"/>
    <w:p>
      <w:pPr>
        <w:pStyle w:val="2"/>
        <w:keepNext w:val="0"/>
        <w:keepLines w:val="0"/>
        <w:pageBreakBefore w:val="0"/>
        <w:widowControl/>
        <w:numPr>
          <w:ilvl w:val="0"/>
          <w:numId w:val="0"/>
        </w:numPr>
        <w:kinsoku/>
        <w:wordWrap/>
        <w:overflowPunct/>
        <w:topLinePunct w:val="0"/>
        <w:autoSpaceDE/>
        <w:autoSpaceDN/>
        <w:bidi w:val="0"/>
        <w:spacing w:line="560" w:lineRule="exact"/>
        <w:ind w:leftChars="200"/>
        <w:jc w:val="center"/>
        <w:outlineLvl w:val="0"/>
        <w:rPr>
          <w:rFonts w:hint="eastAsia" w:ascii="仿宋_GB2312" w:hAnsi="仿宋_GB2312" w:eastAsia="仿宋_GB2312" w:cs="仿宋_GB2312"/>
          <w:b/>
          <w:bCs/>
          <w:color w:val="auto"/>
          <w:sz w:val="32"/>
          <w:szCs w:val="32"/>
          <w:highlight w:val="none"/>
          <w:lang w:val="en-US" w:eastAsia="zh-CN"/>
        </w:rPr>
      </w:pPr>
      <w:bookmarkStart w:id="16" w:name="_Toc11436"/>
      <w:r>
        <w:rPr>
          <w:rFonts w:hint="eastAsia" w:hAnsi="仿宋_GB2312" w:cs="仿宋_GB2312"/>
          <w:b/>
          <w:bCs/>
          <w:color w:val="auto"/>
          <w:sz w:val="32"/>
          <w:szCs w:val="32"/>
          <w:highlight w:val="none"/>
          <w:lang w:val="en-US" w:eastAsia="zh-CN"/>
        </w:rPr>
        <w:t xml:space="preserve">第三章 </w:t>
      </w:r>
      <w:r>
        <w:rPr>
          <w:rFonts w:hint="eastAsia" w:ascii="仿宋_GB2312" w:hAnsi="仿宋_GB2312" w:eastAsia="仿宋_GB2312" w:cs="仿宋_GB2312"/>
          <w:b/>
          <w:bCs/>
          <w:color w:val="auto"/>
          <w:sz w:val="32"/>
          <w:szCs w:val="32"/>
          <w:highlight w:val="none"/>
          <w:lang w:val="en-US" w:eastAsia="zh-CN"/>
        </w:rPr>
        <w:t>项目投资</w:t>
      </w:r>
      <w:bookmarkEnd w:id="16"/>
    </w:p>
    <w:p>
      <w:pPr>
        <w:pStyle w:val="10"/>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一、投资估算编制说明</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（一）编制范围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zh-CN"/>
        </w:rPr>
        <w:t>编制范围主要</w:t>
      </w:r>
      <w:r>
        <w:rPr>
          <w:rFonts w:hint="eastAsia" w:ascii="仿宋_GB2312" w:hAnsi="仿宋_GB2312" w:eastAsia="仿宋_GB2312" w:cs="仿宋_GB2312"/>
          <w:color w:val="auto"/>
          <w:sz w:val="32"/>
          <w:szCs w:val="32"/>
          <w:lang w:val="en-US" w:eastAsia="zh-CN"/>
        </w:rPr>
        <w:t>以大罗村为基本单位</w:t>
      </w:r>
      <w:r>
        <w:rPr>
          <w:rFonts w:hint="eastAsia" w:ascii="仿宋_GB2312" w:hAnsi="仿宋_GB2312" w:eastAsia="仿宋_GB2312" w:cs="仿宋_GB2312"/>
          <w:color w:val="auto"/>
          <w:sz w:val="32"/>
          <w:szCs w:val="32"/>
          <w:lang w:val="zh-CN"/>
        </w:rPr>
        <w:t>，优先进行村容村貌提升、道路建设和管护机制的建立及</w:t>
      </w:r>
      <w:r>
        <w:rPr>
          <w:rFonts w:hint="eastAsia" w:ascii="仿宋_GB2312" w:hAnsi="仿宋_GB2312" w:eastAsia="仿宋_GB2312" w:cs="仿宋_GB2312"/>
          <w:color w:val="auto"/>
          <w:sz w:val="32"/>
          <w:szCs w:val="32"/>
          <w:lang w:val="en-US" w:eastAsia="zh-CN"/>
        </w:rPr>
        <w:t>城中村</w:t>
      </w:r>
      <w:r>
        <w:rPr>
          <w:rFonts w:hint="eastAsia" w:ascii="仿宋_GB2312" w:hAnsi="仿宋_GB2312" w:eastAsia="仿宋_GB2312" w:cs="仿宋_GB2312"/>
          <w:color w:val="auto"/>
          <w:sz w:val="32"/>
          <w:szCs w:val="32"/>
          <w:lang w:val="zh-CN"/>
        </w:rPr>
        <w:t>人居环境整治配套建设。</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项目概况：大罗村人居环境升级改造项目，建设地点位于沙头街大罗村新村大路及东约大街，建设内容为铺设沥青，旨在</w:t>
      </w:r>
      <w:r>
        <w:rPr>
          <w:rFonts w:hint="eastAsia" w:ascii="仿宋_GB2312" w:hAnsi="仿宋_GB2312" w:eastAsia="仿宋_GB2312" w:cs="仿宋_GB2312"/>
          <w:sz w:val="32"/>
          <w:szCs w:val="32"/>
          <w:lang w:val="en-US" w:eastAsia="zh-CN"/>
        </w:rPr>
        <w:t>完善道路基础设施建设，改善城中村人居环境，完善道路基础设施建设，打造宜居、宜业的美丽乡村，</w:t>
      </w:r>
      <w:r>
        <w:rPr>
          <w:rFonts w:hint="eastAsia" w:ascii="仿宋_GB2312" w:hAnsi="仿宋_GB2312" w:eastAsia="仿宋_GB2312" w:cs="仿宋_GB2312"/>
          <w:sz w:val="32"/>
          <w:szCs w:val="32"/>
          <w:shd w:val="clear" w:color="auto" w:fill="auto"/>
          <w:lang w:val="en-US" w:eastAsia="zh-CN"/>
        </w:rPr>
        <w:t>提升村民的生活品质和幸福感，营造近悦远来的营商环境。</w:t>
      </w:r>
    </w:p>
    <w:p>
      <w:pPr>
        <w:pStyle w:val="10"/>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shd w:val="clear" w:color="auto" w:fill="auto"/>
          <w:lang w:val="en-US" w:eastAsia="zh-CN"/>
        </w:rPr>
        <w:t>2.建设规模：</w:t>
      </w:r>
      <w:r>
        <w:rPr>
          <w:rFonts w:hint="eastAsia" w:ascii="仿宋_GB2312" w:hAnsi="仿宋_GB2312" w:eastAsia="仿宋_GB2312" w:cs="仿宋_GB2312"/>
          <w:color w:val="auto"/>
          <w:kern w:val="0"/>
          <w:sz w:val="32"/>
          <w:szCs w:val="32"/>
          <w:lang w:val="en-US" w:eastAsia="zh-CN" w:bidi="ar-SA"/>
        </w:rPr>
        <w:t>本次</w:t>
      </w:r>
      <w:r>
        <w:rPr>
          <w:rFonts w:hint="eastAsia" w:ascii="仿宋_GB2312" w:hAnsi="仿宋_GB2312" w:eastAsia="仿宋_GB2312" w:cs="仿宋_GB2312"/>
          <w:color w:val="auto"/>
          <w:sz w:val="32"/>
          <w:szCs w:val="32"/>
          <w:lang w:val="en-US" w:eastAsia="zh-CN"/>
        </w:rPr>
        <w:t>人居环境升级改造项目</w:t>
      </w:r>
      <w:r>
        <w:rPr>
          <w:rFonts w:hint="eastAsia" w:ascii="仿宋_GB2312" w:hAnsi="仿宋_GB2312" w:eastAsia="仿宋_GB2312" w:cs="仿宋_GB2312"/>
          <w:color w:val="auto"/>
          <w:kern w:val="0"/>
          <w:sz w:val="32"/>
          <w:szCs w:val="32"/>
          <w:lang w:val="en-US" w:eastAsia="zh-CN" w:bidi="ar-SA"/>
        </w:rPr>
        <w:t>为大罗村新村大路和东约大街道路升级改造，建设地点位于沙头街大罗村新村大路及东约大街，其中新村大路道路升级改造长度约194米，最宽处约21米（含部分停车位），最窄处约7.4米，平均宽度约14.8米，总面积约2880平方米；东约大街两端长约207米，最宽处约8.3米，最窄处约4米，平均宽度约6.7米，总面积约1390平方米。</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（二）编制依据</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1.《农业建设项目投资估算内容和方法(NY/T1716-2009)</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2.《建设项目投资估算编审规程》（CECA/GC1-2015）</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3.《建设项目经济评价方法与参数(第三版)》</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4.《公路工程基本建设项目概算、预算编制办法》（JTGB06-2007）</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交通运输部办公厅关于印发《公路工程营业税改征增值计价依据调整方案》的通知(交办公路〔2016〕66号）</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国家发展和改革委员会、建设部《关于发布&lt;工程勘察建设收费管理规定&gt;的通知》</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国家发展计划委员会、建设部价格〔2002〕10号《工程勘察建设收费标准》</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其他有关广东省预算、概算定额，地方预算、概算定额</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最近价格水平作为估算依据。</w:t>
      </w:r>
    </w:p>
    <w:p>
      <w:pPr>
        <w:pStyle w:val="10"/>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二、投资估算</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hAnsi="仿宋_GB2312" w:cs="仿宋_GB2312"/>
          <w:b w:val="0"/>
          <w:color w:val="auto"/>
          <w:kern w:val="2"/>
          <w:sz w:val="32"/>
          <w:szCs w:val="32"/>
          <w:lang w:val="en-US" w:eastAsia="zh-CN" w:bidi="ar-SA"/>
        </w:rPr>
      </w:pPr>
      <w:r>
        <w:rPr>
          <w:rFonts w:hint="eastAsia" w:hAnsi="仿宋_GB2312" w:cs="仿宋_GB2312"/>
          <w:color w:val="auto"/>
          <w:kern w:val="0"/>
          <w:sz w:val="32"/>
          <w:szCs w:val="32"/>
          <w:lang w:val="en-US" w:eastAsia="zh-CN" w:bidi="ar-SA"/>
        </w:rPr>
        <w:t>（一）</w:t>
      </w:r>
      <w:r>
        <w:rPr>
          <w:rFonts w:hint="eastAsia" w:ascii="仿宋_GB2312" w:hAnsi="仿宋_GB2312" w:eastAsia="仿宋_GB2312" w:cs="仿宋_GB2312"/>
          <w:color w:val="auto"/>
          <w:kern w:val="0"/>
          <w:sz w:val="32"/>
          <w:szCs w:val="32"/>
          <w:lang w:val="en-US" w:eastAsia="zh-CN" w:bidi="ar-SA"/>
        </w:rPr>
        <w:t>项目总估算</w:t>
      </w:r>
      <w:r>
        <w:rPr>
          <w:rFonts w:hint="eastAsia" w:ascii="仿宋_GB2312" w:hAnsi="仿宋_GB2312" w:eastAsia="仿宋_GB2312" w:cs="仿宋_GB2312"/>
          <w:b w:val="0"/>
          <w:color w:val="auto"/>
          <w:kern w:val="2"/>
          <w:sz w:val="32"/>
          <w:szCs w:val="32"/>
          <w:lang w:val="en-US" w:eastAsia="zh-CN" w:bidi="ar-SA"/>
        </w:rPr>
        <w:t>总金额为</w:t>
      </w:r>
      <w:r>
        <w:rPr>
          <w:rFonts w:hint="eastAsia" w:hAnsi="仿宋_GB2312" w:cs="仿宋_GB2312"/>
          <w:b w:val="0"/>
          <w:color w:val="auto"/>
          <w:kern w:val="2"/>
          <w:sz w:val="32"/>
          <w:szCs w:val="32"/>
          <w:lang w:val="en-US" w:eastAsia="zh-CN" w:bidi="ar-SA"/>
        </w:rPr>
        <w:t>65</w:t>
      </w:r>
      <w:r>
        <w:rPr>
          <w:rFonts w:hint="eastAsia" w:ascii="仿宋_GB2312" w:hAnsi="仿宋_GB2312" w:eastAsia="仿宋_GB2312" w:cs="仿宋_GB2312"/>
          <w:b w:val="0"/>
          <w:color w:val="auto"/>
          <w:kern w:val="2"/>
          <w:sz w:val="32"/>
          <w:szCs w:val="32"/>
          <w:lang w:val="en-US" w:eastAsia="zh-CN" w:bidi="ar-SA"/>
        </w:rPr>
        <w:t>万元</w:t>
      </w:r>
      <w:r>
        <w:rPr>
          <w:rFonts w:hint="eastAsia" w:hAnsi="仿宋_GB2312" w:cs="仿宋_GB2312"/>
          <w:b w:val="0"/>
          <w:color w:val="auto"/>
          <w:kern w:val="2"/>
          <w:sz w:val="32"/>
          <w:szCs w:val="32"/>
          <w:lang w:val="en-US" w:eastAsia="zh-CN" w:bidi="ar-SA"/>
        </w:rPr>
        <w:t>，包括但不限于以下费用：</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1.直接工程费用：包括机动车道铺设沥青、人行道铺装修整、交通标线、道路分隔护栏、路障等施工设备租赁、材料费用、人工费用等费用。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2.设计、监理费用：项目设计、施工监理等专业服务费用。</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color w:val="auto"/>
          <w:kern w:val="2"/>
          <w:sz w:val="32"/>
          <w:szCs w:val="32"/>
          <w:lang w:val="en-US" w:eastAsia="zh-CN" w:bidi="ar-SA"/>
        </w:rPr>
      </w:pPr>
      <w:r>
        <w:rPr>
          <w:rFonts w:hint="eastAsia" w:hAnsi="仿宋_GB2312" w:cs="仿宋_GB2312"/>
          <w:b w:val="0"/>
          <w:color w:val="auto"/>
          <w:kern w:val="2"/>
          <w:sz w:val="32"/>
          <w:szCs w:val="32"/>
          <w:lang w:val="en-US" w:eastAsia="zh-CN" w:bidi="ar-SA"/>
        </w:rPr>
        <w:t>3</w:t>
      </w:r>
      <w:r>
        <w:rPr>
          <w:rFonts w:hint="eastAsia" w:ascii="仿宋_GB2312" w:hAnsi="仿宋_GB2312" w:eastAsia="仿宋_GB2312" w:cs="仿宋_GB2312"/>
          <w:b w:val="0"/>
          <w:color w:val="auto"/>
          <w:kern w:val="2"/>
          <w:sz w:val="32"/>
          <w:szCs w:val="32"/>
          <w:lang w:val="en-US" w:eastAsia="zh-CN" w:bidi="ar-SA"/>
        </w:rPr>
        <w:t>.不可预见费：为应对施工过程中的意外情况预留的资金。</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eastAsia="仿宋_GB231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不包括的项目或费用：</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1.项目运营维护费用：项目建成后合同约定</w:t>
      </w:r>
      <w:r>
        <w:rPr>
          <w:rFonts w:hint="eastAsia" w:hAnsi="仿宋_GB2312" w:cs="仿宋_GB2312"/>
          <w:sz w:val="32"/>
          <w:szCs w:val="32"/>
          <w:lang w:val="en-US" w:eastAsia="zh-CN"/>
        </w:rPr>
        <w:t>外</w:t>
      </w:r>
      <w:r>
        <w:rPr>
          <w:rFonts w:hint="eastAsia" w:ascii="仿宋_GB2312" w:hAnsi="仿宋_GB2312" w:eastAsia="仿宋_GB2312" w:cs="仿宋_GB2312"/>
          <w:sz w:val="32"/>
          <w:szCs w:val="32"/>
          <w:lang w:val="en-US" w:eastAsia="zh-CN"/>
        </w:rPr>
        <w:t>的日常维护和运营管理费用。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2.业主自备设施费用：如村民个人财产的迁移或升级不在项目费用范围内。</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3.政策性调整费用：如遇政策变动导致的税费调整等额外成本。</w:t>
      </w:r>
    </w:p>
    <w:p>
      <w:pPr>
        <w:pStyle w:val="2"/>
        <w:rPr>
          <w:rFonts w:hint="eastAsia"/>
          <w:lang w:val="en-US" w:eastAsia="zh-CN"/>
        </w:rPr>
      </w:pPr>
    </w:p>
    <w:p>
      <w:pPr>
        <w:pStyle w:val="2"/>
        <w:keepNext w:val="0"/>
        <w:keepLines w:val="0"/>
        <w:pageBreakBefore w:val="0"/>
        <w:widowControl/>
        <w:numPr>
          <w:ilvl w:val="0"/>
          <w:numId w:val="0"/>
        </w:numPr>
        <w:kinsoku/>
        <w:wordWrap/>
        <w:overflowPunct/>
        <w:topLinePunct w:val="0"/>
        <w:autoSpaceDE/>
        <w:autoSpaceDN/>
        <w:bidi w:val="0"/>
        <w:spacing w:line="560" w:lineRule="exact"/>
        <w:ind w:leftChars="200"/>
        <w:jc w:val="center"/>
        <w:outlineLvl w:val="0"/>
        <w:rPr>
          <w:rFonts w:hint="default" w:ascii="仿宋_GB2312" w:hAnsi="仿宋_GB2312" w:eastAsia="仿宋_GB2312" w:cs="仿宋_GB2312"/>
          <w:b/>
          <w:bCs/>
          <w:color w:val="auto"/>
          <w:sz w:val="32"/>
          <w:szCs w:val="32"/>
          <w:highlight w:val="none"/>
          <w:lang w:val="en-US" w:eastAsia="zh-CN"/>
        </w:rPr>
      </w:pPr>
      <w:bookmarkStart w:id="17" w:name="_Toc22681"/>
      <w:r>
        <w:rPr>
          <w:rFonts w:hint="eastAsia" w:hAnsi="仿宋_GB2312" w:cs="仿宋_GB2312"/>
          <w:b/>
          <w:bCs/>
          <w:color w:val="auto"/>
          <w:sz w:val="32"/>
          <w:szCs w:val="32"/>
          <w:highlight w:val="none"/>
          <w:lang w:val="en-US" w:eastAsia="zh-CN"/>
        </w:rPr>
        <w:t xml:space="preserve">第四章 </w:t>
      </w:r>
      <w:r>
        <w:rPr>
          <w:rFonts w:hint="eastAsia" w:ascii="仿宋_GB2312" w:hAnsi="仿宋_GB2312" w:eastAsia="仿宋_GB2312" w:cs="仿宋_GB2312"/>
          <w:b/>
          <w:bCs/>
          <w:color w:val="auto"/>
          <w:sz w:val="32"/>
          <w:szCs w:val="32"/>
          <w:highlight w:val="none"/>
          <w:lang w:val="en-US" w:eastAsia="zh-CN"/>
        </w:rPr>
        <w:t>实施计划</w:t>
      </w:r>
      <w:bookmarkEnd w:id="17"/>
    </w:p>
    <w:p>
      <w:pPr>
        <w:pStyle w:val="2"/>
        <w:keepNext w:val="0"/>
        <w:keepLines w:val="0"/>
        <w:pageBreakBefore w:val="0"/>
        <w:widowControl/>
        <w:numPr>
          <w:ilvl w:val="0"/>
          <w:numId w:val="5"/>
        </w:numPr>
        <w:kinsoku/>
        <w:wordWrap/>
        <w:overflowPunct/>
        <w:topLinePunct w:val="0"/>
        <w:autoSpaceDE/>
        <w:autoSpaceDN/>
        <w:bidi w:val="0"/>
        <w:spacing w:line="560" w:lineRule="exact"/>
        <w:ind w:left="641" w:leftChars="0" w:firstLine="0" w:firstLineChars="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项目部署</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hAnsi="仿宋_GB2312" w:cs="仿宋_GB2312"/>
          <w:b w:val="0"/>
          <w:color w:val="auto"/>
          <w:kern w:val="2"/>
          <w:sz w:val="32"/>
          <w:szCs w:val="32"/>
          <w:lang w:val="en-US" w:eastAsia="zh-CN" w:bidi="ar-SA"/>
        </w:rPr>
        <w:t>（一）工程目标：</w:t>
      </w:r>
      <w:r>
        <w:rPr>
          <w:rFonts w:hint="default" w:ascii="仿宋_GB2312" w:hAnsi="仿宋_GB2312" w:eastAsia="仿宋_GB2312" w:cs="仿宋_GB2312"/>
          <w:color w:val="auto"/>
          <w:kern w:val="2"/>
          <w:sz w:val="32"/>
          <w:szCs w:val="32"/>
          <w:lang w:val="en-US" w:eastAsia="zh-CN" w:bidi="ar-SA"/>
        </w:rPr>
        <w:t>确保工程质量优良，工期60天内完成，无安全事故，成本控制在预算内。</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default" w:hAnsi="仿宋_GB2312" w:cs="仿宋_GB2312"/>
          <w:color w:val="auto"/>
          <w:kern w:val="2"/>
          <w:sz w:val="32"/>
          <w:szCs w:val="32"/>
          <w:lang w:val="en-US" w:eastAsia="zh-CN" w:bidi="ar-SA"/>
        </w:rPr>
      </w:pPr>
      <w:r>
        <w:rPr>
          <w:rFonts w:hint="eastAsia" w:hAnsi="仿宋_GB2312" w:cs="仿宋_GB2312"/>
          <w:color w:val="auto"/>
          <w:kern w:val="2"/>
          <w:sz w:val="32"/>
          <w:szCs w:val="32"/>
          <w:lang w:val="en-US" w:eastAsia="zh-CN" w:bidi="ar-SA"/>
        </w:rPr>
        <w:t>（二）施工准备：技术交底、安全培训、材料设备进场、现场布置。</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二、项目进度计划</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初拟</w:t>
      </w:r>
      <w:r>
        <w:rPr>
          <w:rFonts w:hint="default" w:ascii="仿宋_GB2312" w:hAnsi="仿宋_GB2312" w:eastAsia="仿宋_GB2312" w:cs="仿宋_GB2312"/>
          <w:color w:val="auto"/>
          <w:sz w:val="32"/>
          <w:szCs w:val="32"/>
          <w:lang w:val="en-US" w:eastAsia="zh-CN"/>
        </w:rPr>
        <w:t>项目周期：202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月至</w:t>
      </w:r>
      <w:r>
        <w:rPr>
          <w:rFonts w:hint="eastAsia" w:ascii="仿宋_GB2312" w:hAnsi="仿宋_GB2312" w:eastAsia="仿宋_GB2312" w:cs="仿宋_GB2312"/>
          <w:color w:val="auto"/>
          <w:sz w:val="32"/>
          <w:szCs w:val="32"/>
          <w:lang w:val="en-US" w:eastAsia="zh-CN"/>
        </w:rPr>
        <w:t>2025</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黑体" w:hAnsi="黑体" w:eastAsia="黑体" w:cs="黑体"/>
          <w:color w:val="000000"/>
          <w:kern w:val="0"/>
          <w:sz w:val="32"/>
          <w:szCs w:val="32"/>
          <w:lang w:val="en-US" w:eastAsia="zh-CN" w:bidi="ar-SA"/>
        </w:rPr>
      </w:pPr>
      <w:r>
        <w:rPr>
          <w:rFonts w:hint="eastAsia" w:ascii="仿宋_GB2312" w:hAnsi="仿宋_GB2312" w:eastAsia="仿宋_GB2312" w:cs="仿宋_GB2312"/>
          <w:color w:val="auto"/>
          <w:sz w:val="32"/>
          <w:szCs w:val="32"/>
          <w:lang w:val="en-US" w:eastAsia="zh-CN"/>
        </w:rPr>
        <w:t>关键节点：2025年1月项目立项；2025年1月至2月项目设计；2025年3月至4月招投标；2025年5月至2025年7月施工；2025年8月至9月验收。</w:t>
      </w:r>
    </w:p>
    <w:p>
      <w:pPr>
        <w:pStyle w:val="2"/>
        <w:keepNext w:val="0"/>
        <w:keepLines w:val="0"/>
        <w:pageBreakBefore w:val="0"/>
        <w:widowControl/>
        <w:numPr>
          <w:ilvl w:val="0"/>
          <w:numId w:val="0"/>
        </w:numPr>
        <w:kinsoku/>
        <w:wordWrap/>
        <w:overflowPunct/>
        <w:topLinePunct w:val="0"/>
        <w:autoSpaceDE/>
        <w:autoSpaceDN/>
        <w:bidi w:val="0"/>
        <w:spacing w:line="560" w:lineRule="exact"/>
        <w:ind w:left="641" w:leftChars="0"/>
        <w:jc w:val="both"/>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三、项目招标</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黑体" w:hAnsi="黑体" w:eastAsia="黑体" w:cs="黑体"/>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根据《中华人民共和国招标投标法》《工程建设项目招标范围和规模标准规定》《广东省建设工程招标投标管理办法》《中华人民共和国政府采购法》 《广东省实施&lt;中华人民共和国政府采购法&gt;办法》等法律法规的规定，确定该项目招标范围。</w:t>
      </w:r>
    </w:p>
    <w:p>
      <w:pPr>
        <w:pStyle w:val="2"/>
        <w:keepNext w:val="0"/>
        <w:keepLines w:val="0"/>
        <w:pageBreakBefore w:val="0"/>
        <w:wordWrap/>
        <w:overflowPunct/>
        <w:topLinePunct w:val="0"/>
        <w:bidi w:val="0"/>
        <w:spacing w:line="560" w:lineRule="exact"/>
        <w:ind w:left="0" w:leftChars="0" w:firstLine="0" w:firstLineChars="0"/>
        <w:rPr>
          <w:rFonts w:hint="default"/>
          <w:sz w:val="32"/>
          <w:szCs w:val="32"/>
          <w:lang w:val="en-US" w:eastAsia="zh-CN"/>
        </w:rPr>
      </w:pPr>
    </w:p>
    <w:p>
      <w:pPr>
        <w:pStyle w:val="2"/>
        <w:keepNext w:val="0"/>
        <w:keepLines w:val="0"/>
        <w:pageBreakBefore w:val="0"/>
        <w:widowControl/>
        <w:numPr>
          <w:ilvl w:val="0"/>
          <w:numId w:val="0"/>
        </w:numPr>
        <w:kinsoku/>
        <w:wordWrap/>
        <w:overflowPunct/>
        <w:topLinePunct w:val="0"/>
        <w:autoSpaceDE/>
        <w:autoSpaceDN/>
        <w:bidi w:val="0"/>
        <w:spacing w:line="560" w:lineRule="exact"/>
        <w:ind w:leftChars="200"/>
        <w:jc w:val="center"/>
        <w:outlineLvl w:val="0"/>
        <w:rPr>
          <w:rFonts w:hint="default" w:ascii="仿宋_GB2312" w:hAnsi="仿宋_GB2312" w:eastAsia="仿宋_GB2312" w:cs="仿宋_GB2312"/>
          <w:b/>
          <w:bCs/>
          <w:color w:val="auto"/>
          <w:sz w:val="32"/>
          <w:szCs w:val="32"/>
          <w:highlight w:val="none"/>
          <w:lang w:val="en-US" w:eastAsia="zh-CN"/>
        </w:rPr>
      </w:pPr>
      <w:bookmarkStart w:id="18" w:name="_Toc20899"/>
      <w:r>
        <w:rPr>
          <w:rFonts w:hint="eastAsia" w:hAnsi="仿宋_GB2312" w:cs="仿宋_GB2312"/>
          <w:b/>
          <w:bCs/>
          <w:color w:val="auto"/>
          <w:sz w:val="32"/>
          <w:szCs w:val="32"/>
          <w:highlight w:val="none"/>
          <w:lang w:val="en-US" w:eastAsia="zh-CN"/>
        </w:rPr>
        <w:t xml:space="preserve">第五章 </w:t>
      </w:r>
      <w:r>
        <w:rPr>
          <w:rFonts w:hint="eastAsia" w:ascii="仿宋_GB2312" w:hAnsi="仿宋_GB2312" w:eastAsia="仿宋_GB2312" w:cs="仿宋_GB2312"/>
          <w:b/>
          <w:bCs/>
          <w:color w:val="auto"/>
          <w:sz w:val="32"/>
          <w:szCs w:val="32"/>
          <w:highlight w:val="none"/>
          <w:lang w:val="en-US" w:eastAsia="zh-CN"/>
        </w:rPr>
        <w:t>效益分析</w:t>
      </w:r>
      <w:bookmarkEnd w:id="18"/>
    </w:p>
    <w:p>
      <w:pPr>
        <w:pStyle w:val="2"/>
        <w:keepNext w:val="0"/>
        <w:keepLines w:val="0"/>
        <w:pageBreakBefore w:val="0"/>
        <w:widowControl/>
        <w:numPr>
          <w:ilvl w:val="0"/>
          <w:numId w:val="0"/>
        </w:numPr>
        <w:kinsoku/>
        <w:wordWrap/>
        <w:overflowPunct/>
        <w:topLinePunct w:val="0"/>
        <w:autoSpaceDE/>
        <w:autoSpaceDN/>
        <w:bidi w:val="0"/>
        <w:spacing w:line="560" w:lineRule="exact"/>
        <w:ind w:left="641" w:leftChars="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一、生态效益</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sz w:val="32"/>
          <w:szCs w:val="32"/>
          <w:lang w:val="en-US" w:eastAsia="zh-CN"/>
        </w:rPr>
      </w:pPr>
      <w:r>
        <w:rPr>
          <w:rFonts w:hint="eastAsia" w:ascii="仿宋_GB2312" w:hAnsi="仿宋_GB2312" w:eastAsia="仿宋_GB2312" w:cs="仿宋_GB2312"/>
          <w:color w:val="auto"/>
          <w:sz w:val="32"/>
          <w:szCs w:val="32"/>
          <w:lang w:val="en-US" w:eastAsia="zh-CN"/>
        </w:rPr>
        <w:t>改善道路基础设施建设，铺设沥青路是改善城中村人居环境、提升村容村貌的有效措施之一，沥青道路不仅美观，且能有效减少噪音和扬尘，推动高品质宜居乡村建设，有助于提升村内部道路品质，加强基础建设，建设美丽宜居乡村。</w:t>
      </w:r>
    </w:p>
    <w:p>
      <w:pPr>
        <w:pStyle w:val="2"/>
        <w:keepNext w:val="0"/>
        <w:keepLines w:val="0"/>
        <w:pageBreakBefore w:val="0"/>
        <w:widowControl/>
        <w:numPr>
          <w:ilvl w:val="0"/>
          <w:numId w:val="0"/>
        </w:numPr>
        <w:kinsoku/>
        <w:wordWrap/>
        <w:overflowPunct/>
        <w:topLinePunct w:val="0"/>
        <w:autoSpaceDE/>
        <w:autoSpaceDN/>
        <w:bidi w:val="0"/>
        <w:spacing w:line="560" w:lineRule="exact"/>
        <w:ind w:left="641" w:leftChars="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二、经济效益</w:t>
      </w:r>
    </w:p>
    <w:p>
      <w:pPr>
        <w:pStyle w:val="2"/>
        <w:keepNext w:val="0"/>
        <w:keepLines w:val="0"/>
        <w:pageBreakBefore w:val="0"/>
        <w:numPr>
          <w:ilvl w:val="0"/>
          <w:numId w:val="0"/>
        </w:numPr>
        <w:wordWrap/>
        <w:overflowPunct/>
        <w:topLinePunct w:val="0"/>
        <w:bidi w:val="0"/>
        <w:spacing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该项目通过改善道路通行条件，有助于提高道路的安全性和通行能力，便利且良好的交通通过提高生产、经营、运输效率，为企业提供良好的投资环境，帮助企业降本增效，提高城中村的产业竞争力；另一方面，大罗村作为珠宝集聚区的核心区，良好的道路条件能够提供更好的珠宝购买体验，带动珠宝产业的繁荣，对依赖珠宝产业附加值进行土地房屋出租、物业开发的村集体经济注入新的增长动力</w:t>
      </w:r>
      <w:r>
        <w:rPr>
          <w:rFonts w:hint="eastAsia" w:hAnsi="仿宋_GB2312" w:cs="仿宋_GB2312"/>
          <w:color w:val="auto"/>
          <w:kern w:val="2"/>
          <w:sz w:val="32"/>
          <w:szCs w:val="32"/>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spacing w:line="560" w:lineRule="exact"/>
        <w:ind w:left="641" w:leftChars="0"/>
        <w:jc w:val="both"/>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三、社会效益</w:t>
      </w:r>
    </w:p>
    <w:p>
      <w:pPr>
        <w:pStyle w:val="2"/>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该项目有助于提高道路通行能力，沥青改造可以有效解决道路积水问题，提高村内道路的耐久性、承载能力和使用寿命，提升行车的安全性和舒适度，增强了村民的幸福感和归属感。此外，良好的道路条件有助于提升公共服务的覆盖范围和效率，是服务民生的重大福祉，有利于促进社会和谐稳定。</w:t>
      </w:r>
    </w:p>
    <w:p>
      <w:pPr>
        <w:pStyle w:val="2"/>
        <w:keepNext w:val="0"/>
        <w:keepLines w:val="0"/>
        <w:pageBreakBefore w:val="0"/>
        <w:wordWrap/>
        <w:overflowPunct/>
        <w:topLinePunct w:val="0"/>
        <w:bidi w:val="0"/>
        <w:spacing w:line="560" w:lineRule="exact"/>
        <w:ind w:left="0" w:firstLine="640" w:firstLineChars="200"/>
        <w:rPr>
          <w:rFonts w:hint="default" w:ascii="Times New Roman" w:hAnsi="Times New Roman" w:eastAsia="仿宋_GB2312" w:cs="Times New Roman"/>
          <w:sz w:val="32"/>
          <w:szCs w:val="32"/>
          <w:lang w:val="en-US" w:eastAsia="zh-CN"/>
        </w:rPr>
      </w:pPr>
    </w:p>
    <w:p>
      <w:pPr>
        <w:pStyle w:val="2"/>
        <w:keepNext w:val="0"/>
        <w:keepLines w:val="0"/>
        <w:pageBreakBefore w:val="0"/>
        <w:widowControl/>
        <w:numPr>
          <w:ilvl w:val="0"/>
          <w:numId w:val="0"/>
        </w:numPr>
        <w:kinsoku/>
        <w:wordWrap/>
        <w:overflowPunct/>
        <w:topLinePunct w:val="0"/>
        <w:autoSpaceDE/>
        <w:autoSpaceDN/>
        <w:bidi w:val="0"/>
        <w:spacing w:line="560" w:lineRule="exact"/>
        <w:ind w:leftChars="200"/>
        <w:jc w:val="center"/>
        <w:outlineLvl w:val="0"/>
        <w:rPr>
          <w:rFonts w:hint="eastAsia" w:ascii="仿宋_GB2312" w:hAnsi="仿宋_GB2312" w:eastAsia="仿宋_GB2312" w:cs="仿宋_GB2312"/>
          <w:b/>
          <w:bCs/>
          <w:color w:val="auto"/>
          <w:sz w:val="32"/>
          <w:szCs w:val="32"/>
          <w:highlight w:val="none"/>
          <w:lang w:val="en-US" w:eastAsia="zh-CN"/>
        </w:rPr>
      </w:pPr>
      <w:bookmarkStart w:id="19" w:name="_Toc31045"/>
      <w:r>
        <w:rPr>
          <w:rFonts w:hint="eastAsia" w:hAnsi="仿宋_GB2312" w:cs="仿宋_GB2312"/>
          <w:b/>
          <w:bCs/>
          <w:color w:val="auto"/>
          <w:sz w:val="32"/>
          <w:szCs w:val="32"/>
          <w:highlight w:val="none"/>
          <w:lang w:val="en-US" w:eastAsia="zh-CN"/>
        </w:rPr>
        <w:t xml:space="preserve">第六章 </w:t>
      </w:r>
      <w:r>
        <w:rPr>
          <w:rFonts w:hint="eastAsia" w:ascii="仿宋_GB2312" w:hAnsi="仿宋_GB2312" w:eastAsia="仿宋_GB2312" w:cs="仿宋_GB2312"/>
          <w:b/>
          <w:bCs/>
          <w:color w:val="auto"/>
          <w:sz w:val="32"/>
          <w:szCs w:val="32"/>
          <w:highlight w:val="none"/>
          <w:lang w:val="en-US" w:eastAsia="zh-CN"/>
        </w:rPr>
        <w:t>保障措施</w:t>
      </w:r>
      <w:bookmarkEnd w:id="19"/>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ottom"/>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本项目将由沙头街道办事处、大罗村委会共同监督实施，包括对项目资金、工程施工、后续维护等方面。</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bottom"/>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技术保障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专业技术团队：</w:t>
      </w:r>
      <w:r>
        <w:rPr>
          <w:rFonts w:hint="eastAsia" w:ascii="Times New Roman" w:hAnsi="Times New Roman" w:eastAsia="仿宋_GB2312" w:cs="Times New Roman"/>
          <w:sz w:val="32"/>
          <w:szCs w:val="32"/>
        </w:rPr>
        <w:t>组建</w:t>
      </w:r>
      <w:r>
        <w:rPr>
          <w:rFonts w:hint="eastAsia" w:ascii="Times New Roman" w:hAnsi="Times New Roman" w:eastAsia="仿宋_GB2312" w:cs="Times New Roman"/>
          <w:sz w:val="32"/>
          <w:szCs w:val="32"/>
          <w:lang w:val="en-US" w:eastAsia="zh-CN"/>
        </w:rPr>
        <w:t>专业设计人员、</w:t>
      </w:r>
      <w:r>
        <w:rPr>
          <w:rFonts w:hint="eastAsia" w:ascii="Times New Roman" w:hAnsi="Times New Roman" w:eastAsia="仿宋_GB2312" w:cs="Times New Roman"/>
          <w:sz w:val="32"/>
          <w:szCs w:val="32"/>
        </w:rPr>
        <w:t>施工技术人员和项目经理组成的专业团队，负责项目的规划、设计和施工技术指导。</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（二）科学规划设计：</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大罗村</w:t>
      </w:r>
      <w:r>
        <w:rPr>
          <w:rFonts w:hint="eastAsia" w:ascii="Times New Roman" w:hAnsi="Times New Roman" w:eastAsia="仿宋_GB2312" w:cs="Times New Roman"/>
          <w:sz w:val="32"/>
          <w:szCs w:val="32"/>
        </w:rPr>
        <w:t>地形地貌、交通需求和未来发展，科学规划道路布局，合理确定道路宽度、</w:t>
      </w:r>
      <w:r>
        <w:rPr>
          <w:rFonts w:hint="eastAsia" w:ascii="Times New Roman" w:hAnsi="Times New Roman" w:eastAsia="仿宋_GB2312" w:cs="Times New Roman"/>
          <w:sz w:val="32"/>
          <w:szCs w:val="32"/>
          <w:lang w:val="en-US" w:eastAsia="zh-CN"/>
        </w:rPr>
        <w:t>车位划分</w:t>
      </w:r>
      <w:r>
        <w:rPr>
          <w:rFonts w:hint="eastAsia" w:ascii="Times New Roman" w:hAnsi="Times New Roman" w:eastAsia="仿宋_GB2312" w:cs="Times New Roman"/>
          <w:sz w:val="32"/>
          <w:szCs w:val="32"/>
        </w:rPr>
        <w:t>和排水系统。</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sz w:val="32"/>
          <w:szCs w:val="32"/>
          <w:lang w:val="en-US" w:eastAsia="zh-CN"/>
        </w:rPr>
      </w:pPr>
      <w:r>
        <w:rPr>
          <w:rFonts w:hint="eastAsia" w:ascii="楷体_GB2312" w:hAnsi="楷体_GB2312" w:eastAsia="楷体_GB2312" w:cs="楷体_GB2312"/>
          <w:sz w:val="32"/>
          <w:szCs w:val="32"/>
          <w:lang w:val="en-US" w:eastAsia="zh-CN"/>
        </w:rPr>
        <w:t>（三）采用先进技术：</w:t>
      </w:r>
      <w:r>
        <w:rPr>
          <w:rFonts w:hint="eastAsia" w:ascii="Times New Roman" w:hAnsi="Times New Roman" w:eastAsia="仿宋_GB2312" w:cs="Times New Roman"/>
          <w:sz w:val="32"/>
          <w:szCs w:val="32"/>
        </w:rPr>
        <w:t>在施工中采用先进的道路施工技术和材料，确保道路建设和改造的质量和耐久性。参考《农村公路工程技术标准》指导建设工作。</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bottom"/>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质量保障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（一）质量控制体系</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1.建立完善的质量控制体系，明确质量目标和质量标准，制定质量检验计划和检验方法。对村内道路提升改造的设计、施工全过程进行质量控制，确保项目质量符合国家规定的相关标准和要求。</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2.加强对原材料的质量检验，对水泥、沥青、砂石等原材料进行进场检验检查，对不合格的材料坚决予以退回，不得用于项目建设。</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（二）施工质量管理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1.选派经验丰富、技术过硬的施工队伍，确保施工过程中的技术水平和施工质量。加强对施工人员的培训和管理，提高施工人员的质量意识和操作技能。</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2.严格按照施工图纸和施工方案进行施工，加强对施工过程的监督和检查。对关键部位和重要工序进行旁站监理，确保施工质量符合要求。</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（三）验收管理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1.制定严格的验收标准和验收程序，对项目的各个环节进行验收。只有通过验收的环节才能进入下一道工序，确保项目整体质量。</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sz w:val="32"/>
          <w:szCs w:val="32"/>
          <w:lang w:val="en-US" w:eastAsia="zh-CN"/>
        </w:rPr>
      </w:pPr>
      <w:r>
        <w:rPr>
          <w:rFonts w:hint="eastAsia" w:ascii="Times New Roman" w:hAnsi="Times New Roman" w:eastAsia="仿宋_GB2312" w:cs="Times New Roman"/>
          <w:sz w:val="32"/>
          <w:szCs w:val="32"/>
          <w:lang w:val="en-US" w:eastAsia="zh-CN"/>
        </w:rPr>
        <w:t>2.邀请相关部门、专业机构等进行竣工验收，对项目改造提升的道路的质量、功能、环保等方面进行全面评估。确保道路符合相关标准和要求，能够正常投入使用。</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bottom"/>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进度保障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（一）项目计划管理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1.制定详细的项目进度计划，明确各个阶段的工作任务、时间节点和责任人。对项目进度进行动态监控和调整，确保项目按计划顺利进行。</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2.采用项目管理软件等工具，对项目进度进行信息化管理。及时掌握项目进展情况，发现问题及时解决，提高项目管理的效率和精度。</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（二）资源合理配置</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根据施工进度计划，合理配置人力、物资和设备资源，确保施工过程中资源供应充足。</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（三）施工进度管理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1.优化施工组织设计，合理安排施工顺序和施工工艺。采用平行施工、流水作业等方式，提高施工效率，缩短施工周期。</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sz w:val="32"/>
          <w:szCs w:val="32"/>
          <w:lang w:val="en-US" w:eastAsia="zh-CN"/>
        </w:rPr>
      </w:pPr>
      <w:r>
        <w:rPr>
          <w:rFonts w:hint="eastAsia" w:ascii="Times New Roman" w:hAnsi="Times New Roman" w:eastAsia="仿宋_GB2312" w:cs="Times New Roman"/>
          <w:sz w:val="32"/>
          <w:szCs w:val="32"/>
          <w:lang w:val="en-US" w:eastAsia="zh-CN"/>
        </w:rPr>
        <w:t>2.加强对施工过程的协调和管理，定期监控施工进度，及时解决施工中出现的问题。如施工场地受限、交叉作业干扰等，确保施工进度不受影响。</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bottom"/>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安全保障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（一）安全管理制度</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1.建立健全安全管理制度，明确安全责任和安全目标。制定安全操作规程和应急预案，加强对施工人员的安全教育和培训，提高施工人员的安全意识和自我保护能力。</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2.加强对施工现场的安全管理，设置安全警示标志和防护设施。定期进行安全检查和隐患排查，及时发现并消除安全隐患，确保施工安全。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（二）施工安全措施</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1.对道路提升改造的施工过程进行风险评估，制定相应的安全措施。如起重吊装安全措施、临时用电安全措施等。</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2.加强对施工设备和机械的安全管理，定期进行维护和保养。确保设备和机械的安全性能良好，操作人员持证上岗。</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（三）消防安全措施</w:t>
      </w:r>
    </w:p>
    <w:p>
      <w:pPr>
        <w:pStyle w:val="2"/>
        <w:ind w:left="0" w:leftChars="0" w:firstLine="640" w:firstLineChars="200"/>
        <w:rPr>
          <w:rFonts w:hint="default"/>
          <w:sz w:val="32"/>
          <w:szCs w:val="32"/>
          <w:lang w:val="en-US" w:eastAsia="zh-CN"/>
        </w:rPr>
      </w:pPr>
      <w:r>
        <w:rPr>
          <w:rFonts w:hint="eastAsia" w:ascii="Times New Roman" w:hAnsi="Times New Roman" w:eastAsia="仿宋_GB2312" w:cs="Times New Roman"/>
          <w:sz w:val="32"/>
          <w:szCs w:val="32"/>
          <w:lang w:val="en-US" w:eastAsia="zh-CN"/>
        </w:rPr>
        <w:t>加强对施工现场的用火用电管理，严格执行动火审批制度。确保施工现场的消防安全。</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bottom"/>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环保保障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（一）环境保护措施</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1.制定环境保护措施，减少道路施工建设对环境的影响。如施工现场的扬尘控制、噪声控制、废水处理等。</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2.加强对施工过程中的建筑垃圾管理，及时清理和运输建筑垃圾。采用环保型建筑材料和施工工艺，减少建筑垃圾的产生。</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3.采用节能型建筑材料和设备，提高能源利用效率，降低能源消耗。</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sz w:val="32"/>
          <w:szCs w:val="32"/>
          <w:lang w:val="en-US" w:eastAsia="zh-CN"/>
        </w:rPr>
      </w:pPr>
      <w:r>
        <w:rPr>
          <w:rFonts w:hint="eastAsia" w:ascii="Times New Roman" w:hAnsi="Times New Roman" w:eastAsia="仿宋_GB2312" w:cs="Times New Roman"/>
          <w:sz w:val="32"/>
          <w:szCs w:val="32"/>
          <w:lang w:val="en-US" w:eastAsia="zh-CN"/>
        </w:rPr>
        <w:t>4.加强对施工现场的能源管理，合理安排施工时间和施工设备的使用。避免能源浪费，实现节能减排的目标。</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bottom"/>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资金保障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1.制定详细的项目资金预算，明确项目的资金需求和来源。对项目资金进行合理分配和使用，确保资金使用的合理性和有效性。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2.加强对项目资金的预算执行情况进行监控和管理，及时调整资金预算，确保项目资金的充足和稳定。</w:t>
      </w:r>
    </w:p>
    <w:p>
      <w:pPr>
        <w:pStyle w:val="2"/>
        <w:ind w:left="0" w:leftChars="0" w:firstLine="610" w:firstLineChars="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七、管护保障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（一）管护模式</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1.建立科学合理的管护模式，明确管护单位和职责。按照镇的长效管护机制，确保村内部道路的正常运行和服务质量。</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2.可以采用市场化管护模式，通过招标等方式选择专业的管养单位进行管理。也可以采用政府购买服务的方式，委托专业机构进行管护。</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（二）设施维护保养</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建立健全设施维护保养制度，定期对道路进行维护保养。及时更换损坏的设施设备，确保道路的正常通行使用。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（三）服务质量提升</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1.加强对管养人员的培训和管理，提高服务意识和服务水平。为用户提供优质、高效、便捷的服务，提升用户满意度。</w:t>
      </w:r>
    </w:p>
    <w:p>
      <w:pPr>
        <w:pStyle w:val="2"/>
        <w:ind w:left="0" w:leftChars="0" w:firstLine="610" w:firstLine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2.建立反馈机制，及时了解村民的需求和意见。根据村民反馈，不断改进道路质量，提高道路的使用体验。</w:t>
      </w:r>
    </w:p>
    <w:p>
      <w:pPr>
        <w:pStyle w:val="2"/>
        <w:ind w:left="0" w:leftChars="0" w:firstLine="610" w:firstLineChars="0"/>
        <w:rPr>
          <w:rFonts w:hint="eastAsia" w:ascii="Times New Roman" w:hAnsi="Times New Roman" w:eastAsia="仿宋_GB2312" w:cs="Times New Roman"/>
          <w:sz w:val="32"/>
          <w:szCs w:val="32"/>
          <w:lang w:val="en-US" w:eastAsia="zh-CN"/>
        </w:rPr>
      </w:pPr>
    </w:p>
    <w:p>
      <w:pPr>
        <w:pStyle w:val="2"/>
        <w:ind w:left="0" w:leftChars="0" w:firstLine="610" w:firstLineChars="0"/>
        <w:rPr>
          <w:rFonts w:hint="eastAsia" w:ascii="Times New Roman" w:hAnsi="Times New Roman" w:eastAsia="仿宋_GB2312" w:cs="Times New Roman"/>
          <w:sz w:val="32"/>
          <w:szCs w:val="32"/>
          <w:lang w:val="en-US" w:eastAsia="zh-CN"/>
        </w:rPr>
        <w:sectPr>
          <w:footerReference r:id="rId6" w:type="default"/>
          <w:pgSz w:w="11906" w:h="16838"/>
          <w:pgMar w:top="1440" w:right="1860" w:bottom="1440" w:left="1800" w:header="851" w:footer="992" w:gutter="0"/>
          <w:pgNumType w:fmt="decimal" w:start="1"/>
          <w:cols w:space="425" w:num="1"/>
          <w:docGrid w:type="lines" w:linePitch="312" w:charSpace="0"/>
        </w:sectPr>
      </w:pPr>
    </w:p>
    <w:p>
      <w:pPr>
        <w:adjustRightInd/>
        <w:snapToGrid/>
        <w:spacing w:before="120" w:beforeLines="50" w:after="120" w:afterLines="50" w:line="360" w:lineRule="auto"/>
        <w:jc w:val="center"/>
        <w:outlineLvl w:val="0"/>
      </w:pPr>
      <w:bookmarkStart w:id="20" w:name="_Toc28308"/>
      <w:bookmarkStart w:id="21" w:name="_Toc180590352"/>
      <w:bookmarkStart w:id="22" w:name="_Toc1912"/>
      <w:r>
        <w:rPr>
          <w:rFonts w:ascii="Times New Roman" w:hAnsi="Times New Roman" w:eastAsia="宋体" w:cs="Times New Roman"/>
          <w:spacing w:val="1"/>
          <w:sz w:val="30"/>
          <w:szCs w:val="30"/>
          <w14:textOutline w14:w="6540" w14:cap="sq" w14:cmpd="sng" w14:algn="ctr">
            <w14:solidFill>
              <w14:srgbClr w14:val="000000"/>
            </w14:solidFill>
            <w14:prstDash w14:val="solid"/>
            <w14:bevel/>
          </w14:textOutline>
        </w:rPr>
        <w:t>第七章</w:t>
      </w:r>
      <w:r>
        <w:rPr>
          <w:rFonts w:hint="eastAsia" w:ascii="Times New Roman" w:hAnsi="Times New Roman" w:eastAsia="宋体" w:cs="Times New Roman"/>
          <w:spacing w:val="1"/>
          <w:sz w:val="30"/>
          <w:szCs w:val="30"/>
          <w:lang w:val="en-US" w:eastAsia="zh-CN"/>
          <w14:textOutline w14:w="6540" w14:cap="sq" w14:cmpd="sng" w14:algn="ctr">
            <w14:solidFill>
              <w14:srgbClr w14:val="000000"/>
            </w14:solidFill>
            <w14:prstDash w14:val="solid"/>
            <w14:bevel/>
          </w14:textOutline>
        </w:rPr>
        <w:t xml:space="preserve"> </w:t>
      </w:r>
      <w:r>
        <w:rPr>
          <w:rFonts w:hint="eastAsia" w:ascii="Times New Roman" w:hAnsi="Times New Roman" w:eastAsia="宋体" w:cs="Times New Roman"/>
          <w:spacing w:val="1"/>
          <w:sz w:val="30"/>
          <w:szCs w:val="30"/>
          <w14:textOutline w14:w="6540" w14:cap="sq" w14:cmpd="sng" w14:algn="ctr">
            <w14:solidFill>
              <w14:srgbClr w14:val="000000"/>
            </w14:solidFill>
            <w14:prstDash w14:val="solid"/>
            <w14:bevel/>
          </w14:textOutline>
        </w:rPr>
        <w:t>附件</w:t>
      </w:r>
      <w:bookmarkEnd w:id="20"/>
      <w:bookmarkEnd w:id="21"/>
      <w:bookmarkEnd w:id="22"/>
      <w:bookmarkStart w:id="23" w:name="_bookmark112"/>
      <w:bookmarkEnd w:id="23"/>
      <w:bookmarkStart w:id="24" w:name="_bookmark111"/>
      <w:bookmarkEnd w:id="24"/>
      <w:bookmarkStart w:id="25" w:name="_bookmark79"/>
      <w:bookmarkEnd w:id="25"/>
      <w:bookmarkStart w:id="26" w:name="_bookmark110"/>
      <w:bookmarkEnd w:id="26"/>
    </w:p>
    <w:p>
      <w:pPr>
        <w:pStyle w:val="4"/>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cs="黑体" w:asciiTheme="minorEastAsia" w:hAnsiTheme="minorEastAsia" w:eastAsiaTheme="minorEastAsia"/>
          <w:b w:val="0"/>
          <w:bCs/>
          <w:kern w:val="0"/>
          <w:sz w:val="28"/>
          <w:szCs w:val="28"/>
        </w:rPr>
      </w:pPr>
      <w:bookmarkStart w:id="27" w:name="_Toc10387"/>
      <w:bookmarkStart w:id="28" w:name="_Toc7351"/>
      <w:r>
        <w:rPr>
          <w:rFonts w:hint="eastAsia" w:ascii="方正小标宋简体" w:hAnsi="方正小标宋简体" w:eastAsia="方正小标宋简体" w:cs="方正小标宋简体"/>
          <w:b w:val="0"/>
          <w:bCs/>
          <w:snapToGrid w:val="0"/>
          <w:kern w:val="0"/>
          <w:sz w:val="36"/>
          <w:szCs w:val="36"/>
          <w:u w:val="single"/>
          <w:lang w:val="en-US" w:eastAsia="zh-CN" w:bidi="ar-SA"/>
        </w:rPr>
        <w:t>沙头街大罗村人居环境升级改造项目</w:t>
      </w:r>
      <w:r>
        <w:rPr>
          <w:rFonts w:hint="eastAsia" w:ascii="方正小标宋简体" w:hAnsi="方正小标宋简体" w:eastAsia="方正小标宋简体" w:cs="方正小标宋简体"/>
          <w:b w:val="0"/>
          <w:bCs/>
          <w:snapToGrid w:val="0"/>
          <w:kern w:val="0"/>
          <w:sz w:val="36"/>
          <w:szCs w:val="36"/>
          <w:u w:val="none"/>
        </w:rPr>
        <w:t>资金筹措表</w:t>
      </w:r>
      <w:bookmarkEnd w:id="27"/>
      <w:bookmarkEnd w:id="28"/>
    </w:p>
    <w:tbl>
      <w:tblPr>
        <w:tblStyle w:val="8"/>
        <w:tblW w:w="132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11"/>
        <w:gridCol w:w="911"/>
        <w:gridCol w:w="1010"/>
        <w:gridCol w:w="2772"/>
        <w:gridCol w:w="651"/>
        <w:gridCol w:w="698"/>
        <w:gridCol w:w="858"/>
        <w:gridCol w:w="1024"/>
        <w:gridCol w:w="814"/>
        <w:gridCol w:w="1005"/>
        <w:gridCol w:w="816"/>
        <w:gridCol w:w="1068"/>
        <w:gridCol w:w="7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乡镇</w:t>
            </w:r>
          </w:p>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911"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村组</w:t>
            </w:r>
          </w:p>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3782" w:type="dxa"/>
            <w:gridSpan w:val="2"/>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工程和费用名称</w:t>
            </w:r>
          </w:p>
        </w:tc>
        <w:tc>
          <w:tcPr>
            <w:tcW w:w="1349"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工程数量</w:t>
            </w:r>
          </w:p>
        </w:tc>
        <w:tc>
          <w:tcPr>
            <w:tcW w:w="6346" w:type="dxa"/>
            <w:gridSpan w:val="7"/>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3782" w:type="dxa"/>
            <w:gridSpan w:val="2"/>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651"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单位</w:t>
            </w:r>
          </w:p>
        </w:tc>
        <w:tc>
          <w:tcPr>
            <w:tcW w:w="698"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数量</w:t>
            </w:r>
          </w:p>
        </w:tc>
        <w:tc>
          <w:tcPr>
            <w:tcW w:w="858"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小计</w:t>
            </w:r>
          </w:p>
        </w:tc>
        <w:tc>
          <w:tcPr>
            <w:tcW w:w="1838"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中央财政资金</w:t>
            </w:r>
          </w:p>
        </w:tc>
        <w:tc>
          <w:tcPr>
            <w:tcW w:w="1821"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地方财政资金</w:t>
            </w:r>
          </w:p>
        </w:tc>
        <w:tc>
          <w:tcPr>
            <w:tcW w:w="1829"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3782" w:type="dxa"/>
            <w:gridSpan w:val="2"/>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65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698"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858"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投入金额</w:t>
            </w:r>
          </w:p>
        </w:tc>
        <w:tc>
          <w:tcPr>
            <w:tcW w:w="814"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占比</w:t>
            </w:r>
          </w:p>
        </w:tc>
        <w:tc>
          <w:tcPr>
            <w:tcW w:w="1005"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投入金额</w:t>
            </w:r>
          </w:p>
        </w:tc>
        <w:tc>
          <w:tcPr>
            <w:tcW w:w="816"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占比</w:t>
            </w:r>
          </w:p>
        </w:tc>
        <w:tc>
          <w:tcPr>
            <w:tcW w:w="1068"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投入金额</w:t>
            </w:r>
          </w:p>
        </w:tc>
        <w:tc>
          <w:tcPr>
            <w:tcW w:w="761"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04" w:type="dxa"/>
            <w:gridSpan w:val="4"/>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65</w:t>
            </w:r>
          </w:p>
        </w:tc>
        <w:tc>
          <w:tcPr>
            <w:tcW w:w="1024"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65</w:t>
            </w:r>
          </w:p>
        </w:tc>
        <w:tc>
          <w:tcPr>
            <w:tcW w:w="816"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沙头街</w:t>
            </w:r>
          </w:p>
        </w:tc>
        <w:tc>
          <w:tcPr>
            <w:tcW w:w="911" w:type="dxa"/>
            <w:vMerge w:val="restart"/>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大罗村</w:t>
            </w:r>
          </w:p>
        </w:tc>
        <w:tc>
          <w:tcPr>
            <w:tcW w:w="3782" w:type="dxa"/>
            <w:gridSpan w:val="2"/>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小计</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p>
        </w:tc>
        <w:tc>
          <w:tcPr>
            <w:tcW w:w="85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65</w:t>
            </w:r>
          </w:p>
        </w:tc>
        <w:tc>
          <w:tcPr>
            <w:tcW w:w="1024"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p>
        </w:tc>
        <w:tc>
          <w:tcPr>
            <w:tcW w:w="1005"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65</w:t>
            </w:r>
          </w:p>
        </w:tc>
        <w:tc>
          <w:tcPr>
            <w:tcW w:w="816"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100%</w:t>
            </w: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10" w:type="dxa"/>
            <w:vMerge w:val="restart"/>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工程建设费</w:t>
            </w:r>
          </w:p>
        </w:tc>
        <w:tc>
          <w:tcPr>
            <w:tcW w:w="2772"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村庄内部道路建设</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1024"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816"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106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10"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2772"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综合性公共服务中心建设</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6"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3782" w:type="dxa"/>
            <w:gridSpan w:val="2"/>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工程建设其他费</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6"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3782" w:type="dxa"/>
            <w:gridSpan w:val="2"/>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基本预备费</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6"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bl>
    <w:p>
      <w:pPr>
        <w:pStyle w:val="2"/>
        <w:ind w:left="0" w:leftChars="0" w:firstLine="610" w:firstLineChars="0"/>
        <w:rPr>
          <w:rFonts w:hint="default" w:ascii="Times New Roman" w:hAnsi="Times New Roman" w:eastAsia="仿宋_GB2312" w:cs="Times New Roman"/>
          <w:sz w:val="32"/>
          <w:szCs w:val="32"/>
          <w:lang w:val="en-US" w:eastAsia="zh-CN"/>
        </w:rPr>
      </w:pPr>
    </w:p>
    <w:sectPr>
      <w:pgSz w:w="16838" w:h="11906" w:orient="landscape"/>
      <w:pgMar w:top="1800" w:right="1440" w:bottom="186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简隶书">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097E"/>
    <w:multiLevelType w:val="singleLevel"/>
    <w:tmpl w:val="A6D2097E"/>
    <w:lvl w:ilvl="0" w:tentative="0">
      <w:start w:val="1"/>
      <w:numFmt w:val="chineseCounting"/>
      <w:suff w:val="nothing"/>
      <w:lvlText w:val="%1、"/>
      <w:lvlJc w:val="left"/>
      <w:rPr>
        <w:rFonts w:hint="eastAsia"/>
      </w:rPr>
    </w:lvl>
  </w:abstractNum>
  <w:abstractNum w:abstractNumId="1">
    <w:nsid w:val="A8DE3DC0"/>
    <w:multiLevelType w:val="singleLevel"/>
    <w:tmpl w:val="A8DE3DC0"/>
    <w:lvl w:ilvl="0" w:tentative="0">
      <w:start w:val="1"/>
      <w:numFmt w:val="chineseCounting"/>
      <w:suff w:val="nothing"/>
      <w:lvlText w:val="%1、"/>
      <w:lvlJc w:val="left"/>
      <w:pPr>
        <w:ind w:left="641" w:leftChars="0" w:firstLine="0" w:firstLineChars="0"/>
      </w:pPr>
      <w:rPr>
        <w:rFonts w:hint="eastAsia"/>
      </w:rPr>
    </w:lvl>
  </w:abstractNum>
  <w:abstractNum w:abstractNumId="2">
    <w:nsid w:val="265379C5"/>
    <w:multiLevelType w:val="singleLevel"/>
    <w:tmpl w:val="265379C5"/>
    <w:lvl w:ilvl="0" w:tentative="0">
      <w:start w:val="1"/>
      <w:numFmt w:val="chineseCounting"/>
      <w:suff w:val="nothing"/>
      <w:lvlText w:val="%1、"/>
      <w:lvlJc w:val="left"/>
      <w:rPr>
        <w:rFonts w:hint="eastAsia"/>
      </w:rPr>
    </w:lvl>
  </w:abstractNum>
  <w:abstractNum w:abstractNumId="3">
    <w:nsid w:val="2DE0C5E1"/>
    <w:multiLevelType w:val="singleLevel"/>
    <w:tmpl w:val="2DE0C5E1"/>
    <w:lvl w:ilvl="0" w:tentative="0">
      <w:start w:val="1"/>
      <w:numFmt w:val="chineseCounting"/>
      <w:suff w:val="nothing"/>
      <w:lvlText w:val="%1、"/>
      <w:lvlJc w:val="left"/>
      <w:rPr>
        <w:rFonts w:hint="eastAsia"/>
      </w:rPr>
    </w:lvl>
  </w:abstractNum>
  <w:abstractNum w:abstractNumId="4">
    <w:nsid w:val="524F9CCB"/>
    <w:multiLevelType w:val="singleLevel"/>
    <w:tmpl w:val="524F9CCB"/>
    <w:lvl w:ilvl="0" w:tentative="0">
      <w:start w:val="1"/>
      <w:numFmt w:val="chineseCounting"/>
      <w:suff w:val="space"/>
      <w:lvlText w:val="第%1章"/>
      <w:lvlJc w:val="left"/>
      <w:rPr>
        <w:rFonts w:hint="eastAsia"/>
      </w:rPr>
    </w:lvl>
  </w:abstractNum>
  <w:abstractNum w:abstractNumId="5">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pStyle w:val="11"/>
      <w:lvlText w:val="%1.%2 "/>
      <w:lvlJc w:val="left"/>
      <w:pPr>
        <w:tabs>
          <w:tab w:val="left" w:pos="567"/>
        </w:tabs>
        <w:ind w:left="567" w:hanging="567"/>
      </w:pPr>
      <w:rPr>
        <w:rFonts w:hint="eastAsia"/>
      </w:rPr>
    </w:lvl>
    <w:lvl w:ilvl="2" w:tentative="0">
      <w:start w:val="1"/>
      <w:numFmt w:val="decimal"/>
      <w:pStyle w:val="12"/>
      <w:lvlText w:val="%1.%2.%3 "/>
      <w:lvlJc w:val="left"/>
      <w:pPr>
        <w:tabs>
          <w:tab w:val="left" w:pos="993"/>
        </w:tabs>
        <w:ind w:left="993" w:hanging="709"/>
      </w:pPr>
      <w:rPr>
        <w:rFonts w:hint="eastAsia"/>
      </w:rPr>
    </w:lvl>
    <w:lvl w:ilvl="3" w:tentative="0">
      <w:start w:val="1"/>
      <w:numFmt w:val="decimal"/>
      <w:pStyle w:val="13"/>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Tc2MzY5YWViNDIxOGMyYzhlMTFhMjAxNDlkMjIifQ=="/>
  </w:docVars>
  <w:rsids>
    <w:rsidRoot w:val="4C4062F2"/>
    <w:rsid w:val="004E0863"/>
    <w:rsid w:val="03597AD0"/>
    <w:rsid w:val="04752731"/>
    <w:rsid w:val="04DD594A"/>
    <w:rsid w:val="05047AC7"/>
    <w:rsid w:val="059C7D44"/>
    <w:rsid w:val="05D42AF7"/>
    <w:rsid w:val="06DE41D3"/>
    <w:rsid w:val="0A462D45"/>
    <w:rsid w:val="0E110B4D"/>
    <w:rsid w:val="0E1D4139"/>
    <w:rsid w:val="0E722040"/>
    <w:rsid w:val="0F037FA5"/>
    <w:rsid w:val="11481B7E"/>
    <w:rsid w:val="11822C48"/>
    <w:rsid w:val="11AA085F"/>
    <w:rsid w:val="12134735"/>
    <w:rsid w:val="127759F8"/>
    <w:rsid w:val="12C1453B"/>
    <w:rsid w:val="13FA26F0"/>
    <w:rsid w:val="14C55CE2"/>
    <w:rsid w:val="14DD2758"/>
    <w:rsid w:val="14DF56E1"/>
    <w:rsid w:val="15E46748"/>
    <w:rsid w:val="16EA49C5"/>
    <w:rsid w:val="17761009"/>
    <w:rsid w:val="18461F42"/>
    <w:rsid w:val="1A692D3D"/>
    <w:rsid w:val="1C3D34E0"/>
    <w:rsid w:val="1C5B63E0"/>
    <w:rsid w:val="1D756A60"/>
    <w:rsid w:val="1DBC6EFC"/>
    <w:rsid w:val="1FE23842"/>
    <w:rsid w:val="2071232E"/>
    <w:rsid w:val="20E24984"/>
    <w:rsid w:val="21135FD2"/>
    <w:rsid w:val="21336D9B"/>
    <w:rsid w:val="21393061"/>
    <w:rsid w:val="21E90ACE"/>
    <w:rsid w:val="21EA4F38"/>
    <w:rsid w:val="23B35621"/>
    <w:rsid w:val="23C37CB5"/>
    <w:rsid w:val="24ED40A4"/>
    <w:rsid w:val="250E66D9"/>
    <w:rsid w:val="252D708C"/>
    <w:rsid w:val="25625127"/>
    <w:rsid w:val="25D06895"/>
    <w:rsid w:val="26811F3C"/>
    <w:rsid w:val="26E30CDC"/>
    <w:rsid w:val="2AAD624A"/>
    <w:rsid w:val="2BDE7753"/>
    <w:rsid w:val="2D8B3CEE"/>
    <w:rsid w:val="2EA36FB2"/>
    <w:rsid w:val="30360C6C"/>
    <w:rsid w:val="39526AB8"/>
    <w:rsid w:val="39825EE7"/>
    <w:rsid w:val="3A0D38CD"/>
    <w:rsid w:val="3BA051DD"/>
    <w:rsid w:val="3BAD6D04"/>
    <w:rsid w:val="3BB429F2"/>
    <w:rsid w:val="3BCB12A4"/>
    <w:rsid w:val="3D6C4E21"/>
    <w:rsid w:val="3E091264"/>
    <w:rsid w:val="3E541694"/>
    <w:rsid w:val="3F8F5303"/>
    <w:rsid w:val="411C6A97"/>
    <w:rsid w:val="432D5ADB"/>
    <w:rsid w:val="44523CCB"/>
    <w:rsid w:val="461623D1"/>
    <w:rsid w:val="462B3DAD"/>
    <w:rsid w:val="479D620D"/>
    <w:rsid w:val="47FD3D41"/>
    <w:rsid w:val="48C013EA"/>
    <w:rsid w:val="4B245A6B"/>
    <w:rsid w:val="4B4C002D"/>
    <w:rsid w:val="4C4062F2"/>
    <w:rsid w:val="51F0254C"/>
    <w:rsid w:val="520D24D4"/>
    <w:rsid w:val="5347252C"/>
    <w:rsid w:val="54C26BB4"/>
    <w:rsid w:val="55997E7C"/>
    <w:rsid w:val="56CD29DF"/>
    <w:rsid w:val="5774027A"/>
    <w:rsid w:val="577D0DDD"/>
    <w:rsid w:val="57B50714"/>
    <w:rsid w:val="585D738E"/>
    <w:rsid w:val="5A276EEA"/>
    <w:rsid w:val="5B27469B"/>
    <w:rsid w:val="5B601298"/>
    <w:rsid w:val="5BE1450B"/>
    <w:rsid w:val="5BE51C00"/>
    <w:rsid w:val="5C843288"/>
    <w:rsid w:val="5E7666D0"/>
    <w:rsid w:val="5EAF36E7"/>
    <w:rsid w:val="5F026697"/>
    <w:rsid w:val="6288069C"/>
    <w:rsid w:val="62957D4A"/>
    <w:rsid w:val="639D4CF9"/>
    <w:rsid w:val="63DD00C2"/>
    <w:rsid w:val="63DE4FB4"/>
    <w:rsid w:val="659A6D3E"/>
    <w:rsid w:val="663508C1"/>
    <w:rsid w:val="677E3A5B"/>
    <w:rsid w:val="684F7266"/>
    <w:rsid w:val="68975418"/>
    <w:rsid w:val="69084324"/>
    <w:rsid w:val="6B7E3F6B"/>
    <w:rsid w:val="6BB753A6"/>
    <w:rsid w:val="6BFF1F3B"/>
    <w:rsid w:val="6C920CDA"/>
    <w:rsid w:val="6CF56FD0"/>
    <w:rsid w:val="6D4458AB"/>
    <w:rsid w:val="6DD753C4"/>
    <w:rsid w:val="6EB92134"/>
    <w:rsid w:val="6EF32707"/>
    <w:rsid w:val="6F570D38"/>
    <w:rsid w:val="71E847F7"/>
    <w:rsid w:val="7374314D"/>
    <w:rsid w:val="73F7080C"/>
    <w:rsid w:val="75A3300B"/>
    <w:rsid w:val="762D2889"/>
    <w:rsid w:val="76460CC5"/>
    <w:rsid w:val="767C0386"/>
    <w:rsid w:val="77551291"/>
    <w:rsid w:val="78CB7157"/>
    <w:rsid w:val="79200A5B"/>
    <w:rsid w:val="7B4D1359"/>
    <w:rsid w:val="7B5714DC"/>
    <w:rsid w:val="7C110C5B"/>
    <w:rsid w:val="7C63489F"/>
    <w:rsid w:val="7D3127F3"/>
    <w:rsid w:val="7E9349B9"/>
    <w:rsid w:val="7F85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5">
    <w:name w:val="Body Text 3"/>
    <w:basedOn w:val="1"/>
    <w:qFormat/>
    <w:uiPriority w:val="99"/>
    <w:pPr>
      <w:spacing w:after="120"/>
    </w:pPr>
    <w:rPr>
      <w:sz w:val="16"/>
      <w:szCs w:val="16"/>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10">
    <w:name w:val="_Style 3"/>
    <w:qFormat/>
    <w:uiPriority w:val="0"/>
    <w:pPr>
      <w:widowControl w:val="0"/>
      <w:jc w:val="both"/>
    </w:pPr>
    <w:rPr>
      <w:rFonts w:ascii="Times New Roman" w:hAnsi="Times New Roman" w:eastAsia="宋体" w:cs="Times New Roman"/>
      <w:lang w:val="en-US" w:eastAsia="zh-CN" w:bidi="ar-SA"/>
    </w:rPr>
  </w:style>
  <w:style w:type="paragraph" w:customStyle="1" w:styleId="11">
    <w:name w:val="cucd-2"/>
    <w:next w:val="12"/>
    <w:qFormat/>
    <w:uiPriority w:val="0"/>
    <w:pPr>
      <w:numPr>
        <w:ilvl w:val="1"/>
        <w:numId w:val="1"/>
      </w:numPr>
      <w:spacing w:line="360" w:lineRule="auto"/>
      <w:outlineLvl w:val="1"/>
    </w:pPr>
    <w:rPr>
      <w:rFonts w:ascii="Calibri" w:hAnsi="Calibri" w:eastAsia="宋体" w:cs="Calibri"/>
      <w:b/>
      <w:kern w:val="2"/>
      <w:sz w:val="30"/>
      <w:szCs w:val="24"/>
      <w:lang w:val="en-US" w:eastAsia="zh-CN" w:bidi="ar-SA"/>
    </w:rPr>
  </w:style>
  <w:style w:type="paragraph" w:customStyle="1" w:styleId="12">
    <w:name w:val="cucd-3"/>
    <w:next w:val="13"/>
    <w:qFormat/>
    <w:uiPriority w:val="0"/>
    <w:pPr>
      <w:numPr>
        <w:ilvl w:val="2"/>
        <w:numId w:val="1"/>
      </w:numPr>
      <w:spacing w:line="360" w:lineRule="auto"/>
      <w:outlineLvl w:val="2"/>
    </w:pPr>
    <w:rPr>
      <w:rFonts w:ascii="Calibri" w:hAnsi="Calibri" w:eastAsia="宋体" w:cs="Calibri"/>
      <w:b/>
      <w:kern w:val="2"/>
      <w:sz w:val="28"/>
      <w:szCs w:val="24"/>
      <w:lang w:val="en-US" w:eastAsia="zh-CN" w:bidi="ar-SA"/>
    </w:rPr>
  </w:style>
  <w:style w:type="paragraph" w:customStyle="1" w:styleId="13">
    <w:name w:val="cucd-4"/>
    <w:next w:val="14"/>
    <w:qFormat/>
    <w:uiPriority w:val="0"/>
    <w:pPr>
      <w:numPr>
        <w:ilvl w:val="3"/>
        <w:numId w:val="1"/>
      </w:numPr>
      <w:spacing w:line="360" w:lineRule="auto"/>
      <w:ind w:left="0" w:firstLine="723" w:firstLineChars="200"/>
      <w:outlineLvl w:val="3"/>
    </w:pPr>
    <w:rPr>
      <w:rFonts w:ascii="Calibri" w:hAnsi="Calibri" w:eastAsia="宋体" w:cs="Calibri"/>
      <w:b/>
      <w:kern w:val="2"/>
      <w:sz w:val="24"/>
      <w:szCs w:val="24"/>
      <w:lang w:val="en-US" w:eastAsia="zh-CN" w:bidi="ar-SA"/>
    </w:rPr>
  </w:style>
  <w:style w:type="paragraph" w:customStyle="1" w:styleId="14">
    <w:name w:val="cucd-0"/>
    <w:qFormat/>
    <w:uiPriority w:val="0"/>
    <w:pPr>
      <w:spacing w:line="360" w:lineRule="auto"/>
      <w:ind w:firstLine="200" w:firstLineChars="200"/>
      <w:jc w:val="both"/>
    </w:pPr>
    <w:rPr>
      <w:rFonts w:ascii="Calibri" w:hAnsi="Calibri" w:eastAsia="宋体" w:cs="Calibri"/>
      <w:kern w:val="2"/>
      <w:sz w:val="24"/>
      <w:szCs w:val="24"/>
      <w:lang w:val="en-US" w:eastAsia="zh-CN" w:bidi="ar-SA"/>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856</Words>
  <Characters>1116</Characters>
  <Lines>0</Lines>
  <Paragraphs>0</Paragraphs>
  <TotalTime>13</TotalTime>
  <ScaleCrop>false</ScaleCrop>
  <LinksUpToDate>false</LinksUpToDate>
  <CharactersWithSpaces>1130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2024-10-29T08:30:00Z</dcterms:created>
  <dc:creator>邓嘉瑜</dc:creator>
  <cp:lastModifiedBy>lenovo</cp:lastModifiedBy>
  <cp:lastPrinted>2024-12-31T06:46:00Z</cp:lastPrinted>
  <dcterms:modified xsi:type="dcterms:W3CDTF">2025-01-10T01:36:46Z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56E4870BD05649FD8F041FC2C7215487</vt:lpwstr>
  </property>
</Properties>
</file>