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宋体"/>
          <w:sz w:val="32"/>
          <w:szCs w:val="32"/>
        </w:rPr>
      </w:pPr>
      <w:bookmarkStart w:id="0" w:name="_Hlk36497313"/>
      <w:bookmarkEnd w:id="0"/>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 xml:space="preserve"> 10  </w:t>
      </w:r>
      <w:r>
        <w:rPr>
          <w:rFonts w:hint="eastAsia" w:ascii="宋体" w:hAnsi="宋体"/>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番禺区政协十五届</w:t>
      </w:r>
      <w:r>
        <w:rPr>
          <w:rFonts w:hint="eastAsia" w:ascii="方正小标宋_GBK" w:hAnsi="方正小标宋_GBK" w:eastAsia="方正小标宋_GBK" w:cs="方正小标宋_GBK"/>
          <w:sz w:val="44"/>
          <w:szCs w:val="44"/>
          <w:lang w:val="en-US" w:eastAsia="zh-CN"/>
        </w:rPr>
        <w:t>四</w:t>
      </w:r>
      <w:r>
        <w:rPr>
          <w:rFonts w:hint="eastAsia" w:ascii="方正小标宋_GBK" w:hAnsi="方正小标宋_GBK" w:eastAsia="方正小标宋_GBK" w:cs="方正小标宋_GBK"/>
          <w:sz w:val="44"/>
          <w:szCs w:val="44"/>
        </w:rPr>
        <w:t>次会议提案</w:t>
      </w:r>
    </w:p>
    <w:p>
      <w:pPr>
        <w:jc w:val="center"/>
        <w:rPr>
          <w:rFonts w:ascii="仿宋_GB2312" w:hAnsi="宋体" w:eastAsia="仿宋_GB2312"/>
          <w:sz w:val="10"/>
          <w:szCs w:val="10"/>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vAlign w:val="center"/>
          </w:tcPr>
          <w:p>
            <w:pPr>
              <w:spacing w:line="640" w:lineRule="exact"/>
              <w:rPr>
                <w:rFonts w:ascii="仿宋_GB2312" w:hAnsi="宋体" w:eastAsia="仿宋_GB2312"/>
                <w:bCs/>
                <w:sz w:val="32"/>
                <w:szCs w:val="32"/>
              </w:rPr>
            </w:pPr>
            <w:r>
              <w:rPr>
                <w:rFonts w:hint="eastAsia" w:ascii="仿宋_GB2312" w:hAnsi="宋体" w:eastAsia="仿宋_GB2312"/>
                <w:sz w:val="32"/>
                <w:szCs w:val="32"/>
              </w:rPr>
              <w:t>路堤结合建设长堤东路，助力番禺东部片区高质量发展的建议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Pr>
          <w:p>
            <w:pPr>
              <w:spacing w:line="680" w:lineRule="exact"/>
              <w:rPr>
                <w:rFonts w:hint="eastAsia" w:ascii="仿宋_GB2312" w:hAnsi="宋体" w:eastAsia="仿宋_GB2312"/>
                <w:sz w:val="32"/>
                <w:szCs w:val="32"/>
                <w:lang w:eastAsia="zh-CN"/>
              </w:rPr>
            </w:pPr>
            <w:r>
              <w:rPr>
                <w:rFonts w:hint="eastAsia" w:ascii="仿宋_GB2312" w:hAnsi="宋体" w:eastAsia="仿宋_GB2312"/>
                <w:sz w:val="32"/>
                <w:szCs w:val="32"/>
              </w:rPr>
              <w:t>九三学社</w:t>
            </w:r>
            <w:r>
              <w:rPr>
                <w:rFonts w:hint="eastAsia" w:ascii="仿宋_GB2312" w:hAnsi="宋体" w:eastAsia="仿宋_GB2312"/>
                <w:sz w:val="32"/>
                <w:szCs w:val="32"/>
                <w:lang w:eastAsia="zh-CN"/>
              </w:rPr>
              <w:t>（</w:t>
            </w:r>
            <w:r>
              <w:rPr>
                <w:rFonts w:hint="eastAsia" w:ascii="仿宋_GB2312" w:hAnsi="宋体" w:eastAsia="仿宋_GB2312"/>
                <w:sz w:val="32"/>
                <w:szCs w:val="32"/>
              </w:rPr>
              <w:t>集体提案</w:t>
            </w:r>
            <w:r>
              <w:rPr>
                <w:rFonts w:hint="eastAsia" w:ascii="仿宋_GB2312" w:hAnsi="宋体" w:eastAsia="仿宋_GB2312"/>
                <w:sz w:val="32"/>
                <w:szCs w:val="32"/>
                <w:lang w:eastAsia="zh-CN"/>
              </w:rPr>
              <w:t>）</w:t>
            </w:r>
          </w:p>
        </w:tc>
        <w:tc>
          <w:tcPr>
            <w:tcW w:w="1276" w:type="dxa"/>
          </w:tcPr>
          <w:p>
            <w:pPr>
              <w:spacing w:line="680" w:lineRule="exact"/>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Pr>
          <w:p>
            <w:pPr>
              <w:spacing w:line="680" w:lineRule="exact"/>
              <w:rPr>
                <w:rFonts w:ascii="仿宋_GB2312" w:hAnsi="宋体" w:eastAsia="仿宋_GB2312"/>
                <w:sz w:val="32"/>
                <w:szCs w:val="32"/>
              </w:rPr>
            </w:pPr>
            <w:r>
              <w:rPr>
                <w:rFonts w:hint="eastAsia" w:ascii="仿宋_GB2312" w:hAnsi="宋体" w:eastAsia="仿宋_GB2312"/>
                <w:sz w:val="32"/>
                <w:szCs w:val="32"/>
              </w:rPr>
              <w:t>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Pr>
          <w:p>
            <w:pPr>
              <w:spacing w:line="400" w:lineRule="exact"/>
              <w:rPr>
                <w:rFonts w:ascii="仿宋_GB2312" w:hAnsi="宋体" w:eastAsia="仿宋_GB2312"/>
                <w:sz w:val="32"/>
                <w:szCs w:val="32"/>
              </w:rPr>
            </w:pPr>
            <w:r>
              <w:rPr>
                <w:rFonts w:hint="eastAsia" w:ascii="仿宋_GB2312" w:hAnsi="宋体" w:eastAsia="仿宋_GB2312"/>
                <w:sz w:val="32"/>
                <w:szCs w:val="32"/>
              </w:rPr>
              <w:t>广州市番禺水务投资集团有限公司</w:t>
            </w:r>
          </w:p>
        </w:tc>
        <w:tc>
          <w:tcPr>
            <w:tcW w:w="1276" w:type="dxa"/>
          </w:tcPr>
          <w:p>
            <w:pPr>
              <w:spacing w:line="680" w:lineRule="exact"/>
              <w:rPr>
                <w:rFonts w:ascii="仿宋_GB2312" w:hAnsi="宋体" w:eastAsia="仿宋_GB2312"/>
                <w:sz w:val="32"/>
                <w:szCs w:val="32"/>
              </w:rPr>
            </w:pPr>
            <w:r>
              <w:rPr>
                <w:rFonts w:hint="eastAsia" w:ascii="仿宋_GB2312" w:hAnsi="宋体" w:eastAsia="仿宋_GB2312"/>
                <w:sz w:val="32"/>
                <w:szCs w:val="32"/>
              </w:rPr>
              <w:t>职务</w:t>
            </w:r>
          </w:p>
        </w:tc>
        <w:tc>
          <w:tcPr>
            <w:tcW w:w="2318" w:type="dxa"/>
            <w:gridSpan w:val="2"/>
          </w:tcPr>
          <w:p>
            <w:pPr>
              <w:spacing w:line="680" w:lineRule="exact"/>
              <w:rPr>
                <w:rFonts w:ascii="仿宋_GB2312" w:hAnsi="宋体" w:eastAsia="仿宋_GB2312"/>
                <w:sz w:val="32"/>
                <w:szCs w:val="32"/>
              </w:rPr>
            </w:pPr>
            <w:r>
              <w:rPr>
                <w:rFonts w:hint="eastAsia" w:ascii="仿宋_GB2312" w:hAnsi="宋体" w:eastAsia="仿宋_GB2312"/>
                <w:sz w:val="32"/>
                <w:szCs w:val="32"/>
              </w:rPr>
              <w:t>董事、总经理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Pr>
          <w:p>
            <w:pPr>
              <w:spacing w:line="680" w:lineRule="exact"/>
              <w:rPr>
                <w:rFonts w:ascii="仿宋_GB2312" w:hAnsi="宋体" w:eastAsia="仿宋_GB2312"/>
                <w:sz w:val="32"/>
                <w:szCs w:val="32"/>
              </w:rPr>
            </w:pPr>
          </w:p>
        </w:tc>
        <w:tc>
          <w:tcPr>
            <w:tcW w:w="1560" w:type="dxa"/>
            <w:gridSpan w:val="2"/>
          </w:tcPr>
          <w:p>
            <w:pPr>
              <w:spacing w:line="68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Pr>
          <w:p>
            <w:pPr>
              <w:spacing w:line="400" w:lineRule="exact"/>
              <w:rPr>
                <w:rFonts w:ascii="仿宋_GB2312" w:hAnsi="宋体" w:eastAsia="仿宋_GB2312"/>
                <w:sz w:val="32"/>
                <w:szCs w:val="32"/>
              </w:rPr>
            </w:pPr>
          </w:p>
        </w:tc>
        <w:tc>
          <w:tcPr>
            <w:tcW w:w="992" w:type="dxa"/>
          </w:tcPr>
          <w:p>
            <w:pPr>
              <w:spacing w:line="680" w:lineRule="exact"/>
              <w:rPr>
                <w:rFonts w:ascii="仿宋_GB2312" w:hAnsi="宋体" w:eastAsia="仿宋_GB2312"/>
                <w:sz w:val="32"/>
                <w:szCs w:val="32"/>
              </w:rPr>
            </w:pPr>
            <w:r>
              <w:rPr>
                <w:rFonts w:hint="eastAsia" w:ascii="仿宋_GB2312" w:hAnsi="宋体" w:eastAsia="仿宋_GB2312"/>
                <w:sz w:val="32"/>
                <w:szCs w:val="32"/>
              </w:rPr>
              <w:t>邮编</w:t>
            </w:r>
          </w:p>
        </w:tc>
        <w:tc>
          <w:tcPr>
            <w:tcW w:w="1326" w:type="dxa"/>
          </w:tcPr>
          <w:p>
            <w:pPr>
              <w:spacing w:line="68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Pr>
          <w:p>
            <w:pPr>
              <w:spacing w:line="50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50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Pr>
          <w:p>
            <w:pPr>
              <w:spacing w:line="680" w:lineRule="exact"/>
              <w:rPr>
                <w:rFonts w:ascii="仿宋_GB2312" w:hAnsi="宋体" w:eastAsia="仿宋_GB2312"/>
                <w:sz w:val="32"/>
                <w:szCs w:val="32"/>
              </w:rPr>
            </w:pP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51" w:type="dxa"/>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Pr>
          <w:p>
            <w:pPr>
              <w:spacing w:line="680" w:lineRule="exact"/>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680" w:lineRule="exact"/>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spacing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长堤东路位于市桥河北岸，现状黄沙岛至雁洲水闸段部分节点未打通，雁洲水闸至广澳高速段为双向两车道（</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米）且无慢行系统。规划长堤东路红线宽度</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米，是番禺东西向城市次干道。随着番禺经济社会发展，中心城区东西向交通不畅问题更加突出。因此，加快长堤东路建设尤为必要。</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市桥城区与番禺东部莲花湾、广州新城片区的东西向交通联系不足，亟需加快长堤东路建设。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目前市桥城区与莲花湾、广州新城片区东西向联系道路仅有富怡路、市莲路、清河东路；富怡路现状双向四车道，交通负荷重，通行能力不足；机动车和非机动车混行，不安全因素多，难以满足东西向快捷、安全的交通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（二）市莲路原属交通性干道，目前沿路商家林立，已成为生活性干道且交通量趋于饱和，上下班高峰时段拥堵成为常态。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（三）市桥城区往东与亚运城、石</w:t>
      </w:r>
      <w:r>
        <w:rPr>
          <w:rFonts w:hint="eastAsia" w:ascii="宋体" w:hAnsi="宋体" w:cs="宋体"/>
          <w:sz w:val="32"/>
          <w:szCs w:val="32"/>
        </w:rPr>
        <w:t>碁</w:t>
      </w:r>
      <w:r>
        <w:rPr>
          <w:rFonts w:hint="eastAsia" w:ascii="仿宋_GB2312" w:hAnsi="仿宋_GB2312" w:eastAsia="仿宋_GB2312" w:cs="仿宋_GB2312"/>
          <w:sz w:val="32"/>
          <w:szCs w:val="32"/>
        </w:rPr>
        <w:t>镇、石楼镇的交通联系大多靠亚运大道，由于负担过多交通量，造成沿线交叉口拥堵严重。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（四）亚运大道是市桥城区与亚运城联系的主要通道，亚运城区域近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平方公里的居民以及石楼和石</w:t>
      </w:r>
      <w:r>
        <w:rPr>
          <w:rFonts w:hint="eastAsia" w:ascii="宋体" w:hAnsi="宋体" w:cs="宋体"/>
          <w:sz w:val="32"/>
          <w:szCs w:val="32"/>
        </w:rPr>
        <w:t>碁</w:t>
      </w:r>
      <w:r>
        <w:rPr>
          <w:rFonts w:hint="eastAsia" w:ascii="仿宋_GB2312" w:hAnsi="仿宋_GB2312" w:eastAsia="仿宋_GB2312" w:cs="仿宋_GB2312"/>
          <w:sz w:val="32"/>
          <w:szCs w:val="32"/>
        </w:rPr>
        <w:t>镇居民仅靠亚运大道出行，从交通通行、路网格局，东西向道路建设上看，路网体系还不完善。</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加快长堤东路建设，是番禺东部片区高质量发展的需要。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（一）番禺中心城区基本建成，根据番禺国土空间规划，</w:t>
      </w:r>
      <w:r>
        <w:rPr>
          <w:rFonts w:ascii="仿宋_GB2312" w:hAnsi="仿宋_GB2312" w:eastAsia="仿宋_GB2312" w:cs="仿宋_GB2312"/>
          <w:sz w:val="32"/>
          <w:szCs w:val="32"/>
        </w:rPr>
        <w:t>2030</w:t>
      </w:r>
      <w:r>
        <w:rPr>
          <w:rFonts w:hint="eastAsia" w:ascii="仿宋_GB2312" w:hAnsi="仿宋_GB2312" w:eastAsia="仿宋_GB2312" w:cs="仿宋_GB2312"/>
          <w:sz w:val="32"/>
          <w:szCs w:val="32"/>
        </w:rPr>
        <w:t>年番禺常住人口将达</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番禺大道以西重点发展广州南站区域，番禺大道以东剩余可发展区域仅有东北部的创新城片区和东部的莲花湾片区。如何谋划好莲花湾片区，关系到番禺整体城市功能的提升和完善。规划上，长堤东路往东穿越京珠高速，连接了莲花湾南部区域，俨然成为市桥城区与莲花湾区域的一条干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年亚运大道经济带写入了区政府工作报告中，工作报告要求：今后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年及更长一段时间，重点开展三个组团的开发建设。一是市桥大龙组团，重点抓好番禺广场</w:t>
      </w:r>
      <w:r>
        <w:rPr>
          <w:rFonts w:ascii="仿宋_GB2312" w:hAnsi="仿宋_GB2312" w:eastAsia="仿宋_GB2312" w:cs="仿宋_GB2312"/>
          <w:sz w:val="32"/>
          <w:szCs w:val="32"/>
        </w:rPr>
        <w:t>TOD</w:t>
      </w:r>
      <w:r>
        <w:rPr>
          <w:rFonts w:hint="eastAsia" w:ascii="仿宋_GB2312" w:hAnsi="仿宋_GB2312" w:eastAsia="仿宋_GB2312" w:cs="仿宋_GB2312"/>
          <w:sz w:val="32"/>
          <w:szCs w:val="32"/>
        </w:rPr>
        <w:t>、罗家片区城市更新、旧水坑村镇工业集聚区更新改造、清河市场片区升级、番禺客运站</w:t>
      </w:r>
      <w:r>
        <w:rPr>
          <w:rFonts w:ascii="仿宋_GB2312" w:hAnsi="仿宋_GB2312" w:eastAsia="仿宋_GB2312" w:cs="仿宋_GB2312"/>
          <w:sz w:val="32"/>
          <w:szCs w:val="32"/>
        </w:rPr>
        <w:t>TOD</w:t>
      </w:r>
      <w:r>
        <w:rPr>
          <w:rFonts w:hint="eastAsia" w:ascii="仿宋_GB2312" w:hAnsi="仿宋_GB2312" w:eastAsia="仿宋_GB2312" w:cs="仿宋_GB2312"/>
          <w:sz w:val="32"/>
          <w:szCs w:val="32"/>
        </w:rPr>
        <w:t>、广州新城西站等项目的规划建设。二是石</w:t>
      </w:r>
      <w:r>
        <w:rPr>
          <w:rFonts w:hint="eastAsia" w:ascii="宋体" w:hAnsi="宋体" w:cs="宋体"/>
          <w:sz w:val="32"/>
          <w:szCs w:val="32"/>
        </w:rPr>
        <w:t>碁</w:t>
      </w:r>
      <w:r>
        <w:rPr>
          <w:rFonts w:hint="eastAsia" w:ascii="仿宋_GB2312" w:hAnsi="仿宋_GB2312" w:eastAsia="仿宋_GB2312" w:cs="仿宋_GB2312"/>
          <w:sz w:val="32"/>
          <w:szCs w:val="32"/>
        </w:rPr>
        <w:t>番禺智造创新园组团，联动专精特新企业集聚区等产业园区建设。三是加快石楼亚运城产城融合组团和番禺国家级沿海渔港经济区组团的建设。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根据有关研究部门编制的《</w:t>
      </w:r>
      <w:bookmarkStart w:id="1" w:name="_Toc23993"/>
      <w:bookmarkStart w:id="2" w:name="_Toc6002"/>
      <w:bookmarkStart w:id="3" w:name="_Toc3200"/>
      <w:bookmarkStart w:id="4" w:name="_Toc16348"/>
      <w:bookmarkStart w:id="5" w:name="_Toc22475"/>
      <w:bookmarkStart w:id="6" w:name="_Toc8264"/>
      <w:bookmarkStart w:id="7" w:name="_Toc14806"/>
      <w:bookmarkStart w:id="8" w:name="_Toc9516"/>
      <w:bookmarkStart w:id="9" w:name="_Toc17558"/>
      <w:bookmarkStart w:id="10" w:name="_Toc10023"/>
      <w:r>
        <w:rPr>
          <w:rFonts w:hint="eastAsia" w:ascii="仿宋_GB2312" w:hAnsi="仿宋_GB2312" w:eastAsia="仿宋_GB2312" w:cs="仿宋_GB2312"/>
          <w:sz w:val="32"/>
          <w:szCs w:val="32"/>
        </w:rPr>
        <w:t>亚运大道经济带前期研究</w:t>
      </w:r>
      <w:bookmarkEnd w:id="1"/>
      <w:bookmarkEnd w:id="2"/>
      <w:bookmarkEnd w:id="3"/>
      <w:bookmarkEnd w:id="4"/>
      <w:bookmarkEnd w:id="5"/>
      <w:bookmarkEnd w:id="6"/>
      <w:bookmarkEnd w:id="7"/>
      <w:bookmarkEnd w:id="8"/>
      <w:bookmarkEnd w:id="9"/>
      <w:r>
        <w:rPr>
          <w:rFonts w:hint="eastAsia" w:ascii="仿宋_GB2312" w:hAnsi="仿宋_GB2312" w:eastAsia="仿宋_GB2312" w:cs="仿宋_GB2312"/>
          <w:sz w:val="32"/>
          <w:szCs w:val="32"/>
        </w:rPr>
        <w:t>的报告</w:t>
      </w:r>
      <w:bookmarkEnd w:id="10"/>
      <w:r>
        <w:rPr>
          <w:rFonts w:hint="eastAsia" w:ascii="仿宋_GB2312" w:hAnsi="仿宋_GB2312" w:eastAsia="仿宋_GB2312" w:cs="仿宋_GB2312"/>
          <w:sz w:val="32"/>
          <w:szCs w:val="32"/>
        </w:rPr>
        <w:t>》，亚运大道经济带北至市莲路、南至市桥水道、西至番禺大道、东至浮莲岗水道，包括大龙街、石</w:t>
      </w:r>
      <w:r>
        <w:rPr>
          <w:rFonts w:hint="eastAsia" w:ascii="宋体" w:hAnsi="宋体" w:cs="宋体"/>
          <w:sz w:val="32"/>
          <w:szCs w:val="32"/>
        </w:rPr>
        <w:t>碁</w:t>
      </w:r>
      <w:r>
        <w:rPr>
          <w:rFonts w:hint="eastAsia" w:ascii="仿宋_GB2312" w:hAnsi="仿宋_GB2312" w:eastAsia="仿宋_GB2312" w:cs="仿宋_GB2312"/>
          <w:sz w:val="32"/>
          <w:szCs w:val="32"/>
        </w:rPr>
        <w:t>镇、石楼镇的部分地域，面积约</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平方公里。经济带内主要产业载体有番禺智造创新园、上市企业工业扩产（石</w:t>
      </w:r>
      <w:r>
        <w:rPr>
          <w:rFonts w:hint="eastAsia" w:ascii="宋体" w:hAnsi="宋体" w:cs="宋体"/>
          <w:sz w:val="32"/>
          <w:szCs w:val="32"/>
        </w:rPr>
        <w:t>碁</w:t>
      </w:r>
      <w:r>
        <w:rPr>
          <w:rFonts w:hint="eastAsia" w:ascii="仿宋_GB2312" w:hAnsi="仿宋_GB2312" w:eastAsia="仿宋_GB2312" w:cs="仿宋_GB2312"/>
          <w:sz w:val="32"/>
          <w:szCs w:val="32"/>
        </w:rPr>
        <w:t>）产业园、番禺“专精特新”企业集聚区（一期）及部分村级工业园。截至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年实现地区生产总值约</w:t>
      </w:r>
      <w:r>
        <w:rPr>
          <w:rFonts w:ascii="仿宋_GB2312" w:hAnsi="仿宋_GB2312" w:eastAsia="仿宋_GB2312" w:cs="仿宋_GB2312"/>
          <w:sz w:val="32"/>
          <w:szCs w:val="32"/>
        </w:rPr>
        <w:t>140</w:t>
      </w:r>
      <w:r>
        <w:rPr>
          <w:rFonts w:hint="eastAsia" w:ascii="仿宋_GB2312" w:hAnsi="仿宋_GB2312" w:eastAsia="仿宋_GB2312" w:cs="仿宋_GB2312"/>
          <w:sz w:val="32"/>
          <w:szCs w:val="32"/>
        </w:rPr>
        <w:t>亿元，规上工业总产值</w:t>
      </w:r>
      <w:r>
        <w:rPr>
          <w:rFonts w:ascii="仿宋_GB2312" w:hAnsi="仿宋_GB2312" w:eastAsia="仿宋_GB2312" w:cs="仿宋_GB2312"/>
          <w:sz w:val="32"/>
          <w:szCs w:val="32"/>
        </w:rPr>
        <w:t>127.6</w:t>
      </w:r>
      <w:r>
        <w:rPr>
          <w:rFonts w:hint="eastAsia" w:ascii="仿宋_GB2312" w:hAnsi="仿宋_GB2312" w:eastAsia="仿宋_GB2312" w:cs="仿宋_GB2312"/>
          <w:sz w:val="32"/>
          <w:szCs w:val="32"/>
        </w:rPr>
        <w:t>亿元。经济带区域内“四上”企业</w:t>
      </w:r>
      <w:r>
        <w:rPr>
          <w:rFonts w:ascii="仿宋_GB2312" w:hAnsi="仿宋_GB2312" w:eastAsia="仿宋_GB2312" w:cs="仿宋_GB2312"/>
          <w:sz w:val="32"/>
          <w:szCs w:val="32"/>
        </w:rPr>
        <w:t>413</w:t>
      </w:r>
      <w:r>
        <w:rPr>
          <w:rFonts w:hint="eastAsia" w:ascii="仿宋_GB2312" w:hAnsi="仿宋_GB2312" w:eastAsia="仿宋_GB2312" w:cs="仿宋_GB2312"/>
          <w:sz w:val="32"/>
          <w:szCs w:val="32"/>
        </w:rPr>
        <w:t>家，上市公司</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家，专精特新企业</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家；目前有</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个产业项目在推进，涉及总投资</w:t>
      </w:r>
      <w:r>
        <w:rPr>
          <w:rFonts w:ascii="仿宋_GB2312" w:hAnsi="仿宋_GB2312" w:eastAsia="仿宋_GB2312" w:cs="仿宋_GB2312"/>
          <w:sz w:val="32"/>
          <w:szCs w:val="32"/>
        </w:rPr>
        <w:t>340</w:t>
      </w:r>
      <w:r>
        <w:rPr>
          <w:rFonts w:hint="eastAsia" w:ascii="仿宋_GB2312" w:hAnsi="仿宋_GB2312" w:eastAsia="仿宋_GB2312" w:cs="仿宋_GB2312"/>
          <w:sz w:val="32"/>
          <w:szCs w:val="32"/>
        </w:rPr>
        <w:t>亿元。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、长堤东路位于亚运大道经济带的南部。亚运大道经济带涉及经济体量大、投资额度高，沿线有番禺广场</w:t>
      </w:r>
      <w:r>
        <w:rPr>
          <w:rFonts w:ascii="仿宋_GB2312" w:hAnsi="仿宋_GB2312" w:eastAsia="仿宋_GB2312" w:cs="仿宋_GB2312"/>
          <w:sz w:val="32"/>
          <w:szCs w:val="32"/>
        </w:rPr>
        <w:t>TOD</w:t>
      </w:r>
      <w:r>
        <w:rPr>
          <w:rFonts w:hint="eastAsia" w:ascii="仿宋_GB2312" w:hAnsi="仿宋_GB2312" w:eastAsia="仿宋_GB2312" w:cs="仿宋_GB2312"/>
          <w:sz w:val="32"/>
          <w:szCs w:val="32"/>
        </w:rPr>
        <w:t>、清河市场片区升级、番禺客运站</w:t>
      </w:r>
      <w:r>
        <w:rPr>
          <w:rFonts w:ascii="仿宋_GB2312" w:hAnsi="仿宋_GB2312" w:eastAsia="仿宋_GB2312" w:cs="仿宋_GB2312"/>
          <w:sz w:val="32"/>
          <w:szCs w:val="32"/>
        </w:rPr>
        <w:t>TOD</w:t>
      </w:r>
      <w:r>
        <w:rPr>
          <w:rFonts w:hint="eastAsia" w:ascii="仿宋_GB2312" w:hAnsi="仿宋_GB2312" w:eastAsia="仿宋_GB2312" w:cs="仿宋_GB2312"/>
          <w:sz w:val="32"/>
          <w:szCs w:val="32"/>
        </w:rPr>
        <w:t>、广州新城西站等重大项目。加快上述重点项目的建设，势必要求加快相应交通干线的疏通和建设。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、番禺智造创新园是亚运大道经济带的重点发展园区，总用地面积约</w:t>
      </w:r>
      <w:r>
        <w:rPr>
          <w:rFonts w:ascii="仿宋_GB2312" w:hAnsi="仿宋_GB2312" w:eastAsia="仿宋_GB2312" w:cs="仿宋_GB2312"/>
          <w:sz w:val="32"/>
          <w:szCs w:val="32"/>
        </w:rPr>
        <w:t>589.8</w:t>
      </w:r>
      <w:r>
        <w:rPr>
          <w:rFonts w:hint="eastAsia" w:ascii="仿宋_GB2312" w:hAnsi="仿宋_GB2312" w:eastAsia="仿宋_GB2312" w:cs="仿宋_GB2312"/>
          <w:sz w:val="32"/>
          <w:szCs w:val="32"/>
        </w:rPr>
        <w:t>万</w:t>
      </w:r>
      <w:r>
        <w:rPr>
          <w:rFonts w:hint="eastAsia" w:ascii="宋体" w:hAnsi="宋体" w:cs="宋体"/>
          <w:sz w:val="32"/>
          <w:szCs w:val="32"/>
        </w:rPr>
        <w:t>㎡</w:t>
      </w:r>
      <w:r>
        <w:rPr>
          <w:rFonts w:hint="eastAsia" w:ascii="仿宋_GB2312" w:hAnsi="仿宋_GB2312" w:eastAsia="仿宋_GB2312" w:cs="仿宋_GB2312"/>
          <w:sz w:val="32"/>
          <w:szCs w:val="32"/>
        </w:rPr>
        <w:t>，重点发展以制造业数字化、网络化、智能化为标志的智能制造产业，推进智能制造等领域关键核心技术攻关和产业化应用为主。经初步测算，考虑从项目导入到完成开发及土地利用的各种约束条件，未来</w:t>
      </w:r>
      <w:r>
        <w:rPr>
          <w:rFonts w:ascii="仿宋_GB2312" w:hAnsi="仿宋_GB2312" w:eastAsia="仿宋_GB2312" w:cs="仿宋_GB2312"/>
          <w:sz w:val="32"/>
          <w:szCs w:val="32"/>
        </w:rPr>
        <w:t>5-10</w:t>
      </w:r>
      <w:r>
        <w:rPr>
          <w:rFonts w:hint="eastAsia" w:ascii="仿宋_GB2312" w:hAnsi="仿宋_GB2312" w:eastAsia="仿宋_GB2312" w:cs="仿宋_GB2312"/>
          <w:sz w:val="32"/>
          <w:szCs w:val="32"/>
        </w:rPr>
        <w:t>年内园区全部土地项目建成投产后，预估带来总投资超</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亿元，工业总产值区间在</w:t>
      </w:r>
      <w:r>
        <w:rPr>
          <w:rFonts w:ascii="仿宋_GB2312" w:hAnsi="仿宋_GB2312" w:eastAsia="仿宋_GB2312" w:cs="仿宋_GB2312"/>
          <w:sz w:val="32"/>
          <w:szCs w:val="32"/>
        </w:rPr>
        <w:t>1700-2600</w:t>
      </w:r>
      <w:r>
        <w:rPr>
          <w:rFonts w:hint="eastAsia" w:ascii="仿宋_GB2312" w:hAnsi="仿宋_GB2312" w:eastAsia="仿宋_GB2312" w:cs="仿宋_GB2312"/>
          <w:sz w:val="32"/>
          <w:szCs w:val="32"/>
        </w:rPr>
        <w:t>亿元，带来工业增加值约</w:t>
      </w:r>
      <w:r>
        <w:rPr>
          <w:rFonts w:ascii="仿宋_GB2312" w:hAnsi="仿宋_GB2312" w:eastAsia="仿宋_GB2312" w:cs="仿宋_GB2312"/>
          <w:sz w:val="32"/>
          <w:szCs w:val="32"/>
        </w:rPr>
        <w:t>400-600</w:t>
      </w:r>
      <w:r>
        <w:rPr>
          <w:rFonts w:hint="eastAsia" w:ascii="仿宋_GB2312" w:hAnsi="仿宋_GB2312" w:eastAsia="仿宋_GB2312" w:cs="仿宋_GB2312"/>
          <w:sz w:val="32"/>
          <w:szCs w:val="32"/>
        </w:rPr>
        <w:t>亿元。作为支撑番禺未来产业转型升级、激发区域新旧动能转换的重大平台，番禺智造创新园目前仅有北面亚运大道可通行，南面及周边交通干道匮乏，其近期发展和土地供应受道路限制，势必影响开发进程。“路通财通”，交通设施跟不上，招商项目受影响。因此，亟需在项目地块南面开通东西向道路以支持园区开发建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加快长堤东路建设，是践行“百千万工程”，补齐农村基础设施短板，促进农村经济发展的需要。</w:t>
      </w:r>
    </w:p>
    <w:p>
      <w:pPr>
        <w:ind w:firstLine="640" w:firstLineChars="200"/>
        <w:rPr>
          <w:rStyle w:val="11"/>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长堤东路（南沙港快线至京珠高速段）涉及石</w:t>
      </w:r>
      <w:r>
        <w:rPr>
          <w:rFonts w:hint="eastAsia" w:ascii="宋体" w:hAnsi="宋体" w:cs="宋体"/>
          <w:sz w:val="32"/>
          <w:szCs w:val="32"/>
        </w:rPr>
        <w:t>碁</w:t>
      </w:r>
      <w:r>
        <w:rPr>
          <w:rFonts w:hint="eastAsia" w:ascii="仿宋_GB2312" w:hAnsi="仿宋_GB2312" w:eastAsia="仿宋_GB2312" w:cs="仿宋_GB2312"/>
          <w:sz w:val="32"/>
          <w:szCs w:val="32"/>
        </w:rPr>
        <w:t>镇长坦村、前锋村、低涌村等农村地区，现状村居主要靠长堤新村路、前锋路、海涌路等村路连接亚运大道；道路等级低（属村级道路），路幅窄（双车道、</w:t>
      </w:r>
      <w:r>
        <w:rPr>
          <w:rFonts w:ascii="仿宋_GB2312" w:hAnsi="仿宋_GB2312" w:eastAsia="仿宋_GB2312" w:cs="仿宋_GB2312"/>
          <w:sz w:val="32"/>
          <w:szCs w:val="32"/>
        </w:rPr>
        <w:t>8-10</w:t>
      </w:r>
      <w:r>
        <w:rPr>
          <w:rFonts w:hint="eastAsia" w:ascii="仿宋_GB2312" w:hAnsi="仿宋_GB2312" w:eastAsia="仿宋_GB2312" w:cs="仿宋_GB2312"/>
          <w:sz w:val="32"/>
          <w:szCs w:val="32"/>
        </w:rPr>
        <w:t>米路面），交通出入极为不便，村集体经济发展缓慢。加快长堤东路建设，践行“百千万工程”，使村域南北均有干道相接，大大便捷交通，必将促进村集体经济发展。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加快长堤东路建设，是构建滨水景观，提升绿美番禺质量和城市防洪抢险安全韧性的需要。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市桥水道是番禺的母亲河，全长</w:t>
      </w:r>
      <w:r>
        <w:rPr>
          <w:rFonts w:ascii="仿宋_GB2312" w:hAnsi="仿宋_GB2312" w:eastAsia="仿宋_GB2312" w:cs="仿宋_GB2312"/>
          <w:sz w:val="32"/>
          <w:szCs w:val="32"/>
        </w:rPr>
        <w:t>38.6</w:t>
      </w:r>
      <w:r>
        <w:rPr>
          <w:rFonts w:hint="eastAsia" w:ascii="仿宋_GB2312" w:hAnsi="仿宋_GB2312" w:eastAsia="仿宋_GB2312" w:cs="仿宋_GB2312"/>
          <w:sz w:val="32"/>
          <w:szCs w:val="32"/>
        </w:rPr>
        <w:t>公里。通过近几年的河涌水系整治，河水清澈、鱼群回流，沿岸自然风景秀丽，已逐步成为附近居民休闲游憩的好场所。目前已建成的市桥水道碧道总长</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公里，起点为西丽大桥，终点至东新高速桥底。通过打通长堤东路市桥二桥至京珠高速段，构建起连贯的市桥水道碧道，结合沿路的慢行系统，势必将成为城区的又一条靓丽滨水岸线。同时充分利用市桥河</w:t>
      </w:r>
      <w:r>
        <w:rPr>
          <w:rFonts w:ascii="仿宋_GB2312" w:hAnsi="仿宋_GB2312" w:eastAsia="仿宋_GB2312" w:cs="仿宋_GB2312"/>
          <w:sz w:val="32"/>
          <w:szCs w:val="32"/>
        </w:rPr>
        <w:t xml:space="preserve">40 </w:t>
      </w:r>
      <w:r>
        <w:rPr>
          <w:rFonts w:hint="eastAsia" w:ascii="仿宋_GB2312" w:hAnsi="仿宋_GB2312" w:eastAsia="仿宋_GB2312" w:cs="仿宋_GB2312"/>
          <w:sz w:val="32"/>
          <w:szCs w:val="32"/>
        </w:rPr>
        <w:t>米河涌管理范围，采用路堤结合方式建设长堤东路，不仅可节约土地，还可在疏解交通压力的同时，有利于城市防洪抢险。</w:t>
      </w:r>
    </w:p>
    <w:p>
      <w:pPr>
        <w:spacing w:line="56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办法：</w:t>
      </w:r>
    </w:p>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rPr>
        <w:t>统筹谋划，经济先行。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对长堤东路市桥二桥至京珠段沿线土地情况进行摸查，考虑可能的用地收储情况，作出全面的规划策划和合理的经济分析。尤其长堤东路市桥二桥至金海岸花园段，涉及机动车驾驶培训学校及一些简易厂房的拆迁等，建议加强该区域的规划研究。基于周边有东怡新区、金海岸花园、东湖镇花园等高品位住宅区，考虑到清河市场综合改造等情况，建议可结合市桥河南岸的草河湿地公园，做足一河两岸的规划策划，规划改造为时尚酒店、精品办公、潮品娱乐等；通过对该些低效土地的收储及规划赋能，以城市更新的方式，获得道路建设的运营资金。</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仔细研究，做好规划衔接。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长堤东路（黄沙岛至雁洲水闸段）规划方案已批，由区基建部门推进建设。如需推进长堤东路雁洲水闸以东段的建设，需做好与长堤东路已批路段和规划沙湾干线等在规划线位、近期建设路幅、横断面布置等方面的对接，避免线位研究存在缺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（二）长堤东路连接市桥主城区和莲花湾区域，规划红线宽度</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米，俨然成为一条东西向交通干道。如何在既解决交通需求又与景观功能、慢性系统间取得平衡，建议做更加深入细致的研究。</w:t>
      </w:r>
    </w:p>
    <w:p>
      <w:pPr>
        <w:ind w:firstLine="640" w:firstLineChars="200"/>
        <w:rPr>
          <w:rFonts w:ascii="黑体" w:hAnsi="黑体" w:eastAsia="黑体" w:cs="黑体"/>
          <w:sz w:val="32"/>
          <w:szCs w:val="32"/>
        </w:rPr>
      </w:pPr>
      <w:r>
        <w:rPr>
          <w:rFonts w:hint="eastAsia" w:ascii="黑体" w:hAnsi="黑体" w:eastAsia="黑体" w:cs="黑体"/>
          <w:sz w:val="32"/>
          <w:szCs w:val="32"/>
        </w:rPr>
        <w:t>三、路堤结合、多措并举、分期分批建设。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长堤东路（黄沙岛至雁洲水闸段）由于临近主城区，将承担亚运大道的部分交通量，因此道路功能和断面以疏解交通为主；长堤东路（雁洲水闸以东至京珠段）近期交通量不大，可以先推进半幅路面的建设，远期视交通量情况，再整幅建设；建议同时做好近期建设断面与现状周边道路、远期规划断面等的衔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长堤东路（黄沙岛至金海岸大道段）涉及一定量的拆迁，目前尚未开通道路；建议结合政府大力推进长堤东路全线贯通的契机，多措并举解决“拆迁”这一阻碍道路贯通的老大难问题，运用法律、城管、税收等综合手段，完成道路推进的最后一公里工作。</w:t>
      </w:r>
    </w:p>
    <w:p>
      <w:pPr>
        <w:spacing w:line="560" w:lineRule="exact"/>
        <w:rPr>
          <w:kern w:val="0"/>
        </w:rPr>
      </w:pPr>
      <w:r>
        <w:rPr>
          <w:rFonts w:hint="eastAsia" w:ascii="仿宋_GB2312" w:hAnsi="仿宋_GB2312" w:eastAsia="仿宋_GB2312" w:cs="仿宋_GB2312"/>
          <w:sz w:val="32"/>
          <w:szCs w:val="32"/>
        </w:rPr>
        <w:t>（三）建议采用路堤结合方式建设长堤东路，利用提防改造的契机同步进行道路建设，使资金投入的效益最大化。</w:t>
      </w:r>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ascii="仿宋_GB2312" w:eastAsia="仿宋_GB2312"/>
        <w:sz w:val="32"/>
        <w:szCs w:val="32"/>
      </w:rPr>
      <w:t>—</w:t>
    </w: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1</w:t>
    </w:r>
    <w:r>
      <w:rPr>
        <w:rFonts w:ascii="仿宋_GB2312" w:eastAsia="仿宋_GB2312"/>
        <w:sz w:val="32"/>
        <w:szCs w:val="32"/>
      </w:rPr>
      <w:fldChar w:fldCharType="end"/>
    </w:r>
    <w:r>
      <w:rPr>
        <w:rFonts w:ascii="仿宋_GB2312" w:eastAsia="仿宋_GB2312"/>
        <w:sz w:val="32"/>
        <w:szCs w:val="32"/>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仿宋_GB2312" w:eastAsia="仿宋_GB2312"/>
        <w:sz w:val="32"/>
        <w:szCs w:val="32"/>
      </w:rPr>
      <w:t>—</w:t>
    </w: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2</w:t>
    </w:r>
    <w:r>
      <w:rPr>
        <w:rFonts w:ascii="仿宋_GB2312" w:eastAsia="仿宋_GB2312"/>
        <w:sz w:val="32"/>
        <w:szCs w:val="32"/>
      </w:rPr>
      <w:fldChar w:fldCharType="end"/>
    </w:r>
    <w:r>
      <w:rPr>
        <w:rFonts w:ascii="仿宋_GB2312" w:eastAsia="仿宋_GB2312"/>
        <w:sz w:val="32"/>
        <w:szCs w:val="32"/>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8D3C"/>
    <w:multiLevelType w:val="singleLevel"/>
    <w:tmpl w:val="8CA68D3C"/>
    <w:lvl w:ilvl="0" w:tentative="0">
      <w:start w:val="0"/>
      <w:numFmt w:val="none"/>
      <w:lvlText w:val=""/>
      <w:lvlJc w:val="left"/>
      <w:pPr>
        <w:tabs>
          <w:tab w:val="left" w:pos="360"/>
        </w:tabs>
      </w:pPr>
      <w:rPr>
        <w:rFonts w:cs="Times New Roman"/>
      </w:rPr>
    </w:lvl>
  </w:abstractNum>
  <w:abstractNum w:abstractNumId="1">
    <w:nsid w:val="EEC3FAB7"/>
    <w:multiLevelType w:val="singleLevel"/>
    <w:tmpl w:val="EEC3FAB7"/>
    <w:lvl w:ilvl="0" w:tentative="0">
      <w:start w:val="0"/>
      <w:numFmt w:val="none"/>
      <w:lvlText w:val=""/>
      <w:lvlJc w:val="left"/>
      <w:pPr>
        <w:tabs>
          <w:tab w:val="left" w:pos="36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1MzljODBiNDliMzEyMzFlZWNlN2EzYjU0N2YzMWEifQ=="/>
  </w:docVars>
  <w:rsids>
    <w:rsidRoot w:val="00172A27"/>
    <w:rsid w:val="00001636"/>
    <w:rsid w:val="000019C4"/>
    <w:rsid w:val="000035AA"/>
    <w:rsid w:val="000077E7"/>
    <w:rsid w:val="00007B61"/>
    <w:rsid w:val="00014E06"/>
    <w:rsid w:val="00031AC6"/>
    <w:rsid w:val="00033C3C"/>
    <w:rsid w:val="00043009"/>
    <w:rsid w:val="000500E5"/>
    <w:rsid w:val="00060AA3"/>
    <w:rsid w:val="00086A73"/>
    <w:rsid w:val="00095938"/>
    <w:rsid w:val="000B1FBE"/>
    <w:rsid w:val="000B72F4"/>
    <w:rsid w:val="000C7B40"/>
    <w:rsid w:val="000D68ED"/>
    <w:rsid w:val="000F4102"/>
    <w:rsid w:val="000F7528"/>
    <w:rsid w:val="00101D9C"/>
    <w:rsid w:val="00110E4F"/>
    <w:rsid w:val="0011473F"/>
    <w:rsid w:val="00125736"/>
    <w:rsid w:val="00132666"/>
    <w:rsid w:val="00167161"/>
    <w:rsid w:val="00172A27"/>
    <w:rsid w:val="00175F8D"/>
    <w:rsid w:val="001815E1"/>
    <w:rsid w:val="0018265F"/>
    <w:rsid w:val="00184849"/>
    <w:rsid w:val="00184D56"/>
    <w:rsid w:val="00192F7E"/>
    <w:rsid w:val="001B1FEE"/>
    <w:rsid w:val="001C2281"/>
    <w:rsid w:val="002040E6"/>
    <w:rsid w:val="00211E5B"/>
    <w:rsid w:val="0022715C"/>
    <w:rsid w:val="00244FD3"/>
    <w:rsid w:val="00254659"/>
    <w:rsid w:val="002751FA"/>
    <w:rsid w:val="00276717"/>
    <w:rsid w:val="00282B4B"/>
    <w:rsid w:val="00283432"/>
    <w:rsid w:val="00284387"/>
    <w:rsid w:val="00286275"/>
    <w:rsid w:val="00286CA9"/>
    <w:rsid w:val="0029756C"/>
    <w:rsid w:val="00297E70"/>
    <w:rsid w:val="002A2889"/>
    <w:rsid w:val="002A2B82"/>
    <w:rsid w:val="002B0B2E"/>
    <w:rsid w:val="002C407B"/>
    <w:rsid w:val="002D30C3"/>
    <w:rsid w:val="002D4DD5"/>
    <w:rsid w:val="002E1929"/>
    <w:rsid w:val="002E6C64"/>
    <w:rsid w:val="002F373D"/>
    <w:rsid w:val="002F7384"/>
    <w:rsid w:val="003044E8"/>
    <w:rsid w:val="00315038"/>
    <w:rsid w:val="00315D4B"/>
    <w:rsid w:val="00316D45"/>
    <w:rsid w:val="00334223"/>
    <w:rsid w:val="003377A5"/>
    <w:rsid w:val="00345BB9"/>
    <w:rsid w:val="0036016A"/>
    <w:rsid w:val="0039033E"/>
    <w:rsid w:val="00397F0D"/>
    <w:rsid w:val="003A6A69"/>
    <w:rsid w:val="003A6A84"/>
    <w:rsid w:val="003B1A47"/>
    <w:rsid w:val="003B1B5E"/>
    <w:rsid w:val="003C28B9"/>
    <w:rsid w:val="003D1A7D"/>
    <w:rsid w:val="003D6F17"/>
    <w:rsid w:val="003E22BB"/>
    <w:rsid w:val="003E7DBF"/>
    <w:rsid w:val="003F06C4"/>
    <w:rsid w:val="00400C8B"/>
    <w:rsid w:val="004072F6"/>
    <w:rsid w:val="00426F2F"/>
    <w:rsid w:val="004555C0"/>
    <w:rsid w:val="0048028F"/>
    <w:rsid w:val="00493363"/>
    <w:rsid w:val="0049642E"/>
    <w:rsid w:val="004A1C65"/>
    <w:rsid w:val="004B658E"/>
    <w:rsid w:val="004C1FC8"/>
    <w:rsid w:val="004C541C"/>
    <w:rsid w:val="004C55DE"/>
    <w:rsid w:val="004C776F"/>
    <w:rsid w:val="004F43C8"/>
    <w:rsid w:val="004F793A"/>
    <w:rsid w:val="005014DC"/>
    <w:rsid w:val="00515F00"/>
    <w:rsid w:val="005214D9"/>
    <w:rsid w:val="005279A6"/>
    <w:rsid w:val="005308D3"/>
    <w:rsid w:val="005426B4"/>
    <w:rsid w:val="00550AEF"/>
    <w:rsid w:val="00550CE3"/>
    <w:rsid w:val="005669CB"/>
    <w:rsid w:val="00571822"/>
    <w:rsid w:val="00574564"/>
    <w:rsid w:val="0057611B"/>
    <w:rsid w:val="00580935"/>
    <w:rsid w:val="00590565"/>
    <w:rsid w:val="00595E02"/>
    <w:rsid w:val="00597176"/>
    <w:rsid w:val="005A0C2D"/>
    <w:rsid w:val="005B3FC3"/>
    <w:rsid w:val="005C7006"/>
    <w:rsid w:val="005E6503"/>
    <w:rsid w:val="006015B7"/>
    <w:rsid w:val="00617551"/>
    <w:rsid w:val="006178D9"/>
    <w:rsid w:val="00631EF1"/>
    <w:rsid w:val="00634713"/>
    <w:rsid w:val="00641C53"/>
    <w:rsid w:val="00646EE9"/>
    <w:rsid w:val="00651C94"/>
    <w:rsid w:val="00652208"/>
    <w:rsid w:val="00664542"/>
    <w:rsid w:val="00676AB3"/>
    <w:rsid w:val="00677C13"/>
    <w:rsid w:val="00691B4C"/>
    <w:rsid w:val="00691DE5"/>
    <w:rsid w:val="0069793F"/>
    <w:rsid w:val="006A3E53"/>
    <w:rsid w:val="006A462A"/>
    <w:rsid w:val="006B356F"/>
    <w:rsid w:val="006B6C2E"/>
    <w:rsid w:val="006B72BD"/>
    <w:rsid w:val="006C0C4D"/>
    <w:rsid w:val="006C204D"/>
    <w:rsid w:val="006C2B6E"/>
    <w:rsid w:val="006C4897"/>
    <w:rsid w:val="006D4E46"/>
    <w:rsid w:val="006D6BE6"/>
    <w:rsid w:val="006E5EB7"/>
    <w:rsid w:val="006E6C35"/>
    <w:rsid w:val="006F41EA"/>
    <w:rsid w:val="00700487"/>
    <w:rsid w:val="00717EC4"/>
    <w:rsid w:val="00724F0F"/>
    <w:rsid w:val="007305FD"/>
    <w:rsid w:val="007424E9"/>
    <w:rsid w:val="00750A07"/>
    <w:rsid w:val="00761149"/>
    <w:rsid w:val="00766A1D"/>
    <w:rsid w:val="00774408"/>
    <w:rsid w:val="007832B8"/>
    <w:rsid w:val="0079005F"/>
    <w:rsid w:val="00795709"/>
    <w:rsid w:val="007C4F8C"/>
    <w:rsid w:val="007D09F4"/>
    <w:rsid w:val="007D407D"/>
    <w:rsid w:val="007D62AD"/>
    <w:rsid w:val="008059F1"/>
    <w:rsid w:val="008064E1"/>
    <w:rsid w:val="00807060"/>
    <w:rsid w:val="00814760"/>
    <w:rsid w:val="00814B04"/>
    <w:rsid w:val="00826AF4"/>
    <w:rsid w:val="00842BC3"/>
    <w:rsid w:val="00846C1D"/>
    <w:rsid w:val="00857F42"/>
    <w:rsid w:val="008853D1"/>
    <w:rsid w:val="00885B5B"/>
    <w:rsid w:val="008869B7"/>
    <w:rsid w:val="00892185"/>
    <w:rsid w:val="008A307D"/>
    <w:rsid w:val="008A4806"/>
    <w:rsid w:val="008A7671"/>
    <w:rsid w:val="008E7AF9"/>
    <w:rsid w:val="008F05E7"/>
    <w:rsid w:val="008F3ACD"/>
    <w:rsid w:val="009030E3"/>
    <w:rsid w:val="00912146"/>
    <w:rsid w:val="00926A1A"/>
    <w:rsid w:val="00934E7A"/>
    <w:rsid w:val="0093798D"/>
    <w:rsid w:val="0095421A"/>
    <w:rsid w:val="009542A7"/>
    <w:rsid w:val="00955842"/>
    <w:rsid w:val="00964E2A"/>
    <w:rsid w:val="00994AC5"/>
    <w:rsid w:val="009A5C64"/>
    <w:rsid w:val="009C0E0C"/>
    <w:rsid w:val="009C50CF"/>
    <w:rsid w:val="009E336B"/>
    <w:rsid w:val="009F06D4"/>
    <w:rsid w:val="009F2C1D"/>
    <w:rsid w:val="00A015A0"/>
    <w:rsid w:val="00A45BFD"/>
    <w:rsid w:val="00A85238"/>
    <w:rsid w:val="00A93530"/>
    <w:rsid w:val="00AA0DAE"/>
    <w:rsid w:val="00AB095F"/>
    <w:rsid w:val="00AB5B82"/>
    <w:rsid w:val="00AC530B"/>
    <w:rsid w:val="00AD6B8C"/>
    <w:rsid w:val="00AF19CB"/>
    <w:rsid w:val="00AF23F8"/>
    <w:rsid w:val="00AF509B"/>
    <w:rsid w:val="00B02D7C"/>
    <w:rsid w:val="00B057A7"/>
    <w:rsid w:val="00B2325C"/>
    <w:rsid w:val="00B26FD1"/>
    <w:rsid w:val="00B37854"/>
    <w:rsid w:val="00B45885"/>
    <w:rsid w:val="00B55BD8"/>
    <w:rsid w:val="00B86C18"/>
    <w:rsid w:val="00BA253B"/>
    <w:rsid w:val="00BA32B8"/>
    <w:rsid w:val="00BB31D9"/>
    <w:rsid w:val="00BB43D7"/>
    <w:rsid w:val="00BC4491"/>
    <w:rsid w:val="00BD0E70"/>
    <w:rsid w:val="00BD51FE"/>
    <w:rsid w:val="00BD618B"/>
    <w:rsid w:val="00BE20F2"/>
    <w:rsid w:val="00BE37C8"/>
    <w:rsid w:val="00BE498C"/>
    <w:rsid w:val="00C120F5"/>
    <w:rsid w:val="00C25734"/>
    <w:rsid w:val="00C35DC9"/>
    <w:rsid w:val="00C368EB"/>
    <w:rsid w:val="00C4082F"/>
    <w:rsid w:val="00C51905"/>
    <w:rsid w:val="00C5263B"/>
    <w:rsid w:val="00C5276E"/>
    <w:rsid w:val="00C530A3"/>
    <w:rsid w:val="00C55655"/>
    <w:rsid w:val="00C62A9C"/>
    <w:rsid w:val="00C707A0"/>
    <w:rsid w:val="00C7174D"/>
    <w:rsid w:val="00C75680"/>
    <w:rsid w:val="00C76515"/>
    <w:rsid w:val="00C77B33"/>
    <w:rsid w:val="00C856E3"/>
    <w:rsid w:val="00CB549C"/>
    <w:rsid w:val="00CB6261"/>
    <w:rsid w:val="00CB6660"/>
    <w:rsid w:val="00CC6970"/>
    <w:rsid w:val="00CD3F62"/>
    <w:rsid w:val="00CE2940"/>
    <w:rsid w:val="00CF0444"/>
    <w:rsid w:val="00CF2210"/>
    <w:rsid w:val="00D06A78"/>
    <w:rsid w:val="00D11AAC"/>
    <w:rsid w:val="00D1520C"/>
    <w:rsid w:val="00D1711D"/>
    <w:rsid w:val="00D34840"/>
    <w:rsid w:val="00D352CE"/>
    <w:rsid w:val="00D46E34"/>
    <w:rsid w:val="00D54D23"/>
    <w:rsid w:val="00D830BE"/>
    <w:rsid w:val="00D87F91"/>
    <w:rsid w:val="00DA0911"/>
    <w:rsid w:val="00DA41F4"/>
    <w:rsid w:val="00DA7A84"/>
    <w:rsid w:val="00DB228F"/>
    <w:rsid w:val="00DB293A"/>
    <w:rsid w:val="00DB4BE2"/>
    <w:rsid w:val="00DC0AFF"/>
    <w:rsid w:val="00DD0007"/>
    <w:rsid w:val="00DD2F60"/>
    <w:rsid w:val="00DD6B0B"/>
    <w:rsid w:val="00DE0DDD"/>
    <w:rsid w:val="00DE3A83"/>
    <w:rsid w:val="00DE3DA9"/>
    <w:rsid w:val="00DF0AF1"/>
    <w:rsid w:val="00E04D9E"/>
    <w:rsid w:val="00E1199C"/>
    <w:rsid w:val="00E15762"/>
    <w:rsid w:val="00E23CC6"/>
    <w:rsid w:val="00E324D5"/>
    <w:rsid w:val="00E32B69"/>
    <w:rsid w:val="00E3697B"/>
    <w:rsid w:val="00E37E1A"/>
    <w:rsid w:val="00E5512A"/>
    <w:rsid w:val="00E66E41"/>
    <w:rsid w:val="00E80ECD"/>
    <w:rsid w:val="00E81E8D"/>
    <w:rsid w:val="00E84E32"/>
    <w:rsid w:val="00EC16B2"/>
    <w:rsid w:val="00ED4133"/>
    <w:rsid w:val="00ED6F9E"/>
    <w:rsid w:val="00EF230C"/>
    <w:rsid w:val="00F156EB"/>
    <w:rsid w:val="00F2017A"/>
    <w:rsid w:val="00F4501B"/>
    <w:rsid w:val="00F60726"/>
    <w:rsid w:val="00F77778"/>
    <w:rsid w:val="00F86FA7"/>
    <w:rsid w:val="00FA444D"/>
    <w:rsid w:val="00FA5A05"/>
    <w:rsid w:val="00FE0740"/>
    <w:rsid w:val="00FF0320"/>
    <w:rsid w:val="045B439E"/>
    <w:rsid w:val="07D13F54"/>
    <w:rsid w:val="0B492353"/>
    <w:rsid w:val="0D9E672E"/>
    <w:rsid w:val="139B5716"/>
    <w:rsid w:val="1957287E"/>
    <w:rsid w:val="25F22926"/>
    <w:rsid w:val="295667AC"/>
    <w:rsid w:val="30D606FD"/>
    <w:rsid w:val="342E25C2"/>
    <w:rsid w:val="36E26C0C"/>
    <w:rsid w:val="3C5C5E40"/>
    <w:rsid w:val="3E1F17EE"/>
    <w:rsid w:val="42760499"/>
    <w:rsid w:val="45C81B0A"/>
    <w:rsid w:val="4668670F"/>
    <w:rsid w:val="4852730E"/>
    <w:rsid w:val="494A5E09"/>
    <w:rsid w:val="4B9D30D2"/>
    <w:rsid w:val="54B03E76"/>
    <w:rsid w:val="57FD00AB"/>
    <w:rsid w:val="5979762B"/>
    <w:rsid w:val="659E6429"/>
    <w:rsid w:val="697B17DF"/>
    <w:rsid w:val="6AAE170A"/>
    <w:rsid w:val="7028701D"/>
    <w:rsid w:val="73C90727"/>
    <w:rsid w:val="79825F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0" w:semiHidden="0" w:name="Table Subtle 1" w:locked="1"/>
    <w:lsdException w:uiPriority="99" w:name="Table Subtle 2"/>
    <w:lsdException w:uiPriority="99" w:name="Table Web 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Times New Roman"/>
    </w:rPr>
  </w:style>
  <w:style w:type="paragraph" w:styleId="3">
    <w:name w:val="Body Text"/>
    <w:basedOn w:val="1"/>
    <w:next w:val="4"/>
    <w:qFormat/>
    <w:uiPriority w:val="0"/>
    <w:rPr>
      <w:rFonts w:ascii="Calibri" w:hAnsi="Calibri" w:eastAsia="仿宋_GB2312"/>
      <w:sz w:val="32"/>
      <w:szCs w:val="20"/>
    </w:rPr>
  </w:style>
  <w:style w:type="paragraph" w:styleId="4">
    <w:name w:val="toc 5"/>
    <w:basedOn w:val="1"/>
    <w:next w:val="1"/>
    <w:qFormat/>
    <w:locked/>
    <w:uiPriority w:val="0"/>
    <w:pPr>
      <w:ind w:left="1680"/>
    </w:pPr>
  </w:style>
  <w:style w:type="paragraph" w:styleId="5">
    <w:name w:val="Plain Text"/>
    <w:basedOn w:val="1"/>
    <w:link w:val="12"/>
    <w:qFormat/>
    <w:uiPriority w:val="99"/>
    <w:rPr>
      <w:rFonts w:ascii="宋体" w:hAnsi="Courier New"/>
      <w:kern w:val="0"/>
      <w:sz w:val="20"/>
      <w:szCs w:val="21"/>
    </w:rPr>
  </w:style>
  <w:style w:type="paragraph" w:styleId="6">
    <w:name w:val="Balloon Text"/>
    <w:basedOn w:val="1"/>
    <w:link w:val="13"/>
    <w:semiHidden/>
    <w:qFormat/>
    <w:uiPriority w:val="99"/>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locked/>
    <w:uiPriority w:val="99"/>
    <w:rPr>
      <w:rFonts w:cs="Times New Roman"/>
      <w:b/>
    </w:rPr>
  </w:style>
  <w:style w:type="character" w:customStyle="1" w:styleId="12">
    <w:name w:val="Plain Text Char"/>
    <w:basedOn w:val="10"/>
    <w:link w:val="5"/>
    <w:qFormat/>
    <w:locked/>
    <w:uiPriority w:val="99"/>
    <w:rPr>
      <w:rFonts w:ascii="宋体" w:hAnsi="Courier New" w:cs="Times New Roman"/>
      <w:sz w:val="21"/>
    </w:rPr>
  </w:style>
  <w:style w:type="character" w:customStyle="1" w:styleId="13">
    <w:name w:val="Balloon Text Char"/>
    <w:basedOn w:val="10"/>
    <w:link w:val="6"/>
    <w:semiHidden/>
    <w:locked/>
    <w:uiPriority w:val="99"/>
    <w:rPr>
      <w:rFonts w:cs="Times New Roman"/>
      <w:kern w:val="2"/>
      <w:sz w:val="18"/>
      <w:szCs w:val="18"/>
    </w:rPr>
  </w:style>
  <w:style w:type="character" w:customStyle="1" w:styleId="14">
    <w:name w:val="Footer Char"/>
    <w:basedOn w:val="10"/>
    <w:link w:val="7"/>
    <w:qFormat/>
    <w:locked/>
    <w:uiPriority w:val="99"/>
    <w:rPr>
      <w:rFonts w:cs="Times New Roman"/>
      <w:kern w:val="2"/>
      <w:sz w:val="18"/>
    </w:rPr>
  </w:style>
  <w:style w:type="character" w:customStyle="1" w:styleId="15">
    <w:name w:val="Header Char"/>
    <w:basedOn w:val="10"/>
    <w:link w:val="8"/>
    <w:locked/>
    <w:uiPriority w:val="99"/>
    <w:rPr>
      <w:rFonts w:cs="Times New Roman"/>
      <w:kern w:val="2"/>
      <w:sz w:val="18"/>
    </w:rPr>
  </w:style>
  <w:style w:type="paragraph" w:styleId="16">
    <w:name w:val="List Paragraph"/>
    <w:basedOn w:val="1"/>
    <w:qFormat/>
    <w:uiPriority w:val="99"/>
    <w:pPr>
      <w:ind w:firstLine="420" w:firstLineChars="200"/>
    </w:pPr>
  </w:style>
  <w:style w:type="character" w:customStyle="1" w:styleId="17">
    <w:name w:val="bjh-p"/>
    <w:basedOn w:val="10"/>
    <w:qFormat/>
    <w:uiPriority w:val="99"/>
    <w:rPr>
      <w:rFonts w:cs="Times New Roman"/>
    </w:rPr>
  </w:style>
  <w:style w:type="character" w:customStyle="1" w:styleId="18">
    <w:name w:val="纯文本 字符"/>
    <w:basedOn w:val="10"/>
    <w:semiHidden/>
    <w:qFormat/>
    <w:uiPriority w:val="99"/>
    <w:rPr>
      <w:rFonts w:ascii="宋体" w:hAnsi="Courier New" w:eastAsia="宋体" w:cs="Courier New"/>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7</Pages>
  <Words>466</Words>
  <Characters>2660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2024-02-22T07:05:00Z</dcterms:created>
  <dc:creator>lenove</dc:creator>
  <cp:lastModifiedBy>user</cp:lastModifiedBy>
  <cp:lastPrinted>2022-01-17T05:24:00Z</cp:lastPrinted>
  <dcterms:modified xsi:type="dcterms:W3CDTF">2025-02-18T08:24:15Z</dcterms:modified>
  <dc:title>Windows 用户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51E7173475BE43408FB9B3CA7715425C_13</vt:lpwstr>
  </property>
</Properties>
</file>