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right="-156" w:hanging="180"/>
        <w:jc w:val="center"/>
        <w:rPr>
          <w:rFonts w:ascii="公文小标宋简" w:eastAsia="公文小标宋简"/>
          <w:b/>
          <w:bCs/>
          <w:smallCaps/>
          <w:snapToGrid w:val="0"/>
          <w:color w:val="auto"/>
          <w:spacing w:val="56"/>
          <w:kern w:val="0"/>
          <w:sz w:val="72"/>
          <w:szCs w:val="72"/>
        </w:rPr>
      </w:pPr>
    </w:p>
    <w:p>
      <w:pPr>
        <w:keepNext w:val="0"/>
        <w:keepLines w:val="0"/>
        <w:pageBreakBefore w:val="0"/>
        <w:kinsoku/>
        <w:wordWrap w:val="0"/>
        <w:overflowPunct/>
        <w:topLinePunct w:val="0"/>
        <w:autoSpaceDE/>
        <w:autoSpaceDN/>
        <w:bidi w:val="0"/>
        <w:adjustRightInd w:val="0"/>
        <w:snapToGrid w:val="0"/>
        <w:spacing w:line="560" w:lineRule="exact"/>
        <w:ind w:firstLine="420" w:firstLineChars="200"/>
        <w:textAlignment w:val="auto"/>
        <w:rPr>
          <w:rFonts w:ascii="仿宋_GB2312"/>
          <w:color w:val="auto"/>
        </w:rPr>
      </w:pPr>
      <w:r>
        <w:rPr>
          <w:rFonts w:hint="eastAsia" w:ascii="仿宋_GB2312"/>
          <w:color w:val="auto"/>
        </w:rPr>
        <w:t xml:space="preserve">                                       </w:t>
      </w:r>
      <w:r>
        <w:rPr>
          <w:rFonts w:hint="eastAsia" w:ascii="仿宋_GB2312" w:eastAsia="仿宋_GB2312"/>
          <w:color w:val="auto"/>
          <w:sz w:val="32"/>
          <w:szCs w:val="32"/>
        </w:rPr>
        <w:t>穗环管影（番）〔202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号</w:t>
      </w:r>
    </w:p>
    <w:p>
      <w:pPr>
        <w:keepNext w:val="0"/>
        <w:keepLines w:val="0"/>
        <w:pageBreakBefore w:val="0"/>
        <w:kinsoku/>
        <w:overflowPunct/>
        <w:topLinePunct w:val="0"/>
        <w:autoSpaceDE/>
        <w:autoSpaceDN/>
        <w:bidi w:val="0"/>
        <w:spacing w:line="560" w:lineRule="exact"/>
        <w:textAlignment w:val="auto"/>
        <w:rPr>
          <w:rFonts w:ascii="黑体" w:eastAsia="黑体"/>
          <w:color w:val="auto"/>
        </w:rPr>
      </w:pPr>
    </w:p>
    <w:p>
      <w:pPr>
        <w:keepNext w:val="0"/>
        <w:keepLines w:val="0"/>
        <w:pageBreakBefore w:val="0"/>
        <w:kinsoku/>
        <w:overflowPunct/>
        <w:topLinePunct w:val="0"/>
        <w:autoSpaceDE/>
        <w:autoSpaceDN/>
        <w:bidi w:val="0"/>
        <w:adjustRightInd w:val="0"/>
        <w:snapToGrid w:val="0"/>
        <w:spacing w:line="560" w:lineRule="exact"/>
        <w:textAlignment w:val="auto"/>
        <w:rPr>
          <w:rFonts w:ascii="仿宋_GB2312"/>
          <w:color w:val="auto"/>
        </w:rPr>
      </w:pPr>
      <w:bookmarkStart w:id="0" w:name="_GoBack"/>
      <w:bookmarkEnd w:id="0"/>
    </w:p>
    <w:p>
      <w:pPr>
        <w:keepNext w:val="0"/>
        <w:keepLines w:val="0"/>
        <w:pageBreakBefore w:val="0"/>
        <w:kinsoku/>
        <w:overflowPunct/>
        <w:topLinePunct w:val="0"/>
        <w:autoSpaceDE/>
        <w:autoSpaceDN/>
        <w:bidi w:val="0"/>
        <w:spacing w:line="560" w:lineRule="exact"/>
        <w:jc w:val="center"/>
        <w:textAlignment w:val="auto"/>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rPr>
        <w:t>广州市生态环境局关于</w:t>
      </w:r>
      <w:r>
        <w:rPr>
          <w:rFonts w:hint="eastAsia" w:ascii="方正小标宋简体" w:eastAsia="方正小标宋简体"/>
          <w:color w:val="auto"/>
          <w:sz w:val="44"/>
          <w:szCs w:val="44"/>
          <w:lang w:eastAsia="zh-CN"/>
        </w:rPr>
        <w:t>广州市星百丽照明科技有限公司年产霓虹灯带45吨建设项目</w:t>
      </w:r>
    </w:p>
    <w:p>
      <w:pPr>
        <w:keepNext w:val="0"/>
        <w:keepLines w:val="0"/>
        <w:pageBreakBefore w:val="0"/>
        <w:kinsoku/>
        <w:overflowPunct/>
        <w:topLinePunct w:val="0"/>
        <w:autoSpaceDE/>
        <w:autoSpaceDN/>
        <w:bidi w:val="0"/>
        <w:spacing w:line="560"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rPr>
        <w:t>环境影响报告表的批复</w:t>
      </w:r>
    </w:p>
    <w:p>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广州市星百丽照明科技有限公司（</w:t>
      </w:r>
      <w:r>
        <w:rPr>
          <w:rFonts w:hint="default" w:ascii="仿宋_GB2312" w:eastAsia="仿宋_GB2312"/>
          <w:color w:val="auto"/>
          <w:sz w:val="32"/>
          <w:szCs w:val="32"/>
          <w:lang w:eastAsia="zh-CN"/>
        </w:rPr>
        <w:t>91440113MA59CRC690</w:t>
      </w:r>
      <w:r>
        <w:rPr>
          <w:rFonts w:hint="eastAsia" w:ascii="仿宋_GB2312"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你单位报送的《</w:t>
      </w:r>
      <w:r>
        <w:rPr>
          <w:rFonts w:hint="eastAsia" w:ascii="仿宋_GB2312" w:eastAsia="仿宋_GB2312"/>
          <w:color w:val="auto"/>
          <w:sz w:val="32"/>
          <w:szCs w:val="32"/>
          <w:lang w:eastAsia="zh-CN"/>
        </w:rPr>
        <w:t>广州市星百丽照明科技有限公司年产霓虹灯带45吨建设项目</w:t>
      </w:r>
      <w:r>
        <w:rPr>
          <w:rFonts w:hint="eastAsia" w:ascii="仿宋_GB2312" w:eastAsia="仿宋_GB2312"/>
          <w:color w:val="auto"/>
          <w:sz w:val="32"/>
          <w:szCs w:val="32"/>
        </w:rPr>
        <w:t>环境影响报告表》（以下简称《报告表》）及附送资料收悉。经研究，现批复如下：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广州市星百丽照明科技有限公司年产霓虹灯带45吨建设项目</w:t>
      </w:r>
      <w:r>
        <w:rPr>
          <w:rFonts w:hint="eastAsia" w:ascii="仿宋_GB2312" w:eastAsia="仿宋_GB2312"/>
          <w:color w:val="auto"/>
          <w:sz w:val="32"/>
          <w:szCs w:val="32"/>
        </w:rPr>
        <w:t>（以下简称“该</w:t>
      </w:r>
      <w:r>
        <w:rPr>
          <w:rFonts w:hint="eastAsia" w:ascii="仿宋_GB2312" w:eastAsia="仿宋_GB2312" w:cs="Times New Roman"/>
          <w:color w:val="auto"/>
          <w:sz w:val="32"/>
          <w:szCs w:val="32"/>
        </w:rPr>
        <w:t>项目”）位于广州市</w:t>
      </w:r>
      <w:r>
        <w:rPr>
          <w:rFonts w:hint="eastAsia" w:ascii="仿宋_GB2312" w:eastAsia="仿宋_GB2312" w:cs="Times New Roman"/>
          <w:color w:val="auto"/>
          <w:sz w:val="32"/>
          <w:szCs w:val="32"/>
          <w:lang w:eastAsia="zh-CN"/>
        </w:rPr>
        <w:t>番禺区</w:t>
      </w:r>
      <w:r>
        <w:rPr>
          <w:rFonts w:hint="default" w:ascii="仿宋_GB2312" w:eastAsia="仿宋_GB2312" w:cs="Times New Roman"/>
          <w:color w:val="auto"/>
          <w:sz w:val="32"/>
          <w:szCs w:val="32"/>
          <w:lang w:val="en-US" w:eastAsia="zh-CN"/>
        </w:rPr>
        <w:t>石</w:t>
      </w:r>
      <w:r>
        <w:rPr>
          <w:rFonts w:hint="eastAsia" w:ascii="仿宋_GB2312" w:eastAsia="仿宋_GB2312" w:cs="Times New Roman"/>
          <w:color w:val="auto"/>
          <w:sz w:val="32"/>
          <w:szCs w:val="32"/>
          <w:lang w:val="en-US" w:eastAsia="zh-CN"/>
        </w:rPr>
        <w:t>碁</w:t>
      </w:r>
      <w:r>
        <w:rPr>
          <w:rFonts w:hint="default" w:ascii="仿宋_GB2312" w:eastAsia="仿宋_GB2312" w:cs="Times New Roman"/>
          <w:color w:val="auto"/>
          <w:sz w:val="32"/>
          <w:szCs w:val="32"/>
          <w:lang w:val="en-US" w:eastAsia="zh-CN"/>
        </w:rPr>
        <w:t>镇华腾路9号华创动漫产业园B6栋四层</w:t>
      </w:r>
      <w:r>
        <w:rPr>
          <w:rFonts w:hint="eastAsia" w:ascii="仿宋_GB2312" w:eastAsia="仿宋_GB2312" w:cs="Times New Roman"/>
          <w:color w:val="auto"/>
          <w:sz w:val="32"/>
          <w:szCs w:val="32"/>
          <w:lang w:eastAsia="zh-CN"/>
        </w:rPr>
        <w:t>，申报内容为年产</w:t>
      </w:r>
      <w:r>
        <w:rPr>
          <w:rFonts w:hint="eastAsia" w:ascii="仿宋_GB2312" w:eastAsia="仿宋_GB2312"/>
          <w:color w:val="auto"/>
          <w:sz w:val="32"/>
          <w:szCs w:val="32"/>
          <w:lang w:eastAsia="zh-CN"/>
        </w:rPr>
        <w:t>霓虹灯带45吨</w:t>
      </w:r>
      <w:r>
        <w:rPr>
          <w:rFonts w:hint="eastAsia" w:ascii="仿宋_GB2312" w:eastAsia="仿宋_GB2312" w:cs="Times New Roman"/>
          <w:color w:val="auto"/>
          <w:sz w:val="32"/>
          <w:szCs w:val="32"/>
          <w:lang w:eastAsia="zh-CN"/>
        </w:rPr>
        <w:t>。该</w:t>
      </w:r>
      <w:r>
        <w:rPr>
          <w:rFonts w:hint="eastAsia" w:ascii="仿宋_GB2312" w:eastAsia="仿宋_GB2312"/>
          <w:color w:val="auto"/>
          <w:sz w:val="32"/>
          <w:szCs w:val="32"/>
        </w:rPr>
        <w:t>项目总建筑面</w:t>
      </w:r>
      <w:r>
        <w:rPr>
          <w:rFonts w:hint="eastAsia" w:ascii="仿宋_GB2312" w:eastAsia="仿宋_GB2312" w:cs="Times New Roman"/>
          <w:color w:val="auto"/>
          <w:sz w:val="32"/>
          <w:szCs w:val="32"/>
          <w:lang w:eastAsia="zh-CN"/>
        </w:rPr>
        <w:t>积</w:t>
      </w:r>
      <w:r>
        <w:rPr>
          <w:rFonts w:hint="default" w:ascii="仿宋_GB2312" w:eastAsia="仿宋_GB2312" w:cs="Times New Roman"/>
          <w:color w:val="auto"/>
          <w:sz w:val="32"/>
          <w:szCs w:val="32"/>
          <w:lang w:val="en-US" w:eastAsia="zh-CN"/>
        </w:rPr>
        <w:t>1</w:t>
      </w:r>
      <w:r>
        <w:rPr>
          <w:rFonts w:hint="eastAsia" w:ascii="仿宋_GB2312" w:eastAsia="仿宋_GB2312" w:cs="Times New Roman"/>
          <w:color w:val="auto"/>
          <w:sz w:val="32"/>
          <w:szCs w:val="32"/>
          <w:lang w:val="en-US" w:eastAsia="zh-CN"/>
        </w:rPr>
        <w:t>687.55</w:t>
      </w:r>
      <w:r>
        <w:rPr>
          <w:rFonts w:hint="eastAsia" w:ascii="仿宋_GB2312" w:eastAsia="仿宋_GB2312" w:cs="Times New Roman"/>
          <w:color w:val="auto"/>
          <w:sz w:val="32"/>
          <w:szCs w:val="32"/>
          <w:lang w:eastAsia="zh-CN"/>
        </w:rPr>
        <w:t>平方米，</w:t>
      </w:r>
      <w:r>
        <w:rPr>
          <w:rFonts w:hint="eastAsia" w:ascii="仿宋_GB2312" w:eastAsia="仿宋_GB2312" w:cs="Times New Roman"/>
          <w:color w:val="auto"/>
          <w:sz w:val="32"/>
          <w:szCs w:val="32"/>
          <w:lang w:val="en-US" w:eastAsia="zh-CN"/>
        </w:rPr>
        <w:t>租用1栋四层厂房的第四层</w:t>
      </w:r>
      <w:r>
        <w:rPr>
          <w:rFonts w:hint="eastAsia" w:ascii="仿宋_GB2312" w:eastAsia="仿宋_GB2312"/>
          <w:color w:val="auto"/>
          <w:sz w:val="32"/>
          <w:szCs w:val="32"/>
        </w:rPr>
        <w:t>；主要</w:t>
      </w:r>
      <w:r>
        <w:rPr>
          <w:rFonts w:hint="eastAsia" w:ascii="仿宋_GB2312" w:eastAsia="仿宋_GB2312" w:cs="Times New Roman"/>
          <w:color w:val="auto"/>
          <w:sz w:val="32"/>
          <w:szCs w:val="32"/>
          <w:lang w:val="en-US" w:eastAsia="zh-CN"/>
        </w:rPr>
        <w:t>设备有PVC挤出机9台、</w:t>
      </w:r>
      <w:r>
        <w:rPr>
          <w:rFonts w:hint="default" w:ascii="仿宋_GB2312" w:eastAsia="仿宋_GB2312" w:cs="Times New Roman"/>
          <w:color w:val="auto"/>
          <w:sz w:val="32"/>
          <w:szCs w:val="32"/>
          <w:lang w:val="en-US" w:eastAsia="zh-CN"/>
        </w:rPr>
        <w:t>PVC注塑机</w:t>
      </w:r>
      <w:r>
        <w:rPr>
          <w:rFonts w:hint="eastAsia" w:ascii="仿宋_GB2312" w:eastAsia="仿宋_GB2312" w:cs="Times New Roman"/>
          <w:color w:val="auto"/>
          <w:sz w:val="32"/>
          <w:szCs w:val="32"/>
          <w:lang w:val="en-US" w:eastAsia="zh-CN"/>
        </w:rPr>
        <w:t>7台、</w:t>
      </w:r>
      <w:r>
        <w:rPr>
          <w:rFonts w:hint="default" w:ascii="仿宋_GB2312" w:eastAsia="仿宋_GB2312" w:cs="Times New Roman"/>
          <w:color w:val="auto"/>
          <w:sz w:val="32"/>
          <w:szCs w:val="32"/>
          <w:lang w:val="en-US" w:eastAsia="zh-CN"/>
        </w:rPr>
        <w:t>紫光打标机（激光）</w:t>
      </w:r>
      <w:r>
        <w:rPr>
          <w:rFonts w:hint="eastAsia" w:ascii="仿宋_GB2312" w:eastAsia="仿宋_GB2312" w:cs="Times New Roman"/>
          <w:color w:val="auto"/>
          <w:sz w:val="32"/>
          <w:szCs w:val="32"/>
          <w:lang w:val="en-US" w:eastAsia="zh-CN"/>
        </w:rPr>
        <w:t>2台、</w:t>
      </w:r>
      <w:r>
        <w:rPr>
          <w:rFonts w:hint="default" w:ascii="仿宋_GB2312" w:eastAsia="仿宋_GB2312" w:cs="Times New Roman"/>
          <w:color w:val="auto"/>
          <w:sz w:val="32"/>
          <w:szCs w:val="32"/>
          <w:lang w:val="en-US" w:eastAsia="zh-CN"/>
        </w:rPr>
        <w:t>雕刻机</w:t>
      </w:r>
      <w:r>
        <w:rPr>
          <w:rFonts w:hint="eastAsia" w:ascii="仿宋_GB2312" w:eastAsia="仿宋_GB2312" w:cs="Times New Roman"/>
          <w:color w:val="auto"/>
          <w:sz w:val="32"/>
          <w:szCs w:val="32"/>
          <w:lang w:val="en-US" w:eastAsia="zh-CN"/>
        </w:rPr>
        <w:t>2台、</w:t>
      </w:r>
      <w:r>
        <w:rPr>
          <w:rFonts w:hint="default" w:ascii="仿宋_GB2312" w:eastAsia="仿宋_GB2312" w:cs="Times New Roman"/>
          <w:color w:val="auto"/>
          <w:sz w:val="32"/>
          <w:szCs w:val="32"/>
          <w:lang w:val="en-US" w:eastAsia="zh-CN"/>
        </w:rPr>
        <w:t>电烙铁</w:t>
      </w:r>
      <w:r>
        <w:rPr>
          <w:rFonts w:hint="eastAsia" w:ascii="仿宋_GB2312" w:eastAsia="仿宋_GB2312" w:cs="Times New Roman"/>
          <w:color w:val="auto"/>
          <w:sz w:val="32"/>
          <w:szCs w:val="32"/>
          <w:lang w:val="en-US" w:eastAsia="zh-CN"/>
        </w:rPr>
        <w:t>12把、</w:t>
      </w:r>
      <w:r>
        <w:rPr>
          <w:rFonts w:hint="default" w:ascii="仿宋_GB2312" w:eastAsia="仿宋_GB2312" w:cs="Times New Roman"/>
          <w:color w:val="auto"/>
          <w:sz w:val="32"/>
          <w:szCs w:val="32"/>
          <w:lang w:val="en-US" w:eastAsia="zh-CN"/>
        </w:rPr>
        <w:t>压环机</w:t>
      </w:r>
      <w:r>
        <w:rPr>
          <w:rFonts w:hint="eastAsia" w:ascii="仿宋_GB2312" w:eastAsia="仿宋_GB2312" w:cs="Times New Roman"/>
          <w:color w:val="auto"/>
          <w:sz w:val="32"/>
          <w:szCs w:val="32"/>
          <w:lang w:val="en-US" w:eastAsia="zh-CN"/>
        </w:rPr>
        <w:t>1台、</w:t>
      </w:r>
      <w:r>
        <w:rPr>
          <w:rFonts w:hint="default" w:ascii="仿宋_GB2312" w:eastAsia="仿宋_GB2312" w:cs="Times New Roman"/>
          <w:color w:val="auto"/>
          <w:sz w:val="32"/>
          <w:szCs w:val="32"/>
          <w:lang w:val="en-US" w:eastAsia="zh-CN"/>
        </w:rPr>
        <w:t>端子机</w:t>
      </w:r>
      <w:r>
        <w:rPr>
          <w:rFonts w:hint="eastAsia" w:ascii="仿宋_GB2312" w:eastAsia="仿宋_GB2312" w:cs="Times New Roman"/>
          <w:color w:val="auto"/>
          <w:sz w:val="32"/>
          <w:szCs w:val="32"/>
          <w:lang w:val="en-US" w:eastAsia="zh-CN"/>
        </w:rPr>
        <w:t>1台、</w:t>
      </w:r>
      <w:r>
        <w:rPr>
          <w:rFonts w:hint="default" w:ascii="仿宋_GB2312" w:eastAsia="仿宋_GB2312" w:cs="Times New Roman"/>
          <w:color w:val="auto"/>
          <w:sz w:val="32"/>
          <w:szCs w:val="32"/>
          <w:lang w:val="en-US" w:eastAsia="zh-CN"/>
        </w:rPr>
        <w:t>剥线机</w:t>
      </w:r>
      <w:r>
        <w:rPr>
          <w:rFonts w:hint="eastAsia" w:ascii="仿宋_GB2312" w:eastAsia="仿宋_GB2312" w:cs="Times New Roman"/>
          <w:color w:val="auto"/>
          <w:sz w:val="32"/>
          <w:szCs w:val="32"/>
          <w:lang w:val="en-US" w:eastAsia="zh-CN"/>
        </w:rPr>
        <w:t>1台、打包机1台、冷水机1台、冷却塔1台、实验检测设备一批等；员工9名，内</w:t>
      </w:r>
      <w:r>
        <w:rPr>
          <w:rFonts w:hint="eastAsia" w:ascii="仿宋_GB2312" w:eastAsia="仿宋_GB2312"/>
          <w:color w:val="auto"/>
          <w:sz w:val="32"/>
          <w:szCs w:val="32"/>
        </w:rPr>
        <w:t>部不安排食宿</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该项目不使用再生塑料。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按照《报告表》的评价结论，在落实各项环境保护措施后，该项目产生的污染物及不良环境影响能够得到有效控制，从环境保护角度，在现选址处建设可行。经审查，我局原则同意《报告表》评价结论。该项目应当按照《报告表》所述性质、规模、地点、生产工艺和环境保护措施进行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二、该项目各类污染物排放控制要求如下：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水污染物</w:t>
      </w:r>
      <w:r>
        <w:rPr>
          <w:rFonts w:hint="eastAsia" w:ascii="仿宋_GB2312" w:eastAsia="仿宋_GB2312"/>
          <w:color w:val="auto"/>
          <w:sz w:val="32"/>
          <w:szCs w:val="32"/>
        </w:rPr>
        <w:t>排放执行广东省《水污染物排放限值》（DB44/26-2001）第二时段三级标准。生活污水排放量不超过</w:t>
      </w:r>
      <w:r>
        <w:rPr>
          <w:rFonts w:hint="eastAsia" w:ascii="仿宋_GB2312" w:eastAsia="仿宋_GB2312"/>
          <w:color w:val="auto"/>
          <w:sz w:val="32"/>
          <w:szCs w:val="32"/>
          <w:lang w:val="en-US" w:eastAsia="zh-CN"/>
        </w:rPr>
        <w:t>81</w:t>
      </w:r>
      <w:r>
        <w:rPr>
          <w:rFonts w:hint="eastAsia" w:ascii="仿宋_GB2312" w:eastAsia="仿宋_GB2312"/>
          <w:color w:val="auto"/>
          <w:sz w:val="32"/>
          <w:szCs w:val="32"/>
        </w:rPr>
        <w:t>吨/年。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cs="Times New Roman"/>
          <w:color w:val="auto"/>
          <w:sz w:val="32"/>
          <w:szCs w:val="32"/>
        </w:rPr>
        <w:t>臭气浓度排放执行《恶臭污染物排放标准》（GB14554-93）表1厂界新扩改建二级标准</w:t>
      </w:r>
      <w:r>
        <w:rPr>
          <w:rFonts w:hint="eastAsia" w:ascii="仿宋_GB2312" w:eastAsia="仿宋_GB2312" w:cs="Times New Roman"/>
          <w:color w:val="auto"/>
          <w:sz w:val="32"/>
          <w:szCs w:val="32"/>
          <w:lang w:val="en-US" w:eastAsia="zh-CN"/>
        </w:rPr>
        <w:t>限值</w:t>
      </w:r>
      <w:r>
        <w:rPr>
          <w:rFonts w:hint="eastAsia" w:ascii="仿宋_GB2312" w:eastAsia="仿宋_GB2312" w:cs="Times New Roman"/>
          <w:color w:val="auto"/>
          <w:sz w:val="32"/>
          <w:szCs w:val="32"/>
        </w:rPr>
        <w:t>和表2排放标准值</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lang w:val="en-US" w:eastAsia="zh-CN"/>
        </w:rPr>
        <w:t>颗粒物、锡及其化合物、氯化氢、氯乙烯</w:t>
      </w:r>
      <w:r>
        <w:rPr>
          <w:rFonts w:hint="eastAsia" w:ascii="仿宋_GB2312" w:eastAsia="仿宋_GB2312" w:cs="Times New Roman"/>
          <w:color w:val="auto"/>
          <w:sz w:val="32"/>
          <w:szCs w:val="32"/>
        </w:rPr>
        <w:t>排放执</w:t>
      </w:r>
      <w:r>
        <w:rPr>
          <w:rFonts w:hint="eastAsia" w:ascii="仿宋_GB2312" w:eastAsia="仿宋_GB2312"/>
          <w:color w:val="auto"/>
          <w:sz w:val="32"/>
          <w:szCs w:val="32"/>
        </w:rPr>
        <w:t>行广东省《大气污染物排放限值》（DB44/27-2001）第二时段</w:t>
      </w:r>
      <w:r>
        <w:rPr>
          <w:rFonts w:hint="eastAsia" w:ascii="仿宋_GB2312" w:eastAsia="仿宋_GB2312"/>
          <w:color w:val="auto"/>
          <w:sz w:val="32"/>
          <w:szCs w:val="32"/>
          <w:lang w:val="en-US" w:eastAsia="zh-CN"/>
        </w:rPr>
        <w:t>二</w:t>
      </w:r>
      <w:r>
        <w:rPr>
          <w:rFonts w:hint="eastAsia" w:ascii="仿宋_GB2312" w:eastAsia="仿宋_GB2312"/>
          <w:color w:val="auto"/>
          <w:sz w:val="32"/>
          <w:szCs w:val="32"/>
        </w:rPr>
        <w:t>级标准及无组织排放监控浓度限值</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非甲烷总烃、TVOC排放执行</w:t>
      </w:r>
      <w:r>
        <w:rPr>
          <w:rFonts w:hint="eastAsia" w:ascii="仿宋_GB2312" w:eastAsia="仿宋_GB2312" w:cs="Times New Roman"/>
          <w:color w:val="auto"/>
          <w:sz w:val="32"/>
          <w:szCs w:val="32"/>
        </w:rPr>
        <w:t>广东省《固定污染源挥发性有机物综合排放标准》（DB44/2367-2022）</w:t>
      </w:r>
      <w:r>
        <w:rPr>
          <w:rFonts w:hint="default" w:ascii="仿宋_GB2312" w:eastAsia="仿宋_GB2312" w:cs="Times New Roman"/>
          <w:color w:val="auto"/>
          <w:sz w:val="32"/>
          <w:szCs w:val="32"/>
          <w:lang w:val="en-US" w:eastAsia="zh-CN"/>
        </w:rPr>
        <w:t>表1</w:t>
      </w:r>
      <w:r>
        <w:rPr>
          <w:rFonts w:hint="eastAsia" w:ascii="仿宋_GB2312" w:eastAsia="仿宋_GB2312" w:cs="Times New Roman"/>
          <w:color w:val="auto"/>
          <w:sz w:val="32"/>
          <w:szCs w:val="32"/>
          <w:lang w:val="en-US" w:eastAsia="zh-CN"/>
        </w:rPr>
        <w:t>挥发性有机物排放限值和表3厂区内挥发性有机物无组织排放限值</w:t>
      </w:r>
      <w:r>
        <w:rPr>
          <w:rFonts w:ascii="仿宋_GB2312" w:eastAsia="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rPr>
      </w:pPr>
      <w:r>
        <w:rPr>
          <w:rFonts w:hint="eastAsia" w:ascii="仿宋_GB2312" w:eastAsia="仿宋_GB2312"/>
          <w:color w:val="auto"/>
          <w:sz w:val="32"/>
          <w:szCs w:val="32"/>
        </w:rPr>
        <w:t>（三）边界噪</w:t>
      </w:r>
      <w:r>
        <w:rPr>
          <w:rFonts w:hint="eastAsia" w:ascii="仿宋_GB2312" w:eastAsia="仿宋_GB2312" w:cs="Times New Roman"/>
          <w:color w:val="auto"/>
          <w:sz w:val="32"/>
          <w:szCs w:val="32"/>
        </w:rPr>
        <w:t>声排放执行《工业企业厂界环境噪声排放标准》（GB12348-2008）3类区限值，即：昼间≤65</w:t>
      </w:r>
      <w:r>
        <w:rPr>
          <w:rFonts w:hint="eastAsia" w:ascii="仿宋_GB2312" w:eastAsia="仿宋_GB2312" w:cs="Times New Roman"/>
          <w:color w:val="auto"/>
          <w:sz w:val="32"/>
          <w:szCs w:val="32"/>
          <w:lang w:val="en-US" w:eastAsia="zh-CN"/>
        </w:rPr>
        <w:t>dB（A）</w:t>
      </w:r>
      <w:r>
        <w:rPr>
          <w:rFonts w:hint="eastAsia" w:ascii="仿宋_GB2312" w:eastAsia="仿宋_GB2312" w:cs="Times New Roman"/>
          <w:color w:val="auto"/>
          <w:sz w:val="32"/>
          <w:szCs w:val="32"/>
        </w:rPr>
        <w:t>，夜间≤55</w:t>
      </w:r>
      <w:r>
        <w:rPr>
          <w:rFonts w:hint="eastAsia" w:ascii="仿宋_GB2312" w:eastAsia="仿宋_GB2312" w:cs="Times New Roman"/>
          <w:color w:val="auto"/>
          <w:sz w:val="32"/>
          <w:szCs w:val="32"/>
          <w:lang w:val="en-US" w:eastAsia="zh-CN"/>
        </w:rPr>
        <w:t>dB（A）</w:t>
      </w:r>
      <w:r>
        <w:rPr>
          <w:rFonts w:hint="eastAsia" w:ascii="仿宋_GB2312"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三、该项目应当认真落实《报告表》提出的各项环境保护措施，重点做好以下工作：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（一）排水系统采用雨污分流。冷却水循环使用，不外排。生活污水经三级化粪池预处理后</w:t>
      </w:r>
      <w:r>
        <w:rPr>
          <w:rFonts w:hint="eastAsia" w:ascii="仿宋_GB2312" w:eastAsia="仿宋_GB2312"/>
          <w:color w:val="auto"/>
          <w:sz w:val="32"/>
          <w:szCs w:val="32"/>
          <w:lang w:eastAsia="zh-CN"/>
        </w:rPr>
        <w:t>，</w:t>
      </w:r>
      <w:r>
        <w:rPr>
          <w:rFonts w:hint="eastAsia" w:ascii="仿宋_GB2312" w:eastAsia="仿宋_GB2312"/>
          <w:color w:val="auto"/>
          <w:sz w:val="32"/>
          <w:szCs w:val="32"/>
        </w:rPr>
        <w:t>排入市政集污管网，送前锋净水厂集中处理。项目设置</w:t>
      </w:r>
      <w:r>
        <w:rPr>
          <w:rFonts w:hint="eastAsia" w:ascii="仿宋_GB2312" w:eastAsia="仿宋_GB2312"/>
          <w:color w:val="auto"/>
          <w:sz w:val="32"/>
          <w:szCs w:val="32"/>
          <w:lang w:val="en-US" w:eastAsia="zh-CN"/>
        </w:rPr>
        <w:t>生活污水排放口</w:t>
      </w:r>
      <w:r>
        <w:rPr>
          <w:rFonts w:hint="eastAsia" w:ascii="仿宋_GB2312" w:eastAsia="仿宋_GB2312"/>
          <w:color w:val="auto"/>
          <w:sz w:val="32"/>
          <w:szCs w:val="32"/>
        </w:rPr>
        <w:t>1个。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color w:val="auto"/>
          <w:sz w:val="32"/>
          <w:szCs w:val="32"/>
          <w:lang w:val="en-US" w:eastAsia="zh-CN"/>
        </w:rPr>
        <w:t>按照</w:t>
      </w:r>
      <w:r>
        <w:rPr>
          <w:rFonts w:hint="eastAsia" w:ascii="仿宋_GB2312" w:eastAsia="仿宋_GB2312"/>
          <w:color w:val="auto"/>
          <w:sz w:val="32"/>
          <w:szCs w:val="32"/>
          <w:lang w:eastAsia="zh-CN"/>
        </w:rPr>
        <w:t>广东省</w:t>
      </w:r>
      <w:r>
        <w:rPr>
          <w:rFonts w:hint="eastAsia" w:ascii="仿宋_GB2312" w:eastAsia="仿宋_GB2312"/>
          <w:color w:val="auto"/>
          <w:sz w:val="32"/>
          <w:szCs w:val="32"/>
        </w:rPr>
        <w:t>《固定污染源挥发性有机物综合排放标准》（DB44</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2367-2022）的无组织排放控制要求落实相关措施</w:t>
      </w:r>
      <w:r>
        <w:rPr>
          <w:rFonts w:hint="eastAsia" w:ascii="仿宋_GB2312" w:eastAsia="仿宋_GB2312"/>
          <w:color w:val="auto"/>
          <w:sz w:val="32"/>
          <w:szCs w:val="32"/>
          <w:lang w:eastAsia="zh-CN"/>
        </w:rPr>
        <w:t>。</w:t>
      </w:r>
      <w:r>
        <w:rPr>
          <w:rFonts w:hint="eastAsia" w:ascii="仿宋_GB2312" w:eastAsia="仿宋_GB2312"/>
          <w:color w:val="auto"/>
          <w:sz w:val="32"/>
          <w:szCs w:val="32"/>
        </w:rPr>
        <w:t>灯带生产过程产生的废气收集至二级活性炭吸附装置处理后通过专用管道引至所在建筑楼顶高空排放，排放口高度不低于15米。项目设置废气排放口1个。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rPr>
        <w:t>加强</w:t>
      </w:r>
      <w:r>
        <w:rPr>
          <w:rFonts w:hint="eastAsia" w:ascii="仿宋_GB2312" w:eastAsia="仿宋_GB2312"/>
          <w:color w:val="auto"/>
          <w:sz w:val="32"/>
          <w:szCs w:val="32"/>
        </w:rPr>
        <w:t>车间边界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废气的监控，确保</w:t>
      </w:r>
      <w:r>
        <w:rPr>
          <w:rFonts w:hint="eastAsia" w:ascii="仿宋_GB2312" w:eastAsia="仿宋_GB2312"/>
          <w:color w:val="auto"/>
          <w:sz w:val="32"/>
          <w:szCs w:val="32"/>
        </w:rPr>
        <w:t>车间边界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监控点的废气达到相应标准限值的要求，监测超标时应</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对无组织排放废气进行收集、净化处理。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（三）选用低噪声设备，合理布设生产车间，对噪声源采取隔声、减振等措施，定期检修设备。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（四）废活性炭、废化学品原料罐</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废PCB板、废UV灯管</w:t>
      </w:r>
      <w:r>
        <w:rPr>
          <w:rFonts w:hint="eastAsia" w:ascii="仿宋_GB2312" w:eastAsia="仿宋_GB2312"/>
          <w:color w:val="auto"/>
          <w:sz w:val="32"/>
          <w:szCs w:val="32"/>
        </w:rPr>
        <w:t>等</w:t>
      </w:r>
      <w:r>
        <w:rPr>
          <w:rFonts w:hint="eastAsia" w:ascii="仿宋_GB2312" w:eastAsia="仿宋_GB2312"/>
          <w:color w:val="auto"/>
          <w:sz w:val="32"/>
          <w:szCs w:val="32"/>
          <w:lang w:val="en-US" w:eastAsia="zh-CN"/>
        </w:rPr>
        <w:t>属于</w:t>
      </w:r>
      <w:r>
        <w:rPr>
          <w:rFonts w:hint="eastAsia" w:ascii="仿宋_GB2312" w:eastAsia="仿宋_GB2312"/>
          <w:color w:val="auto"/>
          <w:sz w:val="32"/>
          <w:szCs w:val="32"/>
        </w:rPr>
        <w:t>危险废物</w:t>
      </w:r>
      <w:r>
        <w:rPr>
          <w:rFonts w:hint="eastAsia" w:ascii="仿宋_GB2312" w:eastAsia="仿宋_GB2312"/>
          <w:color w:val="auto"/>
          <w:sz w:val="32"/>
          <w:szCs w:val="32"/>
          <w:lang w:val="en-US" w:eastAsia="zh-CN"/>
        </w:rPr>
        <w:t>的</w:t>
      </w:r>
      <w:r>
        <w:rPr>
          <w:rFonts w:hint="eastAsia" w:ascii="仿宋_GB2312" w:eastAsia="仿宋_GB2312"/>
          <w:color w:val="auto"/>
          <w:sz w:val="32"/>
          <w:szCs w:val="32"/>
        </w:rPr>
        <w:t>须设置符合《危险废物贮存污染控制标准》（GB18597-20</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）要求的专用贮存场所存放并委托具备危险废物处理资质的机构处理。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四、该项目的性质、规模、地点、采用的生产工艺或者防治污染、防止生态破坏的措施发生重大变动的，你单位应当重新报批环境影响评价文件。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五</w:t>
      </w:r>
      <w:r>
        <w:rPr>
          <w:rFonts w:hint="eastAsia" w:ascii="仿宋_GB2312" w:eastAsia="仿宋_GB2312"/>
          <w:color w:val="auto"/>
          <w:sz w:val="32"/>
          <w:szCs w:val="32"/>
        </w:rPr>
        <w:t>、该项目建设应严格执行配套建设的环境保护设施与主体工程同时设计、同时施工、同时投产使用的环境保护“三同时”制度，具体要求如下：</w:t>
      </w:r>
    </w:p>
    <w:p>
      <w:pPr>
        <w:keepNext w:val="0"/>
        <w:keepLines w:val="0"/>
        <w:pageBreakBefore w:val="0"/>
        <w:widowControl/>
        <w:tabs>
          <w:tab w:val="left" w:pos="1418"/>
        </w:tabs>
        <w:kinsoku/>
        <w:wordWrap/>
        <w:overflowPunct/>
        <w:topLinePunct w:val="0"/>
        <w:autoSpaceDE/>
        <w:autoSpaceDN/>
        <w:bidi w:val="0"/>
        <w:adjustRightInd/>
        <w:snapToGrid/>
        <w:spacing w:line="560" w:lineRule="exact"/>
        <w:ind w:firstLine="640"/>
        <w:textAlignment w:val="auto"/>
        <w:rPr>
          <w:rFonts w:hint="eastAsia" w:ascii="仿宋_GB2312" w:eastAsia="仿宋_GB2312"/>
          <w:color w:val="auto"/>
          <w:sz w:val="32"/>
          <w:szCs w:val="32"/>
        </w:rPr>
      </w:pPr>
      <w:r>
        <w:rPr>
          <w:rFonts w:hint="eastAsia" w:ascii="仿宋_GB2312" w:eastAsia="仿宋_GB2312"/>
          <w:color w:val="auto"/>
          <w:sz w:val="32"/>
          <w:szCs w:val="32"/>
        </w:rPr>
        <w:t>（一）项目竣工后，你单位应按规定申请取得排污许可证或填报排污登记表，并按照规定的标准、程序和时限，对配套建设的环境保护设施进行验收，编制验收报告，依法向社会公开。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（二）项目配套建设的环境保护设施经验收合格后，方可投入生产或者使用。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六</w:t>
      </w:r>
      <w:r>
        <w:rPr>
          <w:rFonts w:hint="eastAsia" w:ascii="仿宋_GB2312" w:eastAsia="仿宋_GB2312"/>
          <w:color w:val="auto"/>
          <w:sz w:val="32"/>
          <w:szCs w:val="32"/>
        </w:rPr>
        <w:t>、该项目建设和运行过程中如涉及规划、土地利用、建设、水务、消防、安全等问题，应遵照相关法律法规要求到相应的行政主管部门办理有关手续。</w:t>
      </w:r>
    </w:p>
    <w:p>
      <w:pPr>
        <w:pStyle w:val="18"/>
        <w:keepNext w:val="0"/>
        <w:keepLines w:val="0"/>
        <w:pageBreakBefore w:val="0"/>
        <w:kinsoku/>
        <w:wordWrap/>
        <w:overflowPunct/>
        <w:topLinePunct w:val="0"/>
        <w:autoSpaceDE/>
        <w:autoSpaceDN/>
        <w:bidi w:val="0"/>
        <w:adjustRightInd/>
        <w:snapToGrid/>
        <w:spacing w:line="560" w:lineRule="exact"/>
        <w:ind w:firstLine="636"/>
        <w:textAlignment w:val="auto"/>
        <w:rPr>
          <w:rFonts w:hint="eastAsia" w:eastAsia="仿宋_GB2312"/>
          <w:color w:val="auto"/>
          <w:sz w:val="32"/>
          <w:szCs w:val="32"/>
        </w:rPr>
      </w:pPr>
      <w:r>
        <w:rPr>
          <w:rFonts w:hint="eastAsia" w:ascii="仿宋_GB2312" w:eastAsia="仿宋_GB2312"/>
          <w:color w:val="auto"/>
          <w:sz w:val="32"/>
          <w:szCs w:val="32"/>
          <w:lang w:val="en-US" w:eastAsia="zh-CN"/>
        </w:rPr>
        <w:t>七</w:t>
      </w:r>
      <w:r>
        <w:rPr>
          <w:rFonts w:hint="eastAsia" w:ascii="仿宋_GB2312" w:eastAsia="仿宋_GB2312"/>
          <w:color w:val="auto"/>
          <w:sz w:val="32"/>
          <w:szCs w:val="32"/>
        </w:rPr>
        <w:t>、</w:t>
      </w:r>
      <w:r>
        <w:rPr>
          <w:rFonts w:hint="eastAsia" w:ascii="仿宋_GB2312" w:hAnsi="仿宋" w:eastAsia="仿宋_GB2312"/>
          <w:color w:val="auto"/>
          <w:sz w:val="32"/>
        </w:rPr>
        <w:t>当事人如不服本决定，可在收到文书之日起60日内向广州市人民政府行政复议机构广州市政府行政复议办公室窗口（地址：广州市越秀区小北路183号金和大厦2楼，电话：020-83555988）提出行政复议申请；或者在收到文书之日起6个月内直接向广州铁路运输法院提起行政诉讼。申请行政复议或提起行政诉讼的，不停止本决定的执行。</w:t>
      </w:r>
    </w:p>
    <w:p>
      <w:pPr>
        <w:pStyle w:val="18"/>
        <w:keepNext w:val="0"/>
        <w:keepLines w:val="0"/>
        <w:pageBreakBefore w:val="0"/>
        <w:kinsoku/>
        <w:overflowPunct/>
        <w:topLinePunct w:val="0"/>
        <w:autoSpaceDE/>
        <w:autoSpaceDN/>
        <w:bidi w:val="0"/>
        <w:spacing w:line="560" w:lineRule="exact"/>
        <w:textAlignment w:val="auto"/>
        <w:rPr>
          <w:rFonts w:hint="eastAsia" w:ascii="仿宋_GB2312" w:hAnsi="仿宋" w:eastAsia="仿宋_GB2312"/>
          <w:color w:val="auto"/>
          <w:sz w:val="32"/>
        </w:rPr>
      </w:pP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pPr>
        <w:keepNext w:val="0"/>
        <w:keepLines w:val="0"/>
        <w:pageBreakBefore w:val="0"/>
        <w:kinsoku/>
        <w:overflowPunct/>
        <w:topLinePunct w:val="0"/>
        <w:autoSpaceDE/>
        <w:autoSpaceDN/>
        <w:bidi w:val="0"/>
        <w:spacing w:line="560" w:lineRule="exact"/>
        <w:jc w:val="center"/>
        <w:textAlignment w:val="auto"/>
        <w:rPr>
          <w:rFonts w:ascii="仿宋_GB2312" w:eastAsia="仿宋_GB2312"/>
          <w:color w:val="auto"/>
          <w:sz w:val="32"/>
          <w:szCs w:val="32"/>
        </w:rPr>
      </w:pPr>
      <w:r>
        <w:rPr>
          <w:rFonts w:hint="eastAsia" w:ascii="仿宋_GB2312" w:eastAsia="仿宋_GB2312"/>
          <w:color w:val="auto"/>
          <w:sz w:val="32"/>
          <w:szCs w:val="32"/>
        </w:rPr>
        <w:t xml:space="preserve">                        广州市生态环境局</w:t>
      </w:r>
    </w:p>
    <w:p>
      <w:pPr>
        <w:keepNext w:val="0"/>
        <w:keepLines w:val="0"/>
        <w:pageBreakBefore w:val="0"/>
        <w:kinsoku/>
        <w:overflowPunct/>
        <w:topLinePunct w:val="0"/>
        <w:autoSpaceDE/>
        <w:autoSpaceDN/>
        <w:bidi w:val="0"/>
        <w:spacing w:line="560" w:lineRule="exact"/>
        <w:ind w:right="4" w:rightChars="0" w:firstLine="5120" w:firstLineChars="1600"/>
        <w:textAlignment w:val="auto"/>
        <w:rPr>
          <w:rFonts w:ascii="仿宋_GB2312" w:eastAsia="仿宋_GB2312"/>
          <w:color w:val="auto"/>
          <w:sz w:val="32"/>
          <w:szCs w:val="32"/>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25</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19</w:t>
      </w:r>
      <w:r>
        <w:rPr>
          <w:rFonts w:hint="eastAsia" w:ascii="仿宋_GB2312" w:eastAsia="仿宋_GB2312"/>
          <w:color w:val="auto"/>
          <w:sz w:val="32"/>
          <w:szCs w:val="32"/>
        </w:rPr>
        <w:t>日</w:t>
      </w:r>
    </w:p>
    <w:p>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r>
        <w:rPr>
          <w:rFonts w:hint="eastAsia" w:ascii="黑体" w:eastAsia="黑体"/>
          <w:color w:val="auto"/>
          <w:sz w:val="32"/>
          <w:szCs w:val="32"/>
        </w:rPr>
        <w:t>公开方式：</w:t>
      </w:r>
      <w:r>
        <w:rPr>
          <w:rFonts w:hint="eastAsia" w:ascii="仿宋_GB2312" w:eastAsia="仿宋_GB2312"/>
          <w:color w:val="auto"/>
          <w:sz w:val="32"/>
          <w:szCs w:val="32"/>
        </w:rPr>
        <w:t>主动公开</w:t>
      </w:r>
    </w:p>
    <w:p>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pPr>
        <w:keepNext w:val="0"/>
        <w:keepLines w:val="0"/>
        <w:pageBreakBefore w:val="0"/>
        <w:kinsoku/>
        <w:overflowPunct/>
        <w:topLinePunct w:val="0"/>
        <w:autoSpaceDE/>
        <w:autoSpaceDN/>
        <w:bidi w:val="0"/>
        <w:spacing w:line="560" w:lineRule="exact"/>
        <w:ind w:left="1133" w:leftChars="201" w:hanging="711" w:hangingChars="254"/>
        <w:textAlignment w:val="auto"/>
        <w:rPr>
          <w:rFonts w:hint="eastAsia" w:ascii="仿宋_GB2312" w:eastAsia="仿宋_GB2312" w:cs="Times New Roman"/>
          <w:color w:val="auto"/>
          <w:sz w:val="28"/>
          <w:szCs w:val="28"/>
        </w:rPr>
      </w:pPr>
      <w:r>
        <w:rPr>
          <w:rFonts w:hint="eastAsia" w:ascii="仿宋_GB2312" w:eastAsia="仿宋_GB2312"/>
          <w:color w:val="auto"/>
          <w:sz w:val="28"/>
          <w:szCs w:val="28"/>
        </w:rPr>
        <w:t>抄送：广州市生态环境局番禺分局执法</w:t>
      </w:r>
      <w:r>
        <w:rPr>
          <w:rFonts w:hint="eastAsia" w:ascii="仿宋_GB2312" w:eastAsia="仿宋_GB2312"/>
          <w:color w:val="auto"/>
          <w:sz w:val="28"/>
          <w:szCs w:val="28"/>
          <w:lang w:val="en-US" w:eastAsia="zh-CN"/>
        </w:rPr>
        <w:t>二</w:t>
      </w:r>
      <w:r>
        <w:rPr>
          <w:rFonts w:hint="eastAsia" w:ascii="仿宋_GB2312" w:eastAsia="仿宋_GB2312"/>
          <w:color w:val="auto"/>
          <w:sz w:val="28"/>
          <w:szCs w:val="28"/>
        </w:rPr>
        <w:t>科、</w:t>
      </w:r>
      <w:r>
        <w:rPr>
          <w:rFonts w:hint="eastAsia" w:ascii="仿宋_GB2312" w:eastAsia="仿宋_GB2312"/>
          <w:color w:val="auto"/>
          <w:sz w:val="28"/>
          <w:szCs w:val="28"/>
          <w:lang w:eastAsia="zh-CN"/>
        </w:rPr>
        <w:t>番禺</w:t>
      </w:r>
      <w:r>
        <w:rPr>
          <w:rFonts w:hint="eastAsia" w:ascii="仿宋_GB2312" w:eastAsia="仿宋_GB2312"/>
          <w:color w:val="auto"/>
          <w:sz w:val="28"/>
          <w:szCs w:val="28"/>
        </w:rPr>
        <w:t>第</w:t>
      </w:r>
      <w:r>
        <w:rPr>
          <w:rFonts w:hint="eastAsia" w:ascii="仿宋_GB2312" w:eastAsia="仿宋_GB2312" w:cs="Times New Roman"/>
          <w:color w:val="auto"/>
          <w:sz w:val="28"/>
          <w:szCs w:val="28"/>
          <w:lang w:val="en-US" w:eastAsia="zh-CN"/>
        </w:rPr>
        <w:t>四</w:t>
      </w:r>
      <w:r>
        <w:rPr>
          <w:rFonts w:hint="eastAsia" w:ascii="仿宋_GB2312" w:eastAsia="仿宋_GB2312" w:cs="Times New Roman"/>
          <w:color w:val="auto"/>
          <w:sz w:val="28"/>
          <w:szCs w:val="28"/>
        </w:rPr>
        <w:t>环保所，绿匠智慧(广东)生态环境科技有限公司。</w:t>
      </w:r>
    </w:p>
    <w:sectPr>
      <w:footerReference r:id="rId3" w:type="default"/>
      <w:footerReference r:id="rId4" w:type="even"/>
      <w:pgSz w:w="11906" w:h="16838"/>
      <w:pgMar w:top="1588" w:right="1474" w:bottom="1134" w:left="1588" w:header="851" w:footer="624" w:gutter="0"/>
      <w:cols w:space="425"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微软雅黑"/>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3</w:t>
    </w:r>
    <w:r>
      <w:rPr>
        <w:rStyle w:val="9"/>
        <w:rFonts w:ascii="宋体" w:hAnsi="宋体"/>
        <w:sz w:val="28"/>
        <w:szCs w:val="28"/>
      </w:rPr>
      <w:fldChar w:fldCharType="end"/>
    </w:r>
    <w:r>
      <w:rPr>
        <w:rStyle w:val="9"/>
        <w:rFonts w:hint="eastAsia" w:ascii="宋体" w:hAnsi="宋体"/>
        <w:sz w:val="28"/>
        <w:szCs w:val="28"/>
      </w:rPr>
      <w:t xml:space="preserve"> —</w:t>
    </w:r>
  </w:p>
  <w:p>
    <w:pPr>
      <w:pStyle w:val="4"/>
      <w:ind w:right="360" w:firstLine="360"/>
      <w:jc w:val="center"/>
      <w:rPr>
        <w:rFonts w:ascii="Times New Roman" w:hAnsi="Times New Roman"/>
        <w:sz w:val="28"/>
        <w:szCs w:val="28"/>
      </w:rP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420"/>
  <w:drawingGridHorizontalSpacing w:val="158"/>
  <w:drawingGridVerticalSpacing w:val="61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ZGFmMGVmYWFiODk5YTFiNTc2ZWNlODI1MTcyOTMifQ=="/>
  </w:docVars>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5299E"/>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C6230"/>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34E1"/>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C8A"/>
    <w:rsid w:val="00BB73EF"/>
    <w:rsid w:val="00BD014D"/>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61368"/>
    <w:rsid w:val="00C76BD4"/>
    <w:rsid w:val="00C850D2"/>
    <w:rsid w:val="00CC469B"/>
    <w:rsid w:val="00CC70BC"/>
    <w:rsid w:val="00CD225F"/>
    <w:rsid w:val="00CD3097"/>
    <w:rsid w:val="00CD5ECF"/>
    <w:rsid w:val="00CF1B16"/>
    <w:rsid w:val="00D01DA0"/>
    <w:rsid w:val="00D02618"/>
    <w:rsid w:val="00D0455B"/>
    <w:rsid w:val="00D205FC"/>
    <w:rsid w:val="00D37BB0"/>
    <w:rsid w:val="00D44326"/>
    <w:rsid w:val="00D55BFA"/>
    <w:rsid w:val="00D70C73"/>
    <w:rsid w:val="00D74A06"/>
    <w:rsid w:val="00D75AAE"/>
    <w:rsid w:val="00D76AC3"/>
    <w:rsid w:val="00D8050D"/>
    <w:rsid w:val="00D87223"/>
    <w:rsid w:val="00DA096B"/>
    <w:rsid w:val="00DB438D"/>
    <w:rsid w:val="00DD3F0C"/>
    <w:rsid w:val="00DF26FF"/>
    <w:rsid w:val="00DF7771"/>
    <w:rsid w:val="00E06F40"/>
    <w:rsid w:val="00E16205"/>
    <w:rsid w:val="00E23AD5"/>
    <w:rsid w:val="00E44B98"/>
    <w:rsid w:val="00E52C18"/>
    <w:rsid w:val="00E9508B"/>
    <w:rsid w:val="00E95F22"/>
    <w:rsid w:val="00EA1AB8"/>
    <w:rsid w:val="00EB0FC1"/>
    <w:rsid w:val="00EC4EBA"/>
    <w:rsid w:val="00ED3E23"/>
    <w:rsid w:val="00ED426B"/>
    <w:rsid w:val="00ED656B"/>
    <w:rsid w:val="00EE0C36"/>
    <w:rsid w:val="00EE5C65"/>
    <w:rsid w:val="00EE5F9D"/>
    <w:rsid w:val="00F02188"/>
    <w:rsid w:val="00F02F63"/>
    <w:rsid w:val="00F05A97"/>
    <w:rsid w:val="00F1261C"/>
    <w:rsid w:val="00F27B34"/>
    <w:rsid w:val="00F8191D"/>
    <w:rsid w:val="00FA4830"/>
    <w:rsid w:val="00FB1867"/>
    <w:rsid w:val="00FB5B94"/>
    <w:rsid w:val="00FC49F0"/>
    <w:rsid w:val="00FD7864"/>
    <w:rsid w:val="00FF05C9"/>
    <w:rsid w:val="00FF121F"/>
    <w:rsid w:val="020C3600"/>
    <w:rsid w:val="0268515D"/>
    <w:rsid w:val="02716DEA"/>
    <w:rsid w:val="02EB0F88"/>
    <w:rsid w:val="030644C0"/>
    <w:rsid w:val="039E0DF7"/>
    <w:rsid w:val="04420EAC"/>
    <w:rsid w:val="06007CD2"/>
    <w:rsid w:val="068E76D9"/>
    <w:rsid w:val="07500F64"/>
    <w:rsid w:val="07B33DCC"/>
    <w:rsid w:val="091574A4"/>
    <w:rsid w:val="0B1F3303"/>
    <w:rsid w:val="0BD6366A"/>
    <w:rsid w:val="0C7516B2"/>
    <w:rsid w:val="0C9F7EDC"/>
    <w:rsid w:val="0DE36B99"/>
    <w:rsid w:val="0E3B3C64"/>
    <w:rsid w:val="0EB63323"/>
    <w:rsid w:val="0F0E2A75"/>
    <w:rsid w:val="109910DF"/>
    <w:rsid w:val="10BF38FB"/>
    <w:rsid w:val="114D6223"/>
    <w:rsid w:val="119F01F9"/>
    <w:rsid w:val="11B62D57"/>
    <w:rsid w:val="1228191C"/>
    <w:rsid w:val="12737E91"/>
    <w:rsid w:val="12D353FC"/>
    <w:rsid w:val="12DA5DA1"/>
    <w:rsid w:val="157D650A"/>
    <w:rsid w:val="15E378D9"/>
    <w:rsid w:val="161A577A"/>
    <w:rsid w:val="172B459E"/>
    <w:rsid w:val="17AD29E2"/>
    <w:rsid w:val="18044A52"/>
    <w:rsid w:val="184137F0"/>
    <w:rsid w:val="18AF0044"/>
    <w:rsid w:val="18E54ABA"/>
    <w:rsid w:val="1A573884"/>
    <w:rsid w:val="1BC528C4"/>
    <w:rsid w:val="1C362F43"/>
    <w:rsid w:val="1D4266B3"/>
    <w:rsid w:val="1D5536ED"/>
    <w:rsid w:val="1E2B2740"/>
    <w:rsid w:val="1E537B54"/>
    <w:rsid w:val="1F1C1174"/>
    <w:rsid w:val="1F4D7EC7"/>
    <w:rsid w:val="20CF4E76"/>
    <w:rsid w:val="221365B8"/>
    <w:rsid w:val="22D33ED1"/>
    <w:rsid w:val="23241352"/>
    <w:rsid w:val="23F0756A"/>
    <w:rsid w:val="25505764"/>
    <w:rsid w:val="26B164C1"/>
    <w:rsid w:val="2859447A"/>
    <w:rsid w:val="288171DB"/>
    <w:rsid w:val="28AE5DA0"/>
    <w:rsid w:val="292A3042"/>
    <w:rsid w:val="29A60472"/>
    <w:rsid w:val="2AB001C8"/>
    <w:rsid w:val="2ACE1068"/>
    <w:rsid w:val="2AD57069"/>
    <w:rsid w:val="2B7226BA"/>
    <w:rsid w:val="2DF91D5D"/>
    <w:rsid w:val="2EEA4FA4"/>
    <w:rsid w:val="304A1BD7"/>
    <w:rsid w:val="307C5365"/>
    <w:rsid w:val="30A22B85"/>
    <w:rsid w:val="30DB51D6"/>
    <w:rsid w:val="30E824A8"/>
    <w:rsid w:val="31696C72"/>
    <w:rsid w:val="3192431B"/>
    <w:rsid w:val="34A100EE"/>
    <w:rsid w:val="35D37D9D"/>
    <w:rsid w:val="36313158"/>
    <w:rsid w:val="368837BB"/>
    <w:rsid w:val="36BC1999"/>
    <w:rsid w:val="36DC47B5"/>
    <w:rsid w:val="38EB77CC"/>
    <w:rsid w:val="3A1D0EF5"/>
    <w:rsid w:val="3AA44A54"/>
    <w:rsid w:val="3AE822E0"/>
    <w:rsid w:val="3C8B0C00"/>
    <w:rsid w:val="3CC7607D"/>
    <w:rsid w:val="3CCA53AD"/>
    <w:rsid w:val="3CF81873"/>
    <w:rsid w:val="3D4E0D45"/>
    <w:rsid w:val="3D87592C"/>
    <w:rsid w:val="3DCD6D7C"/>
    <w:rsid w:val="3DDE2DCA"/>
    <w:rsid w:val="3EEA5570"/>
    <w:rsid w:val="3EF55262"/>
    <w:rsid w:val="41171C7F"/>
    <w:rsid w:val="450F1F75"/>
    <w:rsid w:val="453C3F01"/>
    <w:rsid w:val="46960AC6"/>
    <w:rsid w:val="469E27A2"/>
    <w:rsid w:val="473A5FE2"/>
    <w:rsid w:val="48BA7834"/>
    <w:rsid w:val="4AE22D88"/>
    <w:rsid w:val="4B621286"/>
    <w:rsid w:val="4BD604F2"/>
    <w:rsid w:val="4CDB6B18"/>
    <w:rsid w:val="4D1D2609"/>
    <w:rsid w:val="4E305A20"/>
    <w:rsid w:val="4EB11A7C"/>
    <w:rsid w:val="4F586ABA"/>
    <w:rsid w:val="4F9C166D"/>
    <w:rsid w:val="4FB16F0D"/>
    <w:rsid w:val="506077DD"/>
    <w:rsid w:val="50AF3A72"/>
    <w:rsid w:val="52BB3DEE"/>
    <w:rsid w:val="531A5C9F"/>
    <w:rsid w:val="53406164"/>
    <w:rsid w:val="55AA541C"/>
    <w:rsid w:val="567E16A6"/>
    <w:rsid w:val="578146C5"/>
    <w:rsid w:val="57D05EFC"/>
    <w:rsid w:val="58272CFA"/>
    <w:rsid w:val="585A1C5D"/>
    <w:rsid w:val="596879A6"/>
    <w:rsid w:val="59F57B8E"/>
    <w:rsid w:val="5AE22E96"/>
    <w:rsid w:val="5B2D7586"/>
    <w:rsid w:val="5B7E4A72"/>
    <w:rsid w:val="5C2627EC"/>
    <w:rsid w:val="5C997487"/>
    <w:rsid w:val="5E811B87"/>
    <w:rsid w:val="5FCC0598"/>
    <w:rsid w:val="5FDB5E32"/>
    <w:rsid w:val="60205975"/>
    <w:rsid w:val="616C7C4F"/>
    <w:rsid w:val="61E60419"/>
    <w:rsid w:val="62973EAF"/>
    <w:rsid w:val="62BE08BB"/>
    <w:rsid w:val="62DF3CEE"/>
    <w:rsid w:val="62ED44B6"/>
    <w:rsid w:val="63B76719"/>
    <w:rsid w:val="654F3592"/>
    <w:rsid w:val="66D37837"/>
    <w:rsid w:val="670A7A3E"/>
    <w:rsid w:val="67B64F2C"/>
    <w:rsid w:val="68347744"/>
    <w:rsid w:val="68480400"/>
    <w:rsid w:val="698666E7"/>
    <w:rsid w:val="698E0FAD"/>
    <w:rsid w:val="699C39A9"/>
    <w:rsid w:val="69EF3DF1"/>
    <w:rsid w:val="6A43751C"/>
    <w:rsid w:val="6ABA28D3"/>
    <w:rsid w:val="6B2F71CC"/>
    <w:rsid w:val="6C405204"/>
    <w:rsid w:val="6CBE6848"/>
    <w:rsid w:val="6CE13A23"/>
    <w:rsid w:val="6D8B22BF"/>
    <w:rsid w:val="6ED765D6"/>
    <w:rsid w:val="6F112A2C"/>
    <w:rsid w:val="7091535C"/>
    <w:rsid w:val="73006EB1"/>
    <w:rsid w:val="73417714"/>
    <w:rsid w:val="747D1147"/>
    <w:rsid w:val="753C7552"/>
    <w:rsid w:val="762C5749"/>
    <w:rsid w:val="765C5FCF"/>
    <w:rsid w:val="77A5337F"/>
    <w:rsid w:val="77D37743"/>
    <w:rsid w:val="78021588"/>
    <w:rsid w:val="78824C27"/>
    <w:rsid w:val="79442D41"/>
    <w:rsid w:val="796E01B9"/>
    <w:rsid w:val="7B331FDF"/>
    <w:rsid w:val="7B8B1CB4"/>
    <w:rsid w:val="7BA515D0"/>
    <w:rsid w:val="7BD83DF7"/>
    <w:rsid w:val="7C086396"/>
    <w:rsid w:val="7E4F6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semiHidden/>
    <w:qFormat/>
    <w:uiPriority w:val="99"/>
    <w:rPr>
      <w:kern w:val="2"/>
      <w:sz w:val="18"/>
      <w:szCs w:val="18"/>
    </w:rPr>
  </w:style>
  <w:style w:type="character" w:customStyle="1" w:styleId="12">
    <w:name w:val="页脚 Char"/>
    <w:basedOn w:val="8"/>
    <w:link w:val="4"/>
    <w:qFormat/>
    <w:uiPriority w:val="99"/>
    <w:rPr>
      <w:kern w:val="2"/>
      <w:sz w:val="18"/>
      <w:szCs w:val="18"/>
    </w:rPr>
  </w:style>
  <w:style w:type="paragraph" w:customStyle="1" w:styleId="13">
    <w:name w:val="Char1"/>
    <w:basedOn w:val="1"/>
    <w:qFormat/>
    <w:uiPriority w:val="0"/>
    <w:pPr>
      <w:tabs>
        <w:tab w:val="left" w:pos="840"/>
      </w:tabs>
      <w:ind w:left="840" w:hanging="420"/>
    </w:pPr>
    <w:rPr>
      <w:rFonts w:ascii="Times New Roman" w:hAnsi="Times New Roman"/>
      <w:sz w:val="24"/>
      <w:szCs w:val="24"/>
    </w:rPr>
  </w:style>
  <w:style w:type="character" w:customStyle="1" w:styleId="14">
    <w:name w:val="批注文字 Char"/>
    <w:basedOn w:val="8"/>
    <w:link w:val="2"/>
    <w:semiHidden/>
    <w:qFormat/>
    <w:uiPriority w:val="99"/>
    <w:rPr>
      <w:kern w:val="2"/>
      <w:sz w:val="21"/>
      <w:szCs w:val="22"/>
    </w:rPr>
  </w:style>
  <w:style w:type="character" w:customStyle="1" w:styleId="15">
    <w:name w:val="批注主题 Char"/>
    <w:basedOn w:val="14"/>
    <w:link w:val="6"/>
    <w:semiHidden/>
    <w:qFormat/>
    <w:uiPriority w:val="99"/>
    <w:rPr>
      <w:b/>
      <w:bCs/>
    </w:rPr>
  </w:style>
  <w:style w:type="character" w:customStyle="1" w:styleId="16">
    <w:name w:val="批注框文本 Char"/>
    <w:basedOn w:val="8"/>
    <w:link w:val="3"/>
    <w:semiHidden/>
    <w:qFormat/>
    <w:uiPriority w:val="99"/>
    <w:rPr>
      <w:kern w:val="2"/>
      <w:sz w:val="18"/>
      <w:szCs w:val="18"/>
    </w:rPr>
  </w:style>
  <w:style w:type="paragraph" w:customStyle="1" w:styleId="17">
    <w:name w:val="Revision"/>
    <w:hidden/>
    <w:semiHidden/>
    <w:qFormat/>
    <w:uiPriority w:val="99"/>
    <w:rPr>
      <w:rFonts w:ascii="Calibri" w:hAnsi="Calibri" w:eastAsia="宋体" w:cs="Times New Roman"/>
      <w:kern w:val="2"/>
      <w:sz w:val="21"/>
      <w:szCs w:val="22"/>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30880F-0172-4367-9D41-5B93968F3B74}">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Company>Bureau of Environment Protection</Company>
  <Pages>6</Pages>
  <Words>2766</Words>
  <Characters>2996</Characters>
  <Lines>19</Lines>
  <Paragraphs>5</Paragraphs>
  <TotalTime>1</TotalTime>
  <ScaleCrop>false</ScaleCrop>
  <LinksUpToDate>false</LinksUpToDate>
  <CharactersWithSpaces>3060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2019-11-22T08:14:00Z</dcterms:created>
  <dc:creator>Panyu EPB</dc:creator>
  <cp:lastModifiedBy>1</cp:lastModifiedBy>
  <cp:lastPrinted>2012-12-06T03:13:00Z</cp:lastPrinted>
  <dcterms:modified xsi:type="dcterms:W3CDTF">2025-02-19T09:08:12Z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2052-11.8.2.10393</vt:lpwstr>
  </property>
  <property fmtid="{D5CDD505-2E9C-101B-9397-08002B2CF9AE}" pid="4" name="ICV">
    <vt:lpwstr>7B1C4AD2043649D185BF4A2F74748C72</vt:lpwstr>
  </property>
</Properties>
</file>