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before="0" w:after="0" w:line="560" w:lineRule="exact"/>
        <w:rPr>
          <w:rFonts w:ascii="方正小标宋简体" w:eastAsia="方正小标宋简体"/>
          <w:color w:val="auto"/>
          <w:lang w:val="en-US"/>
        </w:rPr>
      </w:pPr>
      <w:bookmarkStart w:id="58" w:name="_GoBack"/>
      <w:bookmarkEnd w:id="58"/>
      <w:bookmarkStart w:id="0" w:name="bookmark2"/>
      <w:bookmarkStart w:id="1" w:name="bookmark0"/>
      <w:bookmarkStart w:id="2" w:name="bookmark1"/>
    </w:p>
    <w:p>
      <w:pPr>
        <w:pStyle w:val="10"/>
        <w:keepNext/>
        <w:keepLines/>
        <w:spacing w:before="0" w:after="0" w:line="560" w:lineRule="exact"/>
        <w:rPr>
          <w:rFonts w:ascii="方正小标宋简体" w:eastAsia="PMingLiU"/>
          <w:color w:val="auto"/>
          <w:lang w:val="en-US"/>
        </w:rPr>
      </w:pPr>
    </w:p>
    <w:p>
      <w:pPr>
        <w:pStyle w:val="10"/>
        <w:keepNext/>
        <w:keepLines/>
        <w:spacing w:before="0" w:after="0" w:line="560" w:lineRule="exact"/>
        <w:rPr>
          <w:rFonts w:ascii="方正小标宋简体" w:eastAsia="PMingLiU"/>
          <w:color w:val="auto"/>
          <w:lang w:val="en-US"/>
        </w:rPr>
      </w:pPr>
    </w:p>
    <w:p>
      <w:pPr>
        <w:pStyle w:val="10"/>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化龙镇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bookmarkEnd w:id="0"/>
      <w:bookmarkEnd w:id="1"/>
      <w:bookmarkEnd w:id="2"/>
    </w:p>
    <w:p>
      <w:pPr>
        <w:pStyle w:val="10"/>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9</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8</w:t>
      </w:r>
      <w:r>
        <w:rPr>
          <w:rFonts w:hint="eastAsia" w:ascii="方正小标宋简体" w:eastAsia="方正小标宋简体"/>
          <w:b/>
          <w:bCs/>
          <w:color w:val="auto"/>
          <w:sz w:val="44"/>
          <w:szCs w:val="44"/>
          <w:lang w:eastAsia="zh-CN"/>
        </w:rPr>
        <w:t>日）</w:t>
      </w:r>
    </w:p>
    <w:p>
      <w:pPr>
        <w:pStyle w:val="12"/>
        <w:spacing w:after="0" w:line="560" w:lineRule="exact"/>
        <w:ind w:firstLine="2529" w:firstLineChars="900"/>
        <w:jc w:val="both"/>
        <w:rPr>
          <w:rFonts w:ascii="仿宋_GB2312" w:eastAsia="PMingLiU"/>
          <w:b/>
          <w:color w:val="auto"/>
        </w:rPr>
      </w:pPr>
      <w:bookmarkStart w:id="3" w:name="bookmark3"/>
      <w:bookmarkStart w:id="4" w:name="bookmark5"/>
      <w:bookmarkStart w:id="5" w:name="bookmark4"/>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529" w:firstLineChars="900"/>
        <w:jc w:val="both"/>
        <w:rPr>
          <w:rFonts w:ascii="仿宋_GB2312" w:eastAsia="PMingLiU"/>
          <w:b/>
          <w:color w:val="auto"/>
        </w:rPr>
      </w:pP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2"/>
        <w:spacing w:after="0" w:line="560" w:lineRule="exact"/>
        <w:ind w:firstLine="2085" w:firstLineChars="742"/>
        <w:jc w:val="both"/>
        <w:rPr>
          <w:rFonts w:hint="default"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化龙镇人民政府</w:t>
      </w:r>
    </w:p>
    <w:p>
      <w:pPr>
        <w:pStyle w:val="12"/>
        <w:spacing w:after="0" w:line="560" w:lineRule="exact"/>
        <w:ind w:firstLine="2085" w:firstLineChars="742"/>
        <w:jc w:val="both"/>
        <w:rPr>
          <w:rFonts w:hint="default" w:ascii="仿宋_GB2312" w:eastAsia="仿宋_GB2312"/>
          <w:b/>
          <w:color w:val="auto"/>
          <w:lang w:val="en-US" w:eastAsia="zh-CN"/>
        </w:rPr>
      </w:pPr>
      <w:r>
        <w:rPr>
          <w:rFonts w:hint="eastAsia" w:ascii="仿宋_GB2312" w:eastAsia="仿宋_GB2312"/>
          <w:b/>
          <w:color w:val="auto"/>
        </w:rPr>
        <w:t>项目承办方：广州市番禺区普爱社会工作服务社</w:t>
      </w: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2"/>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2025年2</w:t>
      </w:r>
      <w:r>
        <w:rPr>
          <w:rFonts w:hint="eastAsia" w:ascii="仿宋_GB2312" w:eastAsia="仿宋_GB2312"/>
          <w:b/>
          <w:color w:val="auto"/>
          <w:lang w:val="en-US"/>
        </w:rPr>
        <w:t>月</w:t>
      </w:r>
      <w:r>
        <w:rPr>
          <w:rFonts w:hint="eastAsia" w:ascii="仿宋_GB2312" w:eastAsia="仿宋_GB2312"/>
          <w:b/>
          <w:color w:val="auto"/>
          <w:lang w:val="en-US" w:eastAsia="zh-CN"/>
        </w:rPr>
        <w:t>25</w:t>
      </w:r>
      <w:r>
        <w:rPr>
          <w:rFonts w:hint="eastAsia" w:ascii="仿宋_GB2312" w:eastAsia="仿宋_GB2312"/>
          <w:b/>
          <w:color w:val="auto"/>
          <w:lang w:val="en-US"/>
        </w:rPr>
        <w:t>日</w:t>
      </w: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2"/>
        <w:spacing w:after="0" w:line="240" w:lineRule="auto"/>
        <w:ind w:firstLine="0"/>
        <w:rPr>
          <w:color w:val="auto"/>
        </w:rPr>
      </w:pPr>
    </w:p>
    <w:bookmarkEnd w:id="3"/>
    <w:bookmarkEnd w:id="4"/>
    <w:bookmarkEnd w:id="5"/>
    <w:p>
      <w:pPr>
        <w:pStyle w:val="10"/>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化龙镇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p>
    <w:p>
      <w:pPr>
        <w:pStyle w:val="10"/>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9</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8</w:t>
      </w:r>
      <w:r>
        <w:rPr>
          <w:rFonts w:hint="eastAsia" w:ascii="方正小标宋简体" w:eastAsia="方正小标宋简体"/>
          <w:b/>
          <w:bCs/>
          <w:color w:val="auto"/>
          <w:sz w:val="44"/>
          <w:szCs w:val="44"/>
          <w:lang w:eastAsia="zh-CN"/>
        </w:rPr>
        <w:t>日）</w:t>
      </w:r>
    </w:p>
    <w:p>
      <w:pPr>
        <w:pStyle w:val="12"/>
        <w:spacing w:after="0" w:line="560" w:lineRule="exact"/>
        <w:ind w:firstLine="0"/>
        <w:rPr>
          <w:rFonts w:hint="eastAsia" w:ascii="方正小标宋简体" w:eastAsia="方正小标宋简体"/>
          <w:b/>
          <w:bCs/>
          <w:color w:val="auto"/>
          <w:sz w:val="44"/>
          <w:szCs w:val="44"/>
          <w:lang w:val="en-US" w:eastAsia="zh-CN"/>
        </w:rPr>
      </w:pPr>
    </w:p>
    <w:p>
      <w:pPr>
        <w:pStyle w:val="12"/>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化龙镇社工服务站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化龙镇</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中期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化龙镇</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化龙镇</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夯实</w:t>
      </w:r>
      <w:r>
        <w:rPr>
          <w:rFonts w:hint="eastAsia" w:ascii="仿宋_GB2312" w:eastAsia="仿宋_GB2312"/>
          <w:color w:val="auto"/>
          <w:sz w:val="32"/>
          <w:szCs w:val="32"/>
        </w:rPr>
        <w:t>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中期</w:t>
      </w:r>
      <w:r>
        <w:rPr>
          <w:rFonts w:hint="eastAsia" w:ascii="方正小标宋简体" w:eastAsia="方正小标宋简体"/>
          <w:b/>
          <w:bCs/>
          <w:color w:val="auto"/>
          <w:sz w:val="32"/>
          <w:szCs w:val="28"/>
          <w:lang w:val="en-US"/>
        </w:rPr>
        <w:t>评估背景</w:t>
      </w:r>
    </w:p>
    <w:p>
      <w:pPr>
        <w:pStyle w:val="12"/>
        <w:pageBreakBefore w:val="0"/>
        <w:widowControl w:val="0"/>
        <w:kinsoku/>
        <w:wordWrap/>
        <w:overflowPunct/>
        <w:topLinePunct w:val="0"/>
        <w:autoSpaceDE/>
        <w:autoSpaceDN/>
        <w:bidi w:val="0"/>
        <w:adjustRightInd/>
        <w:snapToGrid/>
        <w:spacing w:after="0" w:line="54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2025年2月25日，番禺区社会组织联合会5位评委及2名工作人员对化龙镇社工站展开了中期评估工作。评估为期1天，主要通过听取社工站介绍、实地考察、查阅资料、面谈（访谈）、填写问卷、入户困难群众询问等形式，对化龙镇社工站的项目管理、服务开展情况以及项目成效等方面进行评估。评估团队主要完成了以下几方面的工作：</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6" w:name="bookmark6"/>
      <w:bookmarkEnd w:id="6"/>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听取介绍。</w:t>
      </w:r>
      <w:r>
        <w:rPr>
          <w:rFonts w:hint="eastAsia" w:ascii="仿宋_GB2312" w:hAnsi="仿宋_GB2312" w:eastAsia="仿宋_GB2312" w:cs="仿宋_GB2312"/>
          <w:sz w:val="32"/>
          <w:szCs w:val="32"/>
        </w:rPr>
        <w:t>由社工站负责人介绍社工站的运营及服务情况、各项指标完成情况。</w:t>
      </w:r>
    </w:p>
    <w:p>
      <w:pPr>
        <w:pStyle w:val="12"/>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7" w:name="bookmark7"/>
      <w:bookmarkEnd w:id="7"/>
      <w:r>
        <w:rPr>
          <w:rFonts w:hint="eastAsia" w:ascii="仿宋_GB2312" w:hAnsi="仿宋_GB2312" w:eastAsia="仿宋_GB2312" w:cs="仿宋_GB2312"/>
          <w:b/>
          <w:sz w:val="32"/>
          <w:szCs w:val="32"/>
          <w:lang w:val="en-US"/>
        </w:rPr>
        <w:t>2.</w:t>
      </w:r>
      <w:r>
        <w:rPr>
          <w:rFonts w:hint="eastAsia" w:ascii="仿宋_GB2312" w:hAnsi="仿宋_GB2312" w:eastAsia="仿宋_GB2312" w:cs="仿宋_GB2312"/>
          <w:b/>
          <w:sz w:val="32"/>
          <w:szCs w:val="32"/>
        </w:rPr>
        <w:t>实地观察。</w:t>
      </w:r>
      <w:r>
        <w:rPr>
          <w:rFonts w:hint="eastAsia" w:ascii="仿宋_GB2312" w:hAnsi="仿宋_GB2312" w:eastAsia="仿宋_GB2312" w:cs="仿宋_GB2312"/>
          <w:sz w:val="32"/>
          <w:szCs w:val="32"/>
        </w:rPr>
        <w:t>主要针对社工站硬件建设情况方面进行观察，以评估其设施开展专业服务的适宜性。</w:t>
      </w:r>
    </w:p>
    <w:p>
      <w:pPr>
        <w:pStyle w:val="12"/>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8" w:name="bookmark8"/>
      <w:bookmarkEnd w:id="8"/>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查阅资料。</w:t>
      </w:r>
      <w:r>
        <w:rPr>
          <w:rFonts w:hint="eastAsia" w:ascii="仿宋_GB2312" w:hAnsi="仿宋_GB2312" w:eastAsia="仿宋_GB2312" w:cs="仿宋_GB2312"/>
          <w:sz w:val="32"/>
          <w:szCs w:val="32"/>
        </w:rPr>
        <w:t>查阅社工站</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、人事管理制度及专业服务记录等方面的资料。</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9" w:name="bookmark9"/>
      <w:bookmarkEnd w:id="9"/>
      <w:r>
        <w:rPr>
          <w:rFonts w:hint="eastAsia" w:ascii="仿宋_GB2312" w:hAnsi="仿宋_GB2312" w:eastAsia="仿宋_GB2312" w:cs="仿宋_GB2312"/>
          <w:b/>
          <w:sz w:val="32"/>
          <w:szCs w:val="32"/>
          <w:lang w:val="en-US"/>
        </w:rPr>
        <w:t>4.</w:t>
      </w:r>
      <w:r>
        <w:rPr>
          <w:rFonts w:hint="eastAsia" w:ascii="仿宋_GB2312" w:hAnsi="仿宋_GB2312" w:eastAsia="仿宋_GB2312" w:cs="仿宋_GB2312"/>
          <w:b/>
          <w:sz w:val="32"/>
          <w:szCs w:val="32"/>
          <w:lang w:eastAsia="zh-CN"/>
        </w:rPr>
        <w:t>分组</w:t>
      </w:r>
      <w:r>
        <w:rPr>
          <w:rFonts w:hint="eastAsia" w:ascii="仿宋_GB2312" w:hAnsi="仿宋_GB2312" w:eastAsia="仿宋_GB2312" w:cs="仿宋_GB2312"/>
          <w:b/>
          <w:sz w:val="32"/>
          <w:szCs w:val="32"/>
        </w:rPr>
        <w:t>评估访谈。</w:t>
      </w:r>
      <w:r>
        <w:rPr>
          <w:rFonts w:hint="eastAsia" w:ascii="仿宋_GB2312" w:hAnsi="仿宋_GB2312" w:eastAsia="仿宋_GB2312" w:cs="仿宋_GB2312"/>
          <w:sz w:val="32"/>
          <w:szCs w:val="32"/>
        </w:rPr>
        <w:t>评委与社工进行访谈，了解社工服务推进情况，了解社工对服务的理解，以及开展服务的总结反思。</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0" w:name="bookmark10"/>
      <w:bookmarkEnd w:id="10"/>
      <w:r>
        <w:rPr>
          <w:rFonts w:hint="eastAsia" w:ascii="仿宋_GB2312" w:hAnsi="仿宋_GB2312" w:eastAsia="仿宋_GB2312" w:cs="仿宋_GB2312"/>
          <w:b/>
          <w:sz w:val="32"/>
          <w:szCs w:val="32"/>
          <w:lang w:val="en-US"/>
        </w:rPr>
        <w:t>5.</w:t>
      </w:r>
      <w:bookmarkStart w:id="11" w:name="bookmark12"/>
      <w:bookmarkEnd w:id="11"/>
      <w:r>
        <w:rPr>
          <w:rFonts w:hint="eastAsia" w:ascii="仿宋_GB2312" w:hAnsi="仿宋_GB2312" w:eastAsia="仿宋_GB2312" w:cs="仿宋_GB2312"/>
          <w:b/>
          <w:sz w:val="32"/>
          <w:szCs w:val="32"/>
        </w:rPr>
        <w:t>总结反馈。</w:t>
      </w:r>
      <w:r>
        <w:rPr>
          <w:rFonts w:hint="eastAsia" w:ascii="仿宋_GB2312" w:hAnsi="仿宋_GB2312" w:eastAsia="仿宋_GB2312" w:cs="仿宋_GB2312"/>
          <w:sz w:val="32"/>
          <w:szCs w:val="32"/>
        </w:rPr>
        <w:t>由评委团队对评估进行总结，与社工站社工进行反馈，听取街道购买方对社工站工作开展的意见和建议，了解社工站同事对本次活动的反馈。</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12" w:name="bookmark13"/>
      <w:r>
        <w:rPr>
          <w:rFonts w:hint="eastAsia" w:ascii="仿宋_GB2312" w:hAnsi="仿宋_GB2312" w:eastAsia="仿宋_GB2312" w:cs="仿宋_GB2312"/>
          <w:b/>
          <w:sz w:val="32"/>
          <w:szCs w:val="32"/>
        </w:rPr>
        <w:t>（</w:t>
      </w:r>
      <w:bookmarkEnd w:id="12"/>
      <w:r>
        <w:rPr>
          <w:rFonts w:hint="eastAsia" w:ascii="仿宋_GB2312" w:hAnsi="仿宋_GB2312" w:eastAsia="仿宋_GB2312" w:cs="仿宋_GB2312"/>
          <w:b/>
          <w:sz w:val="32"/>
          <w:szCs w:val="32"/>
        </w:rPr>
        <w:t>一）评估依据</w:t>
      </w:r>
    </w:p>
    <w:p>
      <w:pPr>
        <w:pStyle w:val="12"/>
        <w:pageBreakBefore w:val="0"/>
        <w:widowControl w:val="0"/>
        <w:numPr>
          <w:ilvl w:val="0"/>
          <w:numId w:val="1"/>
        </w:numPr>
        <w:tabs>
          <w:tab w:val="left" w:pos="981"/>
        </w:tabs>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bookmarkStart w:id="13" w:name="bookmark14"/>
      <w:bookmarkEnd w:id="13"/>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2"/>
        <w:pageBreakBefore w:val="0"/>
        <w:widowControl w:val="0"/>
        <w:numPr>
          <w:ilvl w:val="0"/>
          <w:numId w:val="1"/>
        </w:numPr>
        <w:tabs>
          <w:tab w:val="left" w:pos="981"/>
        </w:tabs>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bookmarkStart w:id="14" w:name="bookmark15"/>
      <w:bookmarkEnd w:id="14"/>
      <w:r>
        <w:rPr>
          <w:rFonts w:hint="eastAsia" w:ascii="仿宋_GB2312" w:hAnsi="仿宋_GB2312" w:eastAsia="仿宋_GB2312" w:cs="仿宋_GB2312"/>
          <w:sz w:val="32"/>
          <w:szCs w:val="32"/>
        </w:rPr>
        <w:t>评估标准依据：《广州市社工站购买服务项目评估指标体系》《广州市社工站购买服务项目协议》。</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15" w:name="bookmark16"/>
      <w:r>
        <w:rPr>
          <w:rFonts w:hint="eastAsia" w:ascii="仿宋_GB2312" w:hAnsi="仿宋_GB2312" w:eastAsia="仿宋_GB2312" w:cs="仿宋_GB2312"/>
          <w:b/>
          <w:sz w:val="32"/>
          <w:szCs w:val="32"/>
        </w:rPr>
        <w:t>（</w:t>
      </w:r>
      <w:bookmarkEnd w:id="15"/>
      <w:r>
        <w:rPr>
          <w:rFonts w:hint="eastAsia" w:ascii="仿宋_GB2312" w:hAnsi="仿宋_GB2312" w:eastAsia="仿宋_GB2312" w:cs="仿宋_GB2312"/>
          <w:b/>
          <w:sz w:val="32"/>
          <w:szCs w:val="32"/>
        </w:rPr>
        <w:t>二）评估原则</w:t>
      </w:r>
    </w:p>
    <w:p>
      <w:pPr>
        <w:pStyle w:val="12"/>
        <w:pageBreakBefore w:val="0"/>
        <w:widowControl w:val="0"/>
        <w:numPr>
          <w:ilvl w:val="0"/>
          <w:numId w:val="2"/>
        </w:numPr>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6" w:name="bookmark17"/>
      <w:bookmarkEnd w:id="16"/>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2"/>
        <w:pageBreakBefore w:val="0"/>
        <w:widowControl w:val="0"/>
        <w:numPr>
          <w:ilvl w:val="0"/>
          <w:numId w:val="2"/>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7" w:name="bookmark18"/>
      <w:bookmarkEnd w:id="17"/>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2"/>
        <w:pageBreakBefore w:val="0"/>
        <w:widowControl w:val="0"/>
        <w:numPr>
          <w:ilvl w:val="0"/>
          <w:numId w:val="2"/>
        </w:numPr>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2"/>
        <w:pageBreakBefore w:val="0"/>
        <w:widowControl w:val="0"/>
        <w:numPr>
          <w:ilvl w:val="0"/>
          <w:numId w:val="2"/>
        </w:numPr>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2"/>
        <w:pageBreakBefore w:val="0"/>
        <w:widowControl w:val="0"/>
        <w:numPr>
          <w:ilvl w:val="0"/>
          <w:numId w:val="2"/>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2"/>
        <w:pageBreakBefore w:val="0"/>
        <w:widowControl w:val="0"/>
        <w:numPr>
          <w:ilvl w:val="0"/>
          <w:numId w:val="2"/>
        </w:numPr>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1" w:name="bookmark22"/>
      <w:bookmarkEnd w:id="21"/>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2" w:name="bookmark23"/>
      <w:r>
        <w:rPr>
          <w:rFonts w:hint="eastAsia" w:ascii="仿宋_GB2312" w:hAnsi="仿宋_GB2312" w:eastAsia="仿宋_GB2312" w:cs="仿宋_GB2312"/>
          <w:b/>
          <w:sz w:val="32"/>
          <w:szCs w:val="32"/>
        </w:rPr>
        <w:t>（</w:t>
      </w:r>
      <w:bookmarkEnd w:id="22"/>
      <w:r>
        <w:rPr>
          <w:rFonts w:hint="eastAsia" w:ascii="仿宋_GB2312" w:hAnsi="仿宋_GB2312" w:eastAsia="仿宋_GB2312" w:cs="仿宋_GB2312"/>
          <w:b/>
          <w:sz w:val="32"/>
          <w:szCs w:val="32"/>
        </w:rPr>
        <w:t>三）评估阶段</w:t>
      </w:r>
    </w:p>
    <w:p>
      <w:pPr>
        <w:pStyle w:val="12"/>
        <w:pageBreakBefore w:val="0"/>
        <w:widowControl w:val="0"/>
        <w:numPr>
          <w:ilvl w:val="0"/>
          <w:numId w:val="3"/>
        </w:numPr>
        <w:tabs>
          <w:tab w:val="left" w:pos="992"/>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3" w:name="bookmark24"/>
      <w:bookmarkEnd w:id="23"/>
      <w:r>
        <w:rPr>
          <w:rFonts w:hint="eastAsia" w:ascii="仿宋_GB2312" w:hAnsi="仿宋_GB2312" w:eastAsia="仿宋_GB2312" w:cs="仿宋_GB2312"/>
          <w:b/>
          <w:sz w:val="32"/>
          <w:szCs w:val="32"/>
          <w:lang w:eastAsia="zh-CN"/>
        </w:rPr>
        <w:t>制定评估计划</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根据最新管理办法要求及化龙镇社工站项目合同期限确定评估时间，制定好评估计划和评估通知。</w:t>
      </w:r>
    </w:p>
    <w:p>
      <w:pPr>
        <w:pStyle w:val="12"/>
        <w:pageBreakBefore w:val="0"/>
        <w:widowControl w:val="0"/>
        <w:numPr>
          <w:ilvl w:val="0"/>
          <w:numId w:val="3"/>
        </w:numPr>
        <w:tabs>
          <w:tab w:val="left" w:pos="992"/>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自我评审阶段</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2"/>
        <w:pageBreakBefore w:val="0"/>
        <w:widowControl w:val="0"/>
        <w:numPr>
          <w:ilvl w:val="0"/>
          <w:numId w:val="3"/>
        </w:numPr>
        <w:tabs>
          <w:tab w:val="left" w:pos="1001"/>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4" w:name="bookmark25"/>
      <w:bookmarkEnd w:id="24"/>
      <w:r>
        <w:rPr>
          <w:rFonts w:hint="eastAsia" w:ascii="仿宋_GB2312" w:hAnsi="仿宋_GB2312" w:eastAsia="仿宋_GB2312" w:cs="仿宋_GB2312"/>
          <w:b/>
          <w:sz w:val="32"/>
          <w:szCs w:val="32"/>
        </w:rPr>
        <w:t>实地评估阶段</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社工站进行评估工作。</w:t>
      </w:r>
    </w:p>
    <w:p>
      <w:pPr>
        <w:pStyle w:val="12"/>
        <w:pageBreakBefore w:val="0"/>
        <w:widowControl w:val="0"/>
        <w:numPr>
          <w:ilvl w:val="0"/>
          <w:numId w:val="3"/>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b/>
          <w:sz w:val="32"/>
          <w:szCs w:val="32"/>
        </w:rPr>
        <w:t>反馈初评意见</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化龙镇政府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2"/>
        <w:pageBreakBefore w:val="0"/>
        <w:widowControl w:val="0"/>
        <w:numPr>
          <w:ilvl w:val="0"/>
          <w:numId w:val="3"/>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6" w:name="bookmark27"/>
      <w:bookmarkEnd w:id="26"/>
      <w:r>
        <w:rPr>
          <w:rFonts w:hint="eastAsia" w:ascii="仿宋_GB2312" w:hAnsi="仿宋_GB2312" w:eastAsia="仿宋_GB2312" w:cs="仿宋_GB2312"/>
          <w:b/>
          <w:sz w:val="32"/>
          <w:szCs w:val="32"/>
        </w:rPr>
        <w:t>出具</w:t>
      </w:r>
      <w:r>
        <w:rPr>
          <w:rFonts w:hint="eastAsia" w:ascii="仿宋_GB2312" w:hAnsi="仿宋_GB2312" w:eastAsia="仿宋_GB2312" w:cs="仿宋_GB2312"/>
          <w:b/>
          <w:sz w:val="32"/>
          <w:szCs w:val="32"/>
          <w:lang w:eastAsia="zh-CN"/>
        </w:rPr>
        <w:t>中</w:t>
      </w:r>
      <w:r>
        <w:rPr>
          <w:rFonts w:hint="eastAsia" w:ascii="仿宋_GB2312" w:hAnsi="仿宋_GB2312" w:eastAsia="仿宋_GB2312" w:cs="仿宋_GB2312"/>
          <w:b/>
          <w:sz w:val="32"/>
          <w:szCs w:val="32"/>
        </w:rPr>
        <w:t>期评估报告</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val="en-US" w:eastAsia="zh-CN"/>
        </w:rPr>
        <w:t>化龙镇政府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社工站各出具一份评估报告，提出项目存在的问题及改进建议。</w:t>
      </w:r>
    </w:p>
    <w:p>
      <w:pPr>
        <w:pStyle w:val="12"/>
        <w:pageBreakBefore w:val="0"/>
        <w:widowControl w:val="0"/>
        <w:numPr>
          <w:ilvl w:val="0"/>
          <w:numId w:val="3"/>
        </w:numPr>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公示评估报告及受理评估投诉</w:t>
      </w:r>
    </w:p>
    <w:p>
      <w:pPr>
        <w:pStyle w:val="12"/>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2"/>
        <w:pageBreakBefore w:val="0"/>
        <w:widowControl w:val="0"/>
        <w:tabs>
          <w:tab w:val="left" w:pos="1006"/>
        </w:tabs>
        <w:kinsoku/>
        <w:wordWrap/>
        <w:overflowPunct/>
        <w:topLinePunct w:val="0"/>
        <w:autoSpaceDE/>
        <w:autoSpaceDN/>
        <w:bidi w:val="0"/>
        <w:adjustRightInd/>
        <w:snapToGrid/>
        <w:spacing w:after="0" w:line="540" w:lineRule="exact"/>
        <w:ind w:left="640" w:firstLine="0"/>
        <w:jc w:val="both"/>
        <w:textAlignment w:val="auto"/>
        <w:rPr>
          <w:rFonts w:ascii="仿宋_GB2312" w:hAnsi="仿宋_GB2312" w:eastAsia="仿宋_GB2312" w:cs="仿宋_GB2312"/>
          <w:b/>
          <w:sz w:val="32"/>
          <w:szCs w:val="32"/>
        </w:rPr>
      </w:pPr>
      <w:bookmarkStart w:id="27" w:name="bookmark28"/>
      <w:r>
        <w:rPr>
          <w:rFonts w:hint="eastAsia" w:ascii="仿宋_GB2312" w:hAnsi="仿宋_GB2312" w:eastAsia="仿宋_GB2312" w:cs="仿宋_GB2312"/>
          <w:b/>
          <w:sz w:val="32"/>
          <w:szCs w:val="32"/>
        </w:rPr>
        <w:t>（</w:t>
      </w:r>
      <w:bookmarkEnd w:id="27"/>
      <w:r>
        <w:rPr>
          <w:rFonts w:hint="eastAsia" w:ascii="仿宋_GB2312" w:hAnsi="仿宋_GB2312" w:eastAsia="仿宋_GB2312" w:cs="仿宋_GB2312"/>
          <w:b/>
          <w:sz w:val="32"/>
          <w:szCs w:val="32"/>
        </w:rPr>
        <w:t>四）评估内容</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sz w:val="32"/>
          <w:szCs w:val="32"/>
        </w:rPr>
      </w:pPr>
      <w:bookmarkStart w:id="28"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w:t>
      </w:r>
      <w:r>
        <w:rPr>
          <w:rFonts w:hint="eastAsia" w:ascii="仿宋_GB2312" w:hAnsi="仿宋_GB2312" w:eastAsia="仿宋_GB2312" w:cs="仿宋_GB2312"/>
          <w:sz w:val="32"/>
          <w:szCs w:val="32"/>
          <w:lang w:val="en-US" w:eastAsia="zh-CN"/>
        </w:rPr>
        <w:t>镇政府</w:t>
      </w:r>
      <w:r>
        <w:rPr>
          <w:rFonts w:ascii="仿宋_GB2312" w:hAnsi="仿宋_GB2312" w:eastAsia="仿宋_GB2312" w:cs="仿宋_GB2312"/>
          <w:sz w:val="32"/>
          <w:szCs w:val="32"/>
          <w:lang w:eastAsia="zh-CN"/>
        </w:rPr>
        <w:t>签订的三方协议规定开展的服务内容开展评估工作，主要从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bookmarkStart w:id="29" w:name="bookmark29"/>
      <w:bookmarkEnd w:id="29"/>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pPr>
        <w:pStyle w:val="12"/>
        <w:pageBreakBefore w:val="0"/>
        <w:widowControl w:val="0"/>
        <w:tabs>
          <w:tab w:val="left" w:pos="1480"/>
        </w:tabs>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五）评估结果说明</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60分至80分（不含80分）为合格，60分以下（不含60分）为不合格。评估中若发现有下列情形之一的，评估结果</w:t>
      </w:r>
      <w:r>
        <w:rPr>
          <w:rFonts w:hint="eastAsia" w:ascii="仿宋_GB2312" w:hAnsi="仿宋_GB2312" w:eastAsia="仿宋_GB2312" w:cs="仿宋_GB2312"/>
          <w:sz w:val="32"/>
          <w:szCs w:val="32"/>
          <w:lang w:eastAsia="zh-CN"/>
        </w:rPr>
        <w:t>也确</w:t>
      </w:r>
      <w:r>
        <w:rPr>
          <w:rFonts w:hint="eastAsia" w:ascii="仿宋_GB2312" w:hAnsi="仿宋_GB2312" w:eastAsia="仿宋_GB2312" w:cs="仿宋_GB2312"/>
          <w:sz w:val="32"/>
          <w:szCs w:val="32"/>
        </w:rPr>
        <w:t>定为不合格：</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社工人员配备不足的，其中中期评估累计缺少5人次或以上，末期评估累计缺少10人次或以上；</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持证社工比例不达标的，其中中期评估累计缺少3人次或以上，末期评估累计缺少6人次或以上；</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年度服务期内人员费用支出比例低于80%的；</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限期内整改不及时、不到位的；</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专业评估结果为不合格的；</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财务评估结果为不合格的；</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（八）</w:t>
      </w:r>
      <w:r>
        <w:rPr>
          <w:rFonts w:hint="eastAsia" w:ascii="仿宋_GB2312" w:eastAsia="仿宋_GB2312"/>
          <w:sz w:val="32"/>
          <w:szCs w:val="32"/>
        </w:rPr>
        <w:t>违反国家法律法规及有关规定的其他情形，情节严重的。</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2"/>
        <w:pageBreakBefore w:val="0"/>
        <w:widowControl w:val="0"/>
        <w:kinsoku/>
        <w:wordWrap/>
        <w:overflowPunct/>
        <w:topLinePunct w:val="0"/>
        <w:autoSpaceDE/>
        <w:autoSpaceDN/>
        <w:bidi w:val="0"/>
        <w:adjustRightInd/>
        <w:snapToGrid/>
        <w:spacing w:after="0" w:line="54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highlight w:val="yellow"/>
          <w:lang w:eastAsia="zh-CN"/>
        </w:rPr>
      </w:pPr>
      <w:r>
        <w:rPr>
          <w:rFonts w:hint="eastAsia" w:ascii="仿宋_GB2312" w:eastAsia="仿宋_GB2312"/>
          <w:color w:val="auto"/>
          <w:sz w:val="32"/>
          <w:szCs w:val="32"/>
          <w:lang w:eastAsia="zh-CN"/>
        </w:rPr>
        <w:t>化龙镇</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番禺区化龙镇亭南路15号化龙公园星光老年之家2楼。</w:t>
      </w:r>
      <w:r>
        <w:rPr>
          <w:rFonts w:hint="eastAsia" w:ascii="仿宋_GB2312" w:eastAsia="仿宋_GB2312"/>
          <w:color w:val="auto"/>
          <w:sz w:val="32"/>
          <w:szCs w:val="32"/>
        </w:rPr>
        <w:t>化龙镇社工服务站挂牌成立于2012年6月29日，至今一直由</w:t>
      </w:r>
      <w:r>
        <w:rPr>
          <w:rFonts w:hint="eastAsia" w:ascii="仿宋_GB2312" w:eastAsia="仿宋_GB2312"/>
          <w:color w:val="auto"/>
          <w:sz w:val="32"/>
          <w:szCs w:val="32"/>
          <w:lang w:eastAsia="zh-CN"/>
        </w:rPr>
        <w:t>番禺区</w:t>
      </w:r>
      <w:r>
        <w:rPr>
          <w:rFonts w:hint="eastAsia" w:ascii="仿宋_GB2312" w:eastAsia="仿宋_GB2312"/>
          <w:color w:val="auto"/>
          <w:sz w:val="32"/>
          <w:szCs w:val="32"/>
        </w:rPr>
        <w:t>普爱社会工作服务社承接运营</w:t>
      </w:r>
      <w:r>
        <w:rPr>
          <w:rFonts w:hint="eastAsia" w:ascii="仿宋_GB2312" w:eastAsia="仿宋_GB2312"/>
          <w:color w:val="auto"/>
          <w:sz w:val="32"/>
          <w:szCs w:val="32"/>
          <w:lang w:eastAsia="zh-CN"/>
        </w:rPr>
        <w:t>，</w:t>
      </w:r>
      <w:r>
        <w:rPr>
          <w:rFonts w:hint="eastAsia" w:ascii="仿宋_GB2312" w:eastAsia="仿宋_GB2312"/>
          <w:color w:val="auto"/>
          <w:sz w:val="32"/>
          <w:szCs w:val="32"/>
        </w:rPr>
        <w:t>打造以社会工作服务为主体，综合运用社会工作服务专业知识、方法和技能，为困难群众和特殊群体等提供兜底民生服务以及参与社区治理服务的平台</w:t>
      </w:r>
      <w:r>
        <w:rPr>
          <w:rFonts w:hint="eastAsia" w:ascii="仿宋_GB2312" w:eastAsia="仿宋_GB2312"/>
          <w:color w:val="auto"/>
          <w:sz w:val="32"/>
          <w:szCs w:val="32"/>
          <w:lang w:eastAsia="zh-CN"/>
        </w:rPr>
        <w:t>。</w:t>
      </w:r>
    </w:p>
    <w:p>
      <w:pPr>
        <w:pStyle w:val="12"/>
        <w:pageBreakBefore w:val="0"/>
        <w:widowControl w:val="0"/>
        <w:kinsoku/>
        <w:wordWrap/>
        <w:overflowPunct/>
        <w:topLinePunct w:val="0"/>
        <w:autoSpaceDE/>
        <w:autoSpaceDN/>
        <w:bidi w:val="0"/>
        <w:adjustRightInd/>
        <w:snapToGrid/>
        <w:spacing w:after="0" w:line="54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日。本次考核期为2024年8月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w:t>
      </w:r>
      <w:r>
        <w:rPr>
          <w:rFonts w:hint="eastAsia" w:ascii="仿宋_GB2312" w:eastAsia="仿宋_GB2312"/>
          <w:color w:val="auto"/>
          <w:sz w:val="32"/>
          <w:szCs w:val="32"/>
          <w:lang w:eastAsia="zh-CN"/>
        </w:rPr>
        <w:t>至</w:t>
      </w:r>
      <w:r>
        <w:rPr>
          <w:rFonts w:hint="eastAsia" w:ascii="仿宋_GB2312" w:eastAsia="仿宋_GB2312"/>
          <w:color w:val="auto"/>
          <w:sz w:val="32"/>
          <w:szCs w:val="32"/>
        </w:rPr>
        <w:t>2025年1月31日，考核</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个月。</w:t>
      </w:r>
    </w:p>
    <w:p>
      <w:pPr>
        <w:pStyle w:val="12"/>
        <w:pageBreakBefore w:val="0"/>
        <w:widowControl w:val="0"/>
        <w:kinsoku/>
        <w:wordWrap/>
        <w:overflowPunct/>
        <w:topLinePunct w:val="0"/>
        <w:autoSpaceDE/>
        <w:autoSpaceDN/>
        <w:bidi w:val="0"/>
        <w:adjustRightInd/>
        <w:snapToGrid/>
        <w:spacing w:after="0" w:line="54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社工站共完成家访2057户，电访2397户，分别完成协议指标量的69.78%、55.09%；咨询个案37人，专业个案接案24人，服务节数153节，分别完成指标量88.10%，57.14%，45.54%。开展小组9个，完成54节，分别完成指标的56.25%、56.25%。完成社区活动39场，服务3839人次，分别完成指标的100.00%和210.93%。发展志愿者79名，培育志愿者队伍3支，培育志愿者骨干14名，分别完成指标量的158.00%、66.67%、100.00%。（以上数据由社工站提供）。</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从以上数据可知，化龙镇社工站服务指标完成情况良好，在服务进度方面整体把握到位。</w:t>
      </w:r>
    </w:p>
    <w:p>
      <w:pPr>
        <w:pStyle w:val="12"/>
        <w:pageBreakBefore w:val="0"/>
        <w:widowControl w:val="0"/>
        <w:kinsoku/>
        <w:wordWrap/>
        <w:overflowPunct/>
        <w:topLinePunct w:val="0"/>
        <w:autoSpaceDE/>
        <w:autoSpaceDN/>
        <w:bidi w:val="0"/>
        <w:adjustRightInd/>
        <w:snapToGrid/>
        <w:spacing w:after="80" w:line="54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2"/>
        <w:pageBreakBefore w:val="0"/>
        <w:widowControl w:val="0"/>
        <w:kinsoku/>
        <w:wordWrap/>
        <w:overflowPunct/>
        <w:topLinePunct w:val="0"/>
        <w:autoSpaceDE/>
        <w:autoSpaceDN/>
        <w:bidi w:val="0"/>
        <w:adjustRightInd/>
        <w:snapToGrid/>
        <w:spacing w:after="0" w:line="54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通过与社工站主任、相关行政人员访谈，查阅相关资料等方式了解社工站运营管理情况，汇总成以下几点：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bookmarkStart w:id="30" w:name="bookmark31"/>
      <w:bookmarkEnd w:id="30"/>
      <w:r>
        <w:rPr>
          <w:rFonts w:hint="eastAsia" w:ascii="仿宋_GB2312" w:eastAsia="仿宋_GB2312"/>
          <w:color w:val="auto"/>
          <w:sz w:val="32"/>
          <w:szCs w:val="32"/>
          <w:lang w:val="en-US" w:eastAsia="zh-CN"/>
        </w:rPr>
        <w:t>（1）人员配备充足，持证比例高。截至2025年1月31日，社工站项目配备社工符合相关要求，从业两年以上社工16人，占协议社工总人数的88.89%，持续在岗18人，稳岗率为90%，人事资料归档完善，人员考勤清晰。建立了社工个人成长计划，社工继续教育时数达标，培训记录完整。社工站项目负责人自2011年7月起从事社会服务至今，2016年6月取得社会工作师职业水平证书，2016年9月起任本社工站管理岗位，从事社工服务与管理累计年限超过10年，资质和资历符合相关要求。</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服务管理制度齐全，内容详实可执行。能按服务整改机制开展内部评估，监测服务质量；通过各级工作会议，动态监测服务进度，推进日常工作。开展了专业价值伦理规范和服务对象权益保障的相关培训学习、知识测试和个人实践表现的绩效评核。日常管理比较到位，能落实安全管理制度、保持信息公开，意见收集渠道多样。</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（3）项目注重服务宣传。制作了服务宣传册子展示服务情况，定期在微信公众号和居民微信群发布服务信息，积极开展社区活动拓宽服务知晓度，多次获得各级官方媒体的正向报道，宣传效果明显。</w:t>
      </w:r>
    </w:p>
    <w:p>
      <w:pPr>
        <w:pStyle w:val="12"/>
        <w:pageBreakBefore w:val="0"/>
        <w:widowControl w:val="0"/>
        <w:tabs>
          <w:tab w:val="left" w:pos="1355"/>
        </w:tabs>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6"/>
      <w:bookmarkEnd w:id="31"/>
      <w:bookmarkStart w:id="32" w:name="bookmark38"/>
      <w:bookmarkEnd w:id="32"/>
      <w:bookmarkStart w:id="33" w:name="bookmark37"/>
      <w:bookmarkEnd w:id="33"/>
      <w:bookmarkStart w:id="34" w:name="bookmark39"/>
      <w:bookmarkEnd w:id="34"/>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建议进一步加强服务规范。个案流程对结案预估后继续跟进的指引不够清晰，抽查个案文书发现，服务知情同意书中需双方约定的内容未填写，个案的基本信息填写有误。小组工作流程中关于前测工作的指引不够明确，可结合实际情况</w:t>
      </w:r>
      <w:r>
        <w:rPr>
          <w:rFonts w:hint="eastAsia" w:ascii="仿宋_GB2312" w:eastAsia="仿宋_GB2312"/>
          <w:b w:val="0"/>
          <w:bCs w:val="0"/>
          <w:color w:val="auto"/>
          <w:sz w:val="32"/>
          <w:szCs w:val="32"/>
          <w:lang w:val="en-US" w:eastAsia="zh-CN"/>
        </w:rPr>
        <w:t>制定</w:t>
      </w:r>
      <w:r>
        <w:rPr>
          <w:rFonts w:hint="eastAsia" w:ascii="仿宋_GB2312" w:eastAsia="仿宋_GB2312"/>
          <w:b w:val="0"/>
          <w:bCs w:val="0"/>
          <w:color w:val="auto"/>
          <w:sz w:val="32"/>
          <w:szCs w:val="32"/>
          <w:lang w:eastAsia="zh-CN"/>
        </w:rPr>
        <w:t>。探访流程中“探访对象拒绝服务”后的工作指引需优化，可增加服务对象的风险分类及应对措施指引。相关人员反馈意见需有内容记录，片区服务整改的质量水平需进一步提升，上墙标识的信息需及时更新。</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）建议落实服务对象的权益保障，尤其在个案服务和未成年人持续多节参与的小组等服务中，需完善服务知情同意书的签署。</w:t>
      </w:r>
    </w:p>
    <w:p>
      <w:pPr>
        <w:pStyle w:val="12"/>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2"/>
        <w:pageBreakBefore w:val="0"/>
        <w:widowControl w:val="0"/>
        <w:kinsoku/>
        <w:wordWrap/>
        <w:overflowPunct/>
        <w:topLinePunct w:val="0"/>
        <w:autoSpaceDE/>
        <w:autoSpaceDN/>
        <w:bidi w:val="0"/>
        <w:adjustRightInd/>
        <w:snapToGrid/>
        <w:spacing w:after="8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党史学习教育和红色文化基地推广积极。社工站通过“红色课堂”积极开展“一月一党课”等学习教育，协助镇街积极宣传政策、积极开展党建主题活动，“贴心好伙伴”项目和红色“文化基地推广”项目能聚焦特殊困难群体的需求积极调动辖区慈善资源，能聚焦片区特色的爱国主义教育基地培育宣讲队伍、拍摄宣讲视频、促进红色传承。</w:t>
      </w:r>
    </w:p>
    <w:p>
      <w:pPr>
        <w:pStyle w:val="12"/>
        <w:pageBreakBefore w:val="0"/>
        <w:widowControl w:val="0"/>
        <w:kinsoku/>
        <w:wordWrap/>
        <w:overflowPunct/>
        <w:topLinePunct w:val="0"/>
        <w:autoSpaceDE/>
        <w:autoSpaceDN/>
        <w:bidi w:val="0"/>
        <w:adjustRightInd/>
        <w:snapToGrid/>
        <w:spacing w:after="8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共性、个性差异在点、片、站的需求分析和项目设计中的层次规划较过往清晰。社工站在上一期评估后及时完善了需求在点、片、站等不同层级的共性问题和个性差异，并及时完善了各层级的项目化的主题设计，整体项目规划的主题明确、铺排较为合理，“从个体到群体到社区”的服务推进思路较清晰，值得肯定。</w:t>
      </w:r>
    </w:p>
    <w:p>
      <w:pPr>
        <w:pStyle w:val="12"/>
        <w:pageBreakBefore w:val="0"/>
        <w:widowControl w:val="0"/>
        <w:kinsoku/>
        <w:wordWrap/>
        <w:overflowPunct/>
        <w:topLinePunct w:val="0"/>
        <w:autoSpaceDE/>
        <w:autoSpaceDN/>
        <w:bidi w:val="0"/>
        <w:adjustRightInd/>
        <w:snapToGrid/>
        <w:spacing w:after="8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社会资源链接和社区基金筹集有力。社工站积极搭建资源整合平台，积极整合“五社联动”的社区基金解决居民急难愁盼问题，积极开展公益集市，自主链接了辖内爱心企业和单位折合约21.68万元的社会资源，协助筹集了28728元社区基金，“聚善惠民”主题的落实得到了社会支持网络的有力支撑，值得肯定。</w:t>
      </w:r>
    </w:p>
    <w:p>
      <w:pPr>
        <w:pStyle w:val="12"/>
        <w:pageBreakBefore w:val="0"/>
        <w:widowControl w:val="0"/>
        <w:kinsoku/>
        <w:wordWrap/>
        <w:overflowPunct/>
        <w:topLinePunct w:val="0"/>
        <w:autoSpaceDE/>
        <w:autoSpaceDN/>
        <w:bidi w:val="0"/>
        <w:adjustRightInd/>
        <w:snapToGrid/>
        <w:spacing w:after="8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4）社区培育和联动“五社”参与给力。社工站积极撬动“五社联动”的“牵头者”村居推进基层治理和惠民服务，积极联动“实施者”社区社会组织提升社区服务的供给水平和规范化服务，积极发挥“赋能者”社工的专业优势与特长提升服务素质，积极培育“聚力者”社区志愿者持续深化社区志愿服务，截至评估时已新备案了2个社区组织，新培育了3支志愿队伍和14名骨干，培育和联动的量化指标完成优异，值得肯定。</w:t>
      </w:r>
    </w:p>
    <w:p>
      <w:pPr>
        <w:pStyle w:val="12"/>
        <w:pageBreakBefore w:val="0"/>
        <w:widowControl w:val="0"/>
        <w:kinsoku/>
        <w:wordWrap/>
        <w:overflowPunct/>
        <w:topLinePunct w:val="0"/>
        <w:autoSpaceDE/>
        <w:autoSpaceDN/>
        <w:bidi w:val="0"/>
        <w:adjustRightInd/>
        <w:snapToGrid/>
        <w:spacing w:after="80" w:line="54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5）服务成果重视“问题解决清单”和“联动清单”的梳理和总结。社工站重视项目成效的阶段总结和案例提炼，及时总结了社区治理、社区问题和困境帮扶等“问题解决清单”，及时总结了“五社”在联动过程中发挥的资源力量和具体作用，及时整理了社工专业优势发挥的三个“疑难案例”，社会参与度、社会影响力持续提升，在服务评价中，共有120人接受调查，满意度95%以上，值得肯定。</w:t>
      </w:r>
    </w:p>
    <w:p>
      <w:pPr>
        <w:pStyle w:val="12"/>
        <w:pageBreakBefore w:val="0"/>
        <w:widowControl w:val="0"/>
        <w:kinsoku/>
        <w:wordWrap/>
        <w:overflowPunct/>
        <w:topLinePunct w:val="0"/>
        <w:autoSpaceDE/>
        <w:autoSpaceDN/>
        <w:bidi w:val="0"/>
        <w:adjustRightInd/>
        <w:snapToGrid/>
        <w:spacing w:after="80" w:line="54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4"/>
      <w:bookmarkEnd w:id="36"/>
      <w:bookmarkStart w:id="37" w:name="bookmark45"/>
      <w:bookmarkEnd w:id="37"/>
      <w:bookmarkStart w:id="38" w:name="bookmark43"/>
      <w:bookmarkEnd w:id="38"/>
    </w:p>
    <w:p>
      <w:pPr>
        <w:pStyle w:val="12"/>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党建项目对需求的总结和服务的设计有待完善。建议社工站重新梳理与村居委的访谈记录，明确界定共建的关注问题、治理的困难、合作的切入口，进而明确党建项目的主题或回应的问题，以理顺项目逻辑、提升党建服务成效。</w:t>
      </w:r>
    </w:p>
    <w:p>
      <w:pPr>
        <w:pStyle w:val="12"/>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需求分析和服务设计仍待完善。即，社工站层面的需求清单和总结有待梳理清晰，困境对象与社区治理的需求有待分类清晰，问题和原因的区分有待界定清晰，服务设计对策略、目标、思路和“介入要点”等的阐述与分析有待修正。</w:t>
      </w:r>
    </w:p>
    <w:p>
      <w:pPr>
        <w:pStyle w:val="12"/>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（3）项目特色和服务亮点有待加强，</w:t>
      </w:r>
      <w:r>
        <w:rPr>
          <w:rFonts w:hint="eastAsia" w:ascii="仿宋_GB2312" w:eastAsia="仿宋_GB2312"/>
          <w:color w:val="auto"/>
          <w:sz w:val="32"/>
          <w:szCs w:val="32"/>
          <w:lang w:val="en-US" w:eastAsia="zh-CN"/>
        </w:rPr>
        <w:t>分析</w:t>
      </w:r>
      <w:r>
        <w:rPr>
          <w:rFonts w:hint="eastAsia" w:ascii="仿宋_GB2312" w:eastAsia="仿宋_GB2312"/>
          <w:color w:val="auto"/>
          <w:sz w:val="32"/>
          <w:szCs w:val="32"/>
          <w:lang w:eastAsia="zh-CN"/>
        </w:rPr>
        <w:t>汽配、花卉资源丰富等在地丰富资源和“医疗资源短缺”等社区实际</w:t>
      </w:r>
      <w:r>
        <w:rPr>
          <w:rFonts w:hint="eastAsia" w:ascii="仿宋_GB2312" w:eastAsia="仿宋_GB2312"/>
          <w:color w:val="auto"/>
          <w:sz w:val="32"/>
          <w:szCs w:val="32"/>
          <w:lang w:val="en-US" w:eastAsia="zh-CN"/>
        </w:rPr>
        <w:t>问题</w:t>
      </w:r>
      <w:r>
        <w:rPr>
          <w:rFonts w:hint="eastAsia" w:ascii="仿宋_GB2312" w:eastAsia="仿宋_GB2312"/>
          <w:color w:val="auto"/>
          <w:sz w:val="32"/>
          <w:szCs w:val="32"/>
          <w:lang w:eastAsia="zh-CN"/>
        </w:rPr>
        <w:t>。建议社工站在打造品牌项目、提升服务特色时，重点探索汽配、花卉资源与科技研学、园艺治疗的专业结合模式，重点探索联动机制在链接外地医疗资源、补齐健康短板的特色做法，以更快、更好地推动在地服务和机制特色的可持续发展。</w:t>
      </w:r>
    </w:p>
    <w:p>
      <w:pPr>
        <w:pStyle w:val="12"/>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2"/>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第一片区：莘汀村、沙亭村、柏堂村、草堂村、复甦村</w:t>
      </w:r>
    </w:p>
    <w:p>
      <w:pPr>
        <w:pStyle w:val="12"/>
        <w:pageBreakBefore w:val="0"/>
        <w:widowControl w:val="0"/>
        <w:kinsoku/>
        <w:wordWrap/>
        <w:overflowPunct/>
        <w:topLinePunct w:val="0"/>
        <w:autoSpaceDE/>
        <w:autoSpaceDN/>
        <w:bidi w:val="0"/>
        <w:adjustRightInd/>
        <w:snapToGrid/>
        <w:spacing w:after="80" w:line="54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2"/>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bookmarkStart w:id="39" w:name="bookmark47"/>
      <w:bookmarkEnd w:id="39"/>
      <w:bookmarkStart w:id="40" w:name="bookmark48"/>
      <w:bookmarkEnd w:id="40"/>
      <w:bookmarkStart w:id="41" w:name="bookmark46"/>
      <w:bookmarkEnd w:id="4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第一片区的服务执行情况良好，所有指标均能按中期的工作要求完成，其中兜底对象的建档工作均按要求完成。另外社工在台风、寒潮等特殊天气以及重大节日期间，能够做好对兜底对象上全覆盖关怀问候工作，截至中期</w:t>
      </w:r>
      <w:r>
        <w:rPr>
          <w:rFonts w:hint="eastAsia" w:ascii="仿宋_GB2312" w:eastAsia="仿宋_GB2312"/>
          <w:color w:val="auto"/>
          <w:sz w:val="32"/>
          <w:szCs w:val="32"/>
          <w:lang w:val="en-US" w:eastAsia="zh-CN"/>
        </w:rPr>
        <w:t>评估</w:t>
      </w:r>
      <w:r>
        <w:rPr>
          <w:rFonts w:hint="eastAsia" w:ascii="仿宋_GB2312" w:eastAsia="仿宋_GB2312"/>
          <w:color w:val="auto"/>
          <w:sz w:val="32"/>
          <w:szCs w:val="32"/>
          <w:lang w:eastAsia="zh-CN"/>
        </w:rPr>
        <w:t>，已经电访服务了905人次，入户探访了741人次。</w:t>
      </w:r>
    </w:p>
    <w:p>
      <w:pPr>
        <w:pStyle w:val="12"/>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社区治理服务方面，第一片区通过调研和SWOT分析，能够找准社区的需求与资源有效匹配点，制定了爱·护航计划和薪火相传·红星耀化龙计划，其中爱·护航计划在项目设计上能够兼顾考虑个人、家庭、学校和社区四个层面的不同需要并设计了相应的服务，上半年已经开展了3场的未成年人心理健康主题班会课，课程内容设计较贴合该年龄段学生的接受能力水平，通俗易懂，共服务了小学高年级学生共216人次。另外还开展了2个未成年人保护相关个案、2个心理健康小组、2场家庭教育主题公益讲座、3场未成年人保护法律政策宣传活动等。</w:t>
      </w:r>
    </w:p>
    <w:p>
      <w:pPr>
        <w:pStyle w:val="12"/>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）在社区多元主体参与方面，社工能够联动复甦小学、立乔建设集团有限公司、6Q教育机构、华师志愿者队伍等多个不同类别的资源主体共同参与到社区服务中。</w:t>
      </w:r>
    </w:p>
    <w:p>
      <w:pPr>
        <w:pStyle w:val="12"/>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在疑难个案的跟进处理方面，第一片区社工展现了专业服务的价值，并充分发挥双工联动的优势，社工站社工有效地处理个案对象因突发陷入疾病和经济困难后的极端负面情绪（轻生）问题，并积极地联动家人发挥好非正式支持的作用，而直聘社工则在资源和政策保障方面发力，解决案主的后顾之忧，最终案主的医疗、经济困境、照顾难题都得到了有效妥当地处理，案主也在养老院得到了良好的照顾。</w:t>
      </w:r>
    </w:p>
    <w:p>
      <w:pPr>
        <w:pStyle w:val="12"/>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第一片区的各个社工点的年度计划在规范性方面需要进一步加强，目前的社工点年度计划中，对于小组和活动并无明确的服务执行时间（即具体到那个月份），只有一个较长的时间跨度。若活动在计划中无具体的开展时间，则会影响服务监测工作的正常开展，因此建议第一片区的各社工点要明确年度计划中各小组和活动的开展时间。</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需求调研工作方面，社工在采取焦点访谈作为调研手段时，要注意保留访谈的具体内容，以更好地做证需求调研的结论，做到有凭有据。如需求调研中关于未成年人保护服务的调研报告中提及对家长、教育工作者进行了面对面的访谈，并得出了相关的调研结论，但现场社工无法提供相关的访谈原始材料，建议补充完善。</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）第一片区的年度计划与沙亭村社工点的年度计划存在不一致的情况。建议根据实际的服务情况，调整年度计划中的内容，确保计划的一致性。</w:t>
      </w:r>
    </w:p>
    <w:p>
      <w:pPr>
        <w:pStyle w:val="12"/>
        <w:pageBreakBefore w:val="0"/>
        <w:widowControl w:val="0"/>
        <w:kinsoku/>
        <w:wordWrap/>
        <w:overflowPunct/>
        <w:topLinePunct w:val="0"/>
        <w:autoSpaceDE/>
        <w:autoSpaceDN/>
        <w:bidi w:val="0"/>
        <w:adjustRightInd/>
        <w:snapToGrid/>
        <w:spacing w:after="0" w:line="540" w:lineRule="exact"/>
        <w:ind w:left="0" w:leftChars="0" w:firstLine="642" w:firstLineChars="200"/>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第二</w:t>
      </w:r>
      <w:r>
        <w:rPr>
          <w:rFonts w:hint="eastAsia" w:ascii="仿宋_GB2312" w:eastAsia="仿宋_GB2312"/>
          <w:b/>
          <w:bCs/>
          <w:color w:val="auto"/>
          <w:sz w:val="32"/>
          <w:szCs w:val="32"/>
          <w:highlight w:val="none"/>
          <w:lang w:eastAsia="zh-CN"/>
        </w:rPr>
        <w:t>片区：</w:t>
      </w:r>
      <w:r>
        <w:rPr>
          <w:rFonts w:hint="eastAsia" w:ascii="仿宋_GB2312" w:eastAsia="仿宋_GB2312"/>
          <w:b/>
          <w:bCs/>
          <w:color w:val="auto"/>
          <w:sz w:val="32"/>
          <w:szCs w:val="32"/>
          <w:highlight w:val="none"/>
          <w:lang w:val="en-US" w:eastAsia="zh-CN"/>
        </w:rPr>
        <w:t>东南村、水门村、塘头村、化龙社区、盛龙社区</w:t>
      </w:r>
    </w:p>
    <w:p>
      <w:pPr>
        <w:pStyle w:val="12"/>
        <w:pageBreakBefore w:val="0"/>
        <w:widowControl w:val="0"/>
        <w:numPr>
          <w:ilvl w:val="0"/>
          <w:numId w:val="4"/>
        </w:numPr>
        <w:tabs>
          <w:tab w:val="left" w:pos="972"/>
        </w:tabs>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bookmarkStart w:id="42" w:name="bookmark57"/>
      <w:bookmarkEnd w:id="42"/>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8"/>
      <w:bookmarkEnd w:id="43"/>
      <w:bookmarkStart w:id="44" w:name="bookmark59"/>
      <w:bookmarkEnd w:id="44"/>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bookmarkStart w:id="45" w:name="bookmark60"/>
      <w:bookmarkEnd w:id="45"/>
      <w:r>
        <w:rPr>
          <w:rFonts w:hint="eastAsia" w:ascii="仿宋_GB2312" w:eastAsia="仿宋_GB2312"/>
          <w:color w:val="auto"/>
          <w:sz w:val="32"/>
          <w:szCs w:val="32"/>
          <w:lang w:val="en-US" w:eastAsia="zh-CN"/>
        </w:rPr>
        <w:t>（1）社工关注兜底人群服务，制定困难群体和特殊群体跟进机制，为17类困难群众和特殊群体提供多种服务。各个社工点已经实现100%全覆盖建档。社工对出现特殊情况的服务对象，能积极发挥作用，服务跟进到位。</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片区周期服务逻辑清晰，服务落地执行情况、指标完成情况良好。社工在片区、5个站点、特色项目均开展了需求调研，并在此基础上制定了相应的服务计划，服务过程记录呈现清晰。社工的专业服务能力较好，能够深入社区落实对困难群众和特殊群体的服务，并形成了3篇服务案例。</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该片区积极构建社区慈善参与平台，成功举办了慈善社区我先行——华龙镇“99公益日”宣传活动，共募集社区基金超过2万元。通过积极联动党员和社区居民，采用五社联动的方式，有效促进了志愿者和社区社会组织参与社区治理，使服务得以沉淀和推广，形成了“齐聚力，筑平安”平安社区营造项目品牌建设，并获得了国家、省、市、街道等多家媒体的19篇报道。</w:t>
      </w:r>
    </w:p>
    <w:p>
      <w:pPr>
        <w:pStyle w:val="12"/>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color w:val="auto"/>
          <w:sz w:val="32"/>
          <w:szCs w:val="32"/>
          <w:lang w:val="en-US" w:eastAsia="zh-CN"/>
        </w:rPr>
      </w:pPr>
      <w:bookmarkStart w:id="46" w:name="bookmark62"/>
      <w:bookmarkEnd w:id="46"/>
      <w:bookmarkStart w:id="47" w:name="bookmark61"/>
      <w:bookmarkEnd w:id="47"/>
      <w:r>
        <w:rPr>
          <w:rFonts w:hint="eastAsia" w:ascii="仿宋_GB2312" w:eastAsia="仿宋_GB2312"/>
          <w:color w:val="auto"/>
          <w:sz w:val="32"/>
          <w:szCs w:val="32"/>
          <w:lang w:val="en-US" w:eastAsia="zh-CN"/>
        </w:rPr>
        <w:t>（1）建议应进一步加强针对困难群众和特殊群体的服务工作。在对这些群体的服务需求进行调研时，报告应更细致地将服务对象和服务需求进行分层分类。除了关注心理健康和社会支持之外，还需全面评估和分析服务对象的生存环境。此外，服务计划的制定也需进一步优化，应根据服务对象的具体需求来设定服务目标，并制定详细清晰的介入步骤，以便更好地针对性服务困难群众和特殊群体。优化《服务对象家庭信息汇总表》，清晰呈现困难群众和特殊群众底数以及分类等情况。</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（2）建议进一步强化专业服务能力。在审阅了目前的个案服务情况后，建议加强对于服务对象的详细评估分析以及社工介入的具体情况，并注意文书资料的呈现。</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3）特色服务项目的构建需与区域内困难群众及特殊群体的实际情况相结合，进一步深化调研报告和服务成效的呈现，以凸显五社联动在参与17类兜底人群服务中的关键作用，有效解决困难群体及特殊群体的问题，使服务更加精准。 </w:t>
      </w:r>
    </w:p>
    <w:p>
      <w:pPr>
        <w:pStyle w:val="12"/>
        <w:pageBreakBefore w:val="0"/>
        <w:widowControl w:val="0"/>
        <w:kinsoku/>
        <w:wordWrap/>
        <w:overflowPunct/>
        <w:topLinePunct w:val="0"/>
        <w:autoSpaceDE/>
        <w:autoSpaceDN/>
        <w:bidi w:val="0"/>
        <w:adjustRightInd/>
        <w:snapToGrid/>
        <w:spacing w:after="0" w:line="540" w:lineRule="exact"/>
        <w:ind w:left="0" w:leftChars="0"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第三</w:t>
      </w:r>
      <w:r>
        <w:rPr>
          <w:rFonts w:hint="eastAsia" w:ascii="仿宋_GB2312" w:eastAsia="仿宋_GB2312"/>
          <w:b/>
          <w:bCs/>
          <w:color w:val="auto"/>
          <w:sz w:val="32"/>
          <w:szCs w:val="32"/>
          <w:lang w:eastAsia="zh-CN"/>
        </w:rPr>
        <w:t>片区：</w:t>
      </w:r>
      <w:r>
        <w:rPr>
          <w:rFonts w:hint="eastAsia" w:ascii="仿宋_GB2312" w:eastAsia="仿宋_GB2312"/>
          <w:b/>
          <w:bCs/>
          <w:color w:val="auto"/>
          <w:sz w:val="32"/>
          <w:szCs w:val="32"/>
          <w:lang w:val="en-US" w:eastAsia="zh-CN"/>
        </w:rPr>
        <w:t>明经村、潭山村、西山村、山门村、眉山村</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2"/>
        <w:pageBreakBefore w:val="0"/>
        <w:widowControl w:val="0"/>
        <w:numPr>
          <w:ilvl w:val="0"/>
          <w:numId w:val="5"/>
        </w:numPr>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bookmarkStart w:id="48" w:name="bookmark65"/>
      <w:bookmarkEnd w:id="48"/>
      <w:bookmarkStart w:id="49" w:name="bookmark66"/>
      <w:bookmarkEnd w:id="49"/>
      <w:bookmarkStart w:id="50" w:name="bookmark63"/>
      <w:bookmarkEnd w:id="50"/>
      <w:bookmarkStart w:id="51" w:name="bookmark64"/>
      <w:bookmarkEnd w:id="51"/>
      <w:r>
        <w:rPr>
          <w:rFonts w:hint="eastAsia" w:ascii="仿宋_GB2312" w:eastAsia="仿宋_GB2312"/>
          <w:color w:val="auto"/>
          <w:sz w:val="32"/>
          <w:szCs w:val="32"/>
          <w:lang w:eastAsia="zh-CN"/>
        </w:rPr>
        <w:t>社工能够根据分层分类的结果，对困难群众和特殊群体进行常态化跟进，及时发现问题，及时回应日常需求，取得较好的社会成效。</w:t>
      </w:r>
    </w:p>
    <w:p>
      <w:pPr>
        <w:pStyle w:val="12"/>
        <w:pageBreakBefore w:val="0"/>
        <w:widowControl w:val="0"/>
        <w:numPr>
          <w:ilvl w:val="0"/>
          <w:numId w:val="5"/>
        </w:numPr>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社工积极联动事务性岗位社工开展政策宣传，并融入专业思考，以通俗易懂的语言，以喜闻乐见的方式开展服务，提高了服务对象对政策的知晓率与利用率。</w:t>
      </w:r>
    </w:p>
    <w:p>
      <w:pPr>
        <w:pStyle w:val="12"/>
        <w:pageBreakBefore w:val="0"/>
        <w:widowControl w:val="0"/>
        <w:numPr>
          <w:ilvl w:val="0"/>
          <w:numId w:val="5"/>
        </w:numPr>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紧跟片区服务对象的健康需求，联动医疗机构和</w:t>
      </w:r>
      <w:r>
        <w:rPr>
          <w:rFonts w:hint="eastAsia" w:ascii="仿宋_GB2312" w:eastAsia="仿宋_GB2312"/>
          <w:color w:val="auto"/>
          <w:sz w:val="32"/>
          <w:szCs w:val="32"/>
          <w:lang w:val="en-US" w:eastAsia="zh-CN"/>
        </w:rPr>
        <w:t>才</w:t>
      </w:r>
      <w:r>
        <w:rPr>
          <w:rFonts w:hint="eastAsia" w:ascii="仿宋_GB2312" w:eastAsia="仿宋_GB2312"/>
          <w:color w:val="auto"/>
          <w:sz w:val="32"/>
          <w:szCs w:val="32"/>
          <w:lang w:eastAsia="zh-CN"/>
        </w:rPr>
        <w:t>志愿队开展义诊及入户探访，让服务对象对自身健康问题有更加全面地认识，提升其健康管理水平，减少突发健康问题对生活的冲击。</w:t>
      </w:r>
    </w:p>
    <w:p>
      <w:pPr>
        <w:pStyle w:val="12"/>
        <w:pageBreakBefore w:val="0"/>
        <w:widowControl w:val="0"/>
        <w:numPr>
          <w:ilvl w:val="0"/>
          <w:numId w:val="5"/>
        </w:numPr>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以“文化振兴”为项目的切入点，从资产为本等四个维度搭建，搭建传统文化传承与推广项目框架，形成较为成熟的项目实施体系，对特色品牌塑造与实现文化的价值具有正向推动作用。</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color w:val="auto"/>
          <w:sz w:val="32"/>
          <w:szCs w:val="32"/>
          <w:lang w:eastAsia="zh-CN"/>
        </w:rPr>
      </w:pPr>
      <w:bookmarkStart w:id="52" w:name="bookmark67"/>
      <w:bookmarkEnd w:id="52"/>
      <w:bookmarkStart w:id="53" w:name="bookmark69"/>
      <w:bookmarkEnd w:id="53"/>
      <w:bookmarkStart w:id="54" w:name="bookmark68"/>
      <w:bookmarkEnd w:id="54"/>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社工对问题把握和需求评估比较到位、全面，但服务介入思路并不是十分清晰，建议从提高服务内部逻辑性进行关注。片区内部要建立相互监督，相互审核的工作机制，强化内部沟通与协作，从而不断提升服务质量。</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善”治化龙与聚“善”惠民中的“善”是否为同一内涵？“善”的精神内核是什么，与传统文化传承推广有何联系，对解决社区问题又有何指导意义？如何通过“善”将“乡韵传承”与“贴心好伙伴”两个项目结合产生联动效应等等，建议片区社工针对以上问题进行深入思考。</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2"/>
        <w:pageBreakBefore w:val="0"/>
        <w:widowControl w:val="0"/>
        <w:kinsoku/>
        <w:wordWrap/>
        <w:overflowPunct/>
        <w:topLinePunct w:val="0"/>
        <w:autoSpaceDE/>
        <w:autoSpaceDN/>
        <w:bidi w:val="0"/>
        <w:adjustRightInd/>
        <w:snapToGrid/>
        <w:spacing w:after="80" w:line="54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2"/>
        <w:pageBreakBefore w:val="0"/>
        <w:widowControl w:val="0"/>
        <w:kinsoku/>
        <w:wordWrap/>
        <w:overflowPunct/>
        <w:topLinePunct w:val="0"/>
        <w:autoSpaceDE/>
        <w:autoSpaceDN/>
        <w:bidi w:val="0"/>
        <w:adjustRightInd/>
        <w:snapToGrid/>
        <w:spacing w:after="0" w:line="540" w:lineRule="exact"/>
        <w:ind w:firstLine="578"/>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化龙镇人民政府</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社工站人员工作态度认真负责，在日常工作中与村居保持紧密协作，能够积极主动完成各项任务，并能协助镇政府应对各种突发工作。</w:t>
      </w:r>
    </w:p>
    <w:p>
      <w:pPr>
        <w:pStyle w:val="12"/>
        <w:pageBreakBefore w:val="0"/>
        <w:widowControl w:val="0"/>
        <w:kinsoku/>
        <w:wordWrap/>
        <w:overflowPunct/>
        <w:topLinePunct w:val="0"/>
        <w:autoSpaceDE/>
        <w:autoSpaceDN/>
        <w:bidi w:val="0"/>
        <w:adjustRightInd/>
        <w:snapToGrid/>
        <w:spacing w:after="0" w:line="54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40" w:lineRule="exact"/>
        <w:ind w:firstLine="74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化龙镇人民政府</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社工站需进一步强化专业人才队伍建设，保障团队骨干力量。</w:t>
      </w:r>
    </w:p>
    <w:p>
      <w:pPr>
        <w:pStyle w:val="12"/>
        <w:keepNext w:val="0"/>
        <w:keepLines w:val="0"/>
        <w:pageBreakBefore w:val="0"/>
        <w:widowControl w:val="0"/>
        <w:numPr>
          <w:ilvl w:val="0"/>
          <w:numId w:val="6"/>
        </w:numPr>
        <w:kinsoku/>
        <w:wordWrap/>
        <w:overflowPunct/>
        <w:topLinePunct w:val="0"/>
        <w:autoSpaceDE/>
        <w:autoSpaceDN/>
        <w:bidi w:val="0"/>
        <w:adjustRightInd/>
        <w:snapToGrid/>
        <w:spacing w:after="120" w:line="54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团队重视社工专业能力提升，按需制定具体的社工专业能力提升计划，打造以督导、培训、交流等为核心的多层次、立体化培养体系，建立内部共学机制并严格落实，同时定期收集社工的反馈评价，开展项目团队及社工个人的阶段性成长总结，有助于检视成效，不断优化能力提升体系。</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团队重视双工双岗联动服务，针对较为清晰的工作联动指引，明确界定联动内容，定频定量，有效指导项目社工与直聘社工、村居密切联动，协同开展入户探访、帮扶救助、义诊等服务，有效整合了服务力量，值得肯定。</w:t>
      </w:r>
    </w:p>
    <w:p>
      <w:pPr>
        <w:pStyle w:val="12"/>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（3）社工站重视服务宣传及实务研究工作，一方面通过视频制作、简报编撰、活动通信传播等方式扩大社工站服务知晓度，另一方面鼓励社</w:t>
      </w:r>
    </w:p>
    <w:p>
      <w:pPr>
        <w:pStyle w:val="12"/>
        <w:pageBreakBefore w:val="0"/>
        <w:widowControl w:val="0"/>
        <w:kinsoku/>
        <w:wordWrap/>
        <w:overflowPunct/>
        <w:topLinePunct w:val="0"/>
        <w:autoSpaceDE/>
        <w:autoSpaceDN/>
        <w:bidi w:val="0"/>
        <w:adjustRightInd/>
        <w:snapToGrid/>
        <w:spacing w:after="0" w:line="540" w:lineRule="exact"/>
        <w:ind w:left="0" w:leftChars="0" w:firstLine="0" w:firstLineChars="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工团队结合服务实践深入总结研究，积极书写，其中案例《文化志愿者助力乡村文化焕发新活力》刊登于《社区文化》，展示项目的工作成果和社工专业能力。</w:t>
      </w:r>
    </w:p>
    <w:p>
      <w:pPr>
        <w:pStyle w:val="12"/>
        <w:pageBreakBefore w:val="0"/>
        <w:widowControl w:val="0"/>
        <w:kinsoku/>
        <w:wordWrap/>
        <w:overflowPunct/>
        <w:topLinePunct w:val="0"/>
        <w:autoSpaceDE/>
        <w:autoSpaceDN/>
        <w:bidi w:val="0"/>
        <w:adjustRightInd/>
        <w:snapToGrid/>
        <w:spacing w:after="0" w:line="540" w:lineRule="exact"/>
        <w:ind w:left="0" w:leftChars="0"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2"/>
        <w:pageBreakBefore w:val="0"/>
        <w:widowControl w:val="0"/>
        <w:kinsoku/>
        <w:wordWrap/>
        <w:overflowPunct/>
        <w:topLinePunct w:val="0"/>
        <w:autoSpaceDE/>
        <w:autoSpaceDN/>
        <w:bidi w:val="0"/>
        <w:adjustRightInd/>
        <w:snapToGrid/>
        <w:spacing w:after="0" w:line="540" w:lineRule="exact"/>
        <w:ind w:firstLine="6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建议项目持续优化内部共学策略，鼓励内部经验资源交流共享，培养内部导师种子，鼓励团队成员主动参与共学组织工作，以实践中遇到的难题和困难作为主要共学议题，从而提高社工自身的分析能力、总结能力、写作能力和组织能力，同时也推动产出共学成果，将共学成果应用到实际工作中，实现学用的有效转化，进一步提高社工服务的质量和效果。</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2"/>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化龙镇</w:t>
      </w:r>
      <w:r>
        <w:rPr>
          <w:rFonts w:hint="eastAsia" w:ascii="仿宋_GB2312" w:eastAsia="仿宋_GB2312"/>
          <w:color w:val="auto"/>
          <w:sz w:val="32"/>
          <w:szCs w:val="32"/>
        </w:rPr>
        <w:t>社工站的反馈如下：</w:t>
      </w:r>
      <w:bookmarkStart w:id="55" w:name="bookmark85"/>
      <w:bookmarkEnd w:id="55"/>
    </w:p>
    <w:p>
      <w:pPr>
        <w:pStyle w:val="12"/>
        <w:pageBreakBefore w:val="0"/>
        <w:widowControl w:val="0"/>
        <w:kinsoku/>
        <w:wordWrap/>
        <w:overflowPunct/>
        <w:topLinePunct w:val="0"/>
        <w:autoSpaceDE/>
        <w:autoSpaceDN/>
        <w:bidi w:val="0"/>
        <w:adjustRightInd/>
        <w:snapToGrid/>
        <w:spacing w:after="0" w:line="54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w:t>
      </w:r>
      <w:r>
        <w:rPr>
          <w:rFonts w:hint="eastAsia" w:ascii="仿宋_GB2312" w:eastAsia="仿宋_GB2312" w:hAnsiTheme="minorEastAsia"/>
          <w:color w:val="auto"/>
          <w:sz w:val="32"/>
          <w:szCs w:val="32"/>
          <w:lang w:val="en-US" w:eastAsia="zh-CN"/>
        </w:rPr>
        <w:t>化龙镇</w:t>
      </w:r>
      <w:r>
        <w:rPr>
          <w:rFonts w:hint="eastAsia" w:ascii="仿宋_GB2312" w:eastAsia="仿宋_GB2312" w:hAnsiTheme="minorEastAsia"/>
          <w:color w:val="auto"/>
          <w:sz w:val="32"/>
          <w:szCs w:val="32"/>
          <w:lang w:eastAsia="zh-CN"/>
        </w:rPr>
        <w:t>社工站的情况，进行了现场总结反馈，在总结反馈环节，</w:t>
      </w:r>
      <w:r>
        <w:rPr>
          <w:rFonts w:hint="eastAsia" w:ascii="仿宋_GB2312" w:eastAsia="仿宋_GB2312" w:hAnsiTheme="minorEastAsia"/>
          <w:color w:val="auto"/>
          <w:sz w:val="32"/>
          <w:szCs w:val="32"/>
          <w:lang w:val="en-US" w:eastAsia="zh-CN"/>
        </w:rPr>
        <w:t>化龙镇</w:t>
      </w:r>
      <w:r>
        <w:rPr>
          <w:rFonts w:hint="eastAsia" w:ascii="仿宋_GB2312" w:eastAsia="仿宋_GB2312" w:hAnsiTheme="minorEastAsia"/>
          <w:color w:val="auto"/>
          <w:sz w:val="32"/>
          <w:szCs w:val="32"/>
          <w:lang w:eastAsia="zh-CN"/>
        </w:rPr>
        <w:t>社工站表示对评委们提出的意见和建议无异议。</w:t>
      </w:r>
    </w:p>
    <w:p>
      <w:pPr>
        <w:pStyle w:val="12"/>
        <w:pageBreakBefore w:val="0"/>
        <w:widowControl w:val="0"/>
        <w:kinsoku/>
        <w:wordWrap/>
        <w:overflowPunct/>
        <w:topLinePunct w:val="0"/>
        <w:autoSpaceDE/>
        <w:autoSpaceDN/>
        <w:bidi w:val="0"/>
        <w:adjustRightInd/>
        <w:snapToGrid/>
        <w:spacing w:after="0" w:line="54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w:t>
      </w:r>
      <w:r>
        <w:rPr>
          <w:rFonts w:hint="eastAsia" w:ascii="仿宋_GB2312" w:eastAsia="仿宋_GB2312" w:hAnsiTheme="minorEastAsia"/>
          <w:color w:val="auto"/>
          <w:sz w:val="32"/>
          <w:szCs w:val="32"/>
          <w:lang w:val="en-US" w:eastAsia="zh-CN"/>
        </w:rPr>
        <w:t>化龙镇人民政府</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化龙镇</w:t>
      </w:r>
      <w:r>
        <w:rPr>
          <w:rFonts w:hint="eastAsia" w:ascii="仿宋_GB2312" w:eastAsia="仿宋_GB2312" w:hAnsiTheme="minorEastAsia"/>
          <w:color w:val="auto"/>
          <w:sz w:val="32"/>
          <w:szCs w:val="32"/>
          <w:lang w:eastAsia="zh-CN"/>
        </w:rPr>
        <w:t>社工站对评估报告初稿无异议。</w:t>
      </w:r>
    </w:p>
    <w:p>
      <w:pPr>
        <w:pStyle w:val="10"/>
        <w:keepNext/>
        <w:keepLines/>
        <w:pageBreakBefore w:val="0"/>
        <w:widowControl w:val="0"/>
        <w:kinsoku/>
        <w:wordWrap/>
        <w:overflowPunct/>
        <w:topLinePunct w:val="0"/>
        <w:autoSpaceDE/>
        <w:autoSpaceDN/>
        <w:bidi w:val="0"/>
        <w:adjustRightInd/>
        <w:snapToGrid/>
        <w:spacing w:before="0" w:after="0" w:line="540" w:lineRule="exact"/>
        <w:ind w:firstLine="642" w:firstLineChars="200"/>
        <w:jc w:val="both"/>
        <w:textAlignment w:val="auto"/>
        <w:rPr>
          <w:rFonts w:ascii="方正小标宋简体" w:eastAsia="方正小标宋简体"/>
          <w:b/>
          <w:bCs/>
          <w:color w:val="auto"/>
          <w:sz w:val="32"/>
          <w:szCs w:val="28"/>
          <w:lang w:val="en-US"/>
        </w:rPr>
      </w:pPr>
      <w:bookmarkStart w:id="56" w:name="bookmark86"/>
      <w:r>
        <w:rPr>
          <w:rFonts w:hint="eastAsia" w:ascii="方正小标宋简体" w:eastAsia="方正小标宋简体"/>
          <w:b/>
          <w:bCs/>
          <w:color w:val="auto"/>
          <w:sz w:val="32"/>
          <w:szCs w:val="28"/>
          <w:lang w:val="en-US"/>
        </w:rPr>
        <w:t>四</w:t>
      </w:r>
      <w:bookmarkEnd w:id="56"/>
      <w:r>
        <w:rPr>
          <w:rFonts w:hint="eastAsia" w:ascii="方正小标宋简体" w:eastAsia="方正小标宋简体"/>
          <w:b/>
          <w:bCs/>
          <w:color w:val="auto"/>
          <w:sz w:val="32"/>
          <w:szCs w:val="28"/>
          <w:lang w:val="en-US"/>
        </w:rPr>
        <w:t>、评估等级</w:t>
      </w:r>
    </w:p>
    <w:p>
      <w:pPr>
        <w:pStyle w:val="12"/>
        <w:pageBreakBefore w:val="0"/>
        <w:widowControl w:val="0"/>
        <w:kinsoku/>
        <w:wordWrap/>
        <w:overflowPunct/>
        <w:topLinePunct w:val="0"/>
        <w:autoSpaceDE/>
        <w:autoSpaceDN/>
        <w:bidi w:val="0"/>
        <w:adjustRightInd/>
        <w:snapToGrid/>
        <w:spacing w:after="120" w:line="54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2"/>
        <w:pageBreakBefore w:val="0"/>
        <w:widowControl w:val="0"/>
        <w:kinsoku/>
        <w:wordWrap/>
        <w:overflowPunct/>
        <w:topLinePunct w:val="0"/>
        <w:autoSpaceDE/>
        <w:autoSpaceDN/>
        <w:bidi w:val="0"/>
        <w:adjustRightInd/>
        <w:snapToGrid/>
        <w:spacing w:after="120" w:line="54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eastAsia="仿宋_GB2312" w:hAnsiTheme="minorEastAsia"/>
          <w:color w:val="auto"/>
          <w:sz w:val="32"/>
          <w:szCs w:val="32"/>
          <w:lang w:val="en-US" w:eastAsia="zh-CN"/>
        </w:rPr>
        <w:t>化龙镇</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中期</w:t>
      </w:r>
      <w:r>
        <w:rPr>
          <w:rFonts w:hint="eastAsia" w:ascii="仿宋_GB2312" w:eastAsia="仿宋_GB2312"/>
          <w:color w:val="auto"/>
          <w:sz w:val="32"/>
          <w:szCs w:val="32"/>
        </w:rPr>
        <w:t>评估的等级</w:t>
      </w:r>
      <w:r>
        <w:rPr>
          <w:rFonts w:hint="eastAsia" w:ascii="仿宋_GB2312" w:eastAsia="仿宋_GB2312"/>
          <w:color w:val="auto"/>
          <w:sz w:val="32"/>
          <w:szCs w:val="32"/>
          <w:highlight w:val="none"/>
        </w:rPr>
        <w:t>为</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良好</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lang w:val="en-US" w:eastAsia="zh-CN"/>
        </w:rPr>
        <w:t>89.77</w:t>
      </w:r>
      <w:r>
        <w:rPr>
          <w:rFonts w:ascii="仿宋_GB2312" w:eastAsia="仿宋_GB2312"/>
          <w:b/>
          <w:sz w:val="32"/>
          <w:szCs w:val="32"/>
          <w:highlight w:val="none"/>
          <w:lang w:val="en-US" w:eastAsia="zh-CN"/>
        </w:rPr>
        <w:t>分</w:t>
      </w:r>
      <w:r>
        <w:rPr>
          <w:rFonts w:hint="eastAsia" w:ascii="仿宋_GB2312" w:eastAsia="仿宋_GB2312"/>
          <w:b/>
          <w:color w:val="auto"/>
          <w:sz w:val="32"/>
          <w:szCs w:val="32"/>
          <w:highlight w:val="none"/>
          <w:lang w:eastAsia="zh-CN"/>
        </w:rPr>
        <w:t>）</w:t>
      </w:r>
      <w:r>
        <w:rPr>
          <w:rFonts w:hint="eastAsia" w:ascii="仿宋_GB2312" w:eastAsia="仿宋_GB2312"/>
          <w:color w:val="auto"/>
          <w:sz w:val="32"/>
          <w:szCs w:val="32"/>
        </w:rPr>
        <w:t>。</w:t>
      </w:r>
    </w:p>
    <w:p>
      <w:pPr>
        <w:pStyle w:val="12"/>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2"/>
              <w:spacing w:after="0" w:line="560" w:lineRule="exact"/>
              <w:jc w:val="center"/>
              <w:rPr>
                <w:rFonts w:ascii="仿宋_GB2312" w:hAnsi="仿宋_GB2312" w:eastAsia="仿宋_GB2312" w:cs="仿宋_GB2312"/>
                <w:b/>
                <w:bCs/>
                <w:lang w:val="en-US" w:eastAsia="zh-CN"/>
              </w:rPr>
            </w:pPr>
            <w:bookmarkStart w:id="57"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9.87</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11</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9.4</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第一</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eastAsia"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15.3</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第二</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15.4</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第三</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15.2</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highlight w:val="none"/>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highlight w:val="yellow"/>
                <w:lang w:eastAsia="zh-CN" w:bidi="ar"/>
              </w:rPr>
            </w:pPr>
            <w:r>
              <w:rPr>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2"/>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89.77</w:t>
            </w:r>
          </w:p>
        </w:tc>
      </w:tr>
    </w:tbl>
    <w:p>
      <w:pPr>
        <w:pStyle w:val="10"/>
        <w:keepNext/>
        <w:keepLines/>
        <w:spacing w:before="0" w:after="0" w:line="560" w:lineRule="exact"/>
        <w:ind w:firstLine="642" w:firstLineChars="200"/>
        <w:jc w:val="both"/>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7"/>
      <w:r>
        <w:rPr>
          <w:rFonts w:hint="eastAsia" w:ascii="方正小标宋简体" w:eastAsia="方正小标宋简体"/>
          <w:b/>
          <w:bCs/>
          <w:color w:val="auto"/>
          <w:sz w:val="32"/>
          <w:szCs w:val="28"/>
          <w:lang w:val="en-US"/>
        </w:rPr>
        <w:t>、结语</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hAnsiTheme="minorEastAsia"/>
          <w:color w:val="auto"/>
          <w:sz w:val="32"/>
          <w:szCs w:val="32"/>
          <w:lang w:val="en-US" w:eastAsia="zh-CN"/>
        </w:rPr>
        <w:t>化龙镇</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化龙镇党委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化龙镇人民政府</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广州市番禺区普爱社会工作服务社</w:t>
      </w:r>
      <w:r>
        <w:rPr>
          <w:rFonts w:hint="eastAsia" w:ascii="仿宋_GB2312" w:eastAsia="仿宋_GB2312"/>
          <w:color w:val="auto"/>
          <w:sz w:val="32"/>
          <w:szCs w:val="32"/>
        </w:rPr>
        <w:t>的努力下，</w:t>
      </w:r>
      <w:r>
        <w:rPr>
          <w:rFonts w:hint="eastAsia" w:ascii="仿宋_GB2312" w:eastAsia="仿宋_GB2312"/>
          <w:color w:val="auto"/>
          <w:sz w:val="32"/>
          <w:szCs w:val="32"/>
          <w:lang w:eastAsia="zh-CN"/>
        </w:rPr>
        <w:t>能</w:t>
      </w:r>
      <w:r>
        <w:rPr>
          <w:rFonts w:hint="eastAsia" w:ascii="仿宋_GB2312" w:eastAsia="仿宋_GB2312"/>
          <w:color w:val="auto"/>
          <w:sz w:val="32"/>
          <w:szCs w:val="32"/>
          <w:lang w:val="en-US" w:eastAsia="zh-CN"/>
        </w:rPr>
        <w:t>坚持党的领导，积极配合镇政府的相关工作；项目人员配备充足，持证比例高；内部</w:t>
      </w:r>
      <w:r>
        <w:rPr>
          <w:rFonts w:hint="default" w:ascii="仿宋_GB2312" w:eastAsia="仿宋_GB2312" w:hAnsiTheme="minorEastAsia"/>
          <w:color w:val="auto"/>
          <w:sz w:val="32"/>
          <w:szCs w:val="32"/>
          <w:lang w:val="en-US" w:eastAsia="zh-CN"/>
        </w:rPr>
        <w:t>服务管理制度齐全，</w:t>
      </w:r>
      <w:r>
        <w:rPr>
          <w:rFonts w:hint="eastAsia" w:ascii="仿宋_GB2312" w:eastAsia="仿宋_GB2312"/>
          <w:color w:val="auto"/>
          <w:sz w:val="32"/>
          <w:szCs w:val="32"/>
          <w:lang w:val="en-US" w:eastAsia="zh-CN"/>
        </w:rPr>
        <w:t>协助镇街积极宣传政策、积极开展党建主题活动，</w:t>
      </w:r>
      <w:r>
        <w:rPr>
          <w:rFonts w:hint="eastAsia" w:ascii="仿宋_GB2312" w:eastAsia="仿宋_GB2312"/>
          <w:color w:val="auto"/>
          <w:sz w:val="32"/>
          <w:szCs w:val="32"/>
          <w:lang w:eastAsia="zh-CN"/>
        </w:rPr>
        <w:t>能够根据分层分类的结果，对困难群众和特殊群体进行常态化跟进，及时发现问题，及时回应日常需求，</w:t>
      </w:r>
      <w:r>
        <w:rPr>
          <w:rFonts w:hint="eastAsia" w:ascii="仿宋_GB2312" w:eastAsia="仿宋_GB2312" w:hAnsiTheme="minorEastAsia"/>
          <w:color w:val="auto"/>
          <w:sz w:val="32"/>
          <w:szCs w:val="32"/>
          <w:lang w:val="en-US" w:eastAsia="zh-CN"/>
        </w:rPr>
        <w:t>重视服务宣传及实务案例研究提炼</w:t>
      </w:r>
      <w:r>
        <w:rPr>
          <w:rFonts w:hint="eastAsia" w:ascii="仿宋_GB2312" w:eastAsia="仿宋_GB2312"/>
          <w:color w:val="auto"/>
          <w:sz w:val="32"/>
          <w:szCs w:val="32"/>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建议社工站需进一步强化专业人才队伍建设，保障团队骨干力量；</w:t>
      </w:r>
      <w:r>
        <w:rPr>
          <w:rFonts w:hint="eastAsia" w:ascii="仿宋_GB2312" w:eastAsia="仿宋_GB2312"/>
          <w:color w:val="auto"/>
          <w:sz w:val="32"/>
          <w:szCs w:val="32"/>
          <w:lang w:eastAsia="zh-CN"/>
        </w:rPr>
        <w:t>加强针对困难群众和特殊群体的服务工作；</w:t>
      </w:r>
      <w:r>
        <w:rPr>
          <w:rFonts w:hint="eastAsia" w:ascii="仿宋_GB2312" w:eastAsia="仿宋_GB2312"/>
          <w:color w:val="auto"/>
          <w:sz w:val="32"/>
          <w:szCs w:val="32"/>
          <w:lang w:val="en-US" w:eastAsia="zh-CN"/>
        </w:rPr>
        <w:t>强化专业服务能力，深化调研报告和服务成效的呈现。建议重新梳理与村居委的访谈记录，明确界定共建的关注问题、治理的困难、合作的切入口，进而明确党建项目的主题或回应的问题，以理顺项目逻辑、提升党建服务成效。</w:t>
      </w:r>
    </w:p>
    <w:p>
      <w:pPr>
        <w:pStyle w:val="2"/>
        <w:rPr>
          <w:sz w:val="32"/>
          <w:szCs w:val="32"/>
          <w:lang w:eastAsia="zh-CN"/>
        </w:rPr>
      </w:pPr>
    </w:p>
    <w:p>
      <w:pPr>
        <w:pStyle w:val="2"/>
        <w:rPr>
          <w:sz w:val="32"/>
          <w:szCs w:val="32"/>
          <w:lang w:eastAsia="zh-CN"/>
        </w:rPr>
      </w:pPr>
    </w:p>
    <w:p>
      <w:pPr>
        <w:rPr>
          <w:lang w:eastAsia="zh-CN"/>
        </w:rPr>
      </w:pPr>
    </w:p>
    <w:p>
      <w:pPr>
        <w:tabs>
          <w:tab w:val="left" w:pos="7330"/>
        </w:tabs>
        <w:spacing w:line="560" w:lineRule="exact"/>
        <w:ind w:firstLine="5120" w:firstLineChars="16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pStyle w:val="12"/>
        <w:spacing w:after="160" w:line="360" w:lineRule="auto"/>
        <w:ind w:firstLine="6080" w:firstLineChars="1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Am1Vpz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D68B3"/>
    <w:multiLevelType w:val="singleLevel"/>
    <w:tmpl w:val="B6AD68B3"/>
    <w:lvl w:ilvl="0" w:tentative="0">
      <w:start w:val="1"/>
      <w:numFmt w:val="decimal"/>
      <w:suff w:val="nothing"/>
      <w:lvlText w:val="（%1）"/>
      <w:lvlJc w:val="left"/>
    </w:lvl>
  </w:abstractNum>
  <w:abstractNum w:abstractNumId="1">
    <w:nsid w:val="C7167EC6"/>
    <w:multiLevelType w:val="singleLevel"/>
    <w:tmpl w:val="C7167EC6"/>
    <w:lvl w:ilvl="0" w:tentative="0">
      <w:start w:val="7"/>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3">
    <w:nsid w:val="00000002"/>
    <w:multiLevelType w:val="singleLevel"/>
    <w:tmpl w:val="00000002"/>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4">
    <w:nsid w:val="00000004"/>
    <w:multiLevelType w:val="singleLevel"/>
    <w:tmpl w:val="00000004"/>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abstractNum w:abstractNumId="5">
    <w:nsid w:val="0053208E"/>
    <w:multiLevelType w:val="singleLevel"/>
    <w:tmpl w:val="0053208E"/>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55DF0"/>
    <w:rsid w:val="00775F46"/>
    <w:rsid w:val="00780069"/>
    <w:rsid w:val="007D05BA"/>
    <w:rsid w:val="008216CC"/>
    <w:rsid w:val="00840E3F"/>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19430D4"/>
    <w:rsid w:val="043B2EAD"/>
    <w:rsid w:val="05CD061E"/>
    <w:rsid w:val="07A04328"/>
    <w:rsid w:val="09BA0A50"/>
    <w:rsid w:val="0CED1904"/>
    <w:rsid w:val="1083680B"/>
    <w:rsid w:val="11894919"/>
    <w:rsid w:val="122C2101"/>
    <w:rsid w:val="12473866"/>
    <w:rsid w:val="1351449B"/>
    <w:rsid w:val="138C2E16"/>
    <w:rsid w:val="17034184"/>
    <w:rsid w:val="19F45A67"/>
    <w:rsid w:val="1CA73D07"/>
    <w:rsid w:val="20F37C9C"/>
    <w:rsid w:val="21635C00"/>
    <w:rsid w:val="231B319B"/>
    <w:rsid w:val="2658430F"/>
    <w:rsid w:val="32794A1C"/>
    <w:rsid w:val="338F274A"/>
    <w:rsid w:val="34C21DA4"/>
    <w:rsid w:val="39D02328"/>
    <w:rsid w:val="3AEE06D4"/>
    <w:rsid w:val="3BB47C7C"/>
    <w:rsid w:val="3BC44428"/>
    <w:rsid w:val="3C734681"/>
    <w:rsid w:val="3CEF4B2F"/>
    <w:rsid w:val="3D0E630E"/>
    <w:rsid w:val="3DE87C02"/>
    <w:rsid w:val="3FD6243D"/>
    <w:rsid w:val="42942629"/>
    <w:rsid w:val="46046F03"/>
    <w:rsid w:val="46CD7A34"/>
    <w:rsid w:val="47A36A87"/>
    <w:rsid w:val="486F624E"/>
    <w:rsid w:val="4A246FC0"/>
    <w:rsid w:val="4A3D3E09"/>
    <w:rsid w:val="4CF338F1"/>
    <w:rsid w:val="4D7C5695"/>
    <w:rsid w:val="4ECA5D66"/>
    <w:rsid w:val="501A5ADD"/>
    <w:rsid w:val="508067FB"/>
    <w:rsid w:val="50892358"/>
    <w:rsid w:val="50A43895"/>
    <w:rsid w:val="52DD6CAC"/>
    <w:rsid w:val="56A40CE5"/>
    <w:rsid w:val="57C86C54"/>
    <w:rsid w:val="5A113973"/>
    <w:rsid w:val="5A4A08C9"/>
    <w:rsid w:val="5C627366"/>
    <w:rsid w:val="5CE67A24"/>
    <w:rsid w:val="5F5631DE"/>
    <w:rsid w:val="5FF0585E"/>
    <w:rsid w:val="639C78DE"/>
    <w:rsid w:val="66FF37C4"/>
    <w:rsid w:val="677E06BF"/>
    <w:rsid w:val="68E464EF"/>
    <w:rsid w:val="68F348EA"/>
    <w:rsid w:val="69557DDE"/>
    <w:rsid w:val="69726A9D"/>
    <w:rsid w:val="6EA83A3B"/>
    <w:rsid w:val="700C6F8E"/>
    <w:rsid w:val="75864A53"/>
    <w:rsid w:val="76001EAB"/>
    <w:rsid w:val="76FA7DCB"/>
    <w:rsid w:val="7B065502"/>
    <w:rsid w:val="7B4C229B"/>
    <w:rsid w:val="7D284F5A"/>
    <w:rsid w:val="7DAC4138"/>
    <w:rsid w:val="7E76499E"/>
    <w:rsid w:val="7FBEFB01"/>
    <w:rsid w:val="F05B4D68"/>
    <w:rsid w:val="FCE3CEFB"/>
    <w:rsid w:val="FFB7C6D9"/>
    <w:rsid w:val="FFFA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0"/>
    <w:qFormat/>
    <w:uiPriority w:val="0"/>
    <w:pPr>
      <w:spacing w:after="120"/>
    </w:pPr>
  </w:style>
  <w:style w:type="paragraph" w:styleId="4">
    <w:name w:val="footer"/>
    <w:basedOn w:val="1"/>
    <w:link w:val="28"/>
    <w:qFormat/>
    <w:uiPriority w:val="0"/>
    <w:pPr>
      <w:tabs>
        <w:tab w:val="center" w:pos="4153"/>
        <w:tab w:val="right" w:pos="8306"/>
      </w:tabs>
      <w:snapToGrid w:val="0"/>
    </w:pPr>
    <w:rPr>
      <w:sz w:val="18"/>
      <w:szCs w:val="18"/>
    </w:rPr>
  </w:style>
  <w:style w:type="paragraph" w:styleId="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1_"/>
    <w:basedOn w:val="8"/>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1">
    <w:name w:val="Body text|1_"/>
    <w:basedOn w:val="8"/>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Header or footer|1_"/>
    <w:basedOn w:val="8"/>
    <w:link w:val="16"/>
    <w:qFormat/>
    <w:uiPriority w:val="0"/>
    <w:rPr>
      <w:rFonts w:ascii="宋体" w:hAnsi="宋体" w:eastAsia="宋体" w:cs="宋体"/>
      <w:sz w:val="26"/>
      <w:szCs w:val="26"/>
      <w:u w:val="none"/>
      <w:shd w:val="clear" w:color="auto" w:fill="auto"/>
      <w:lang w:val="zh-TW" w:eastAsia="zh-TW" w:bidi="zh-TW"/>
    </w:rPr>
  </w:style>
  <w:style w:type="paragraph" w:customStyle="1" w:styleId="16">
    <w:name w:val="Header or footer|1"/>
    <w:basedOn w:val="1"/>
    <w:link w:val="15"/>
    <w:qFormat/>
    <w:uiPriority w:val="0"/>
    <w:rPr>
      <w:rFonts w:ascii="宋体" w:hAnsi="宋体" w:eastAsia="宋体" w:cs="宋体"/>
      <w:sz w:val="26"/>
      <w:szCs w:val="26"/>
      <w:lang w:val="zh-TW" w:eastAsia="zh-TW" w:bidi="zh-TW"/>
    </w:rPr>
  </w:style>
  <w:style w:type="character" w:customStyle="1" w:styleId="17">
    <w:name w:val="Body text|2_"/>
    <w:basedOn w:val="8"/>
    <w:link w:val="18"/>
    <w:qFormat/>
    <w:uiPriority w:val="0"/>
    <w:rPr>
      <w:rFonts w:ascii="宋体" w:hAnsi="宋体" w:eastAsia="宋体" w:cs="宋体"/>
      <w:sz w:val="22"/>
      <w:szCs w:val="22"/>
      <w:u w:val="none"/>
      <w:shd w:val="clear" w:color="auto" w:fill="auto"/>
      <w:lang w:val="zh-TW" w:eastAsia="zh-TW" w:bidi="zh-TW"/>
    </w:rPr>
  </w:style>
  <w:style w:type="paragraph" w:customStyle="1" w:styleId="18">
    <w:name w:val="Body text|2"/>
    <w:basedOn w:val="1"/>
    <w:link w:val="17"/>
    <w:qFormat/>
    <w:uiPriority w:val="0"/>
    <w:pPr>
      <w:spacing w:after="240"/>
    </w:pPr>
    <w:rPr>
      <w:rFonts w:ascii="宋体" w:hAnsi="宋体" w:eastAsia="宋体" w:cs="宋体"/>
      <w:sz w:val="22"/>
      <w:szCs w:val="22"/>
      <w:lang w:val="zh-TW" w:eastAsia="zh-TW" w:bidi="zh-TW"/>
    </w:rPr>
  </w:style>
  <w:style w:type="character" w:customStyle="1" w:styleId="19">
    <w:name w:val="Other|1_"/>
    <w:basedOn w:val="8"/>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Other|1"/>
    <w:basedOn w:val="1"/>
    <w:link w:val="19"/>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1">
    <w:name w:val="Other|2_"/>
    <w:basedOn w:val="8"/>
    <w:link w:val="22"/>
    <w:qFormat/>
    <w:uiPriority w:val="0"/>
    <w:rPr>
      <w:rFonts w:ascii="宋体" w:hAnsi="宋体" w:eastAsia="宋体" w:cs="宋体"/>
      <w:sz w:val="15"/>
      <w:szCs w:val="15"/>
      <w:u w:val="none"/>
      <w:shd w:val="clear" w:color="auto" w:fill="auto"/>
      <w:lang w:val="zh-TW" w:eastAsia="zh-TW" w:bidi="zh-TW"/>
    </w:rPr>
  </w:style>
  <w:style w:type="paragraph" w:customStyle="1" w:styleId="22">
    <w:name w:val="Other|2"/>
    <w:basedOn w:val="1"/>
    <w:link w:val="21"/>
    <w:qFormat/>
    <w:uiPriority w:val="0"/>
    <w:pPr>
      <w:spacing w:line="177" w:lineRule="exact"/>
      <w:jc w:val="center"/>
    </w:pPr>
    <w:rPr>
      <w:rFonts w:ascii="宋体" w:hAnsi="宋体" w:eastAsia="宋体" w:cs="宋体"/>
      <w:sz w:val="15"/>
      <w:szCs w:val="15"/>
      <w:lang w:val="zh-TW" w:eastAsia="zh-TW" w:bidi="zh-TW"/>
    </w:rPr>
  </w:style>
  <w:style w:type="character" w:customStyle="1" w:styleId="23">
    <w:name w:val="Body text|3_"/>
    <w:basedOn w:val="8"/>
    <w:link w:val="24"/>
    <w:qFormat/>
    <w:uiPriority w:val="0"/>
    <w:rPr>
      <w:rFonts w:ascii="宋体" w:hAnsi="宋体" w:eastAsia="宋体" w:cs="宋体"/>
      <w:sz w:val="15"/>
      <w:szCs w:val="15"/>
      <w:u w:val="none"/>
      <w:shd w:val="clear" w:color="auto" w:fill="auto"/>
      <w:lang w:val="zh-TW" w:eastAsia="zh-TW" w:bidi="zh-TW"/>
    </w:rPr>
  </w:style>
  <w:style w:type="paragraph" w:customStyle="1" w:styleId="24">
    <w:name w:val="Body text|3"/>
    <w:basedOn w:val="1"/>
    <w:link w:val="23"/>
    <w:qFormat/>
    <w:uiPriority w:val="0"/>
    <w:rPr>
      <w:rFonts w:ascii="宋体" w:hAnsi="宋体" w:eastAsia="宋体" w:cs="宋体"/>
      <w:sz w:val="15"/>
      <w:szCs w:val="15"/>
      <w:lang w:val="zh-TW" w:eastAsia="zh-TW" w:bidi="zh-TW"/>
    </w:rPr>
  </w:style>
  <w:style w:type="character" w:customStyle="1" w:styleId="25">
    <w:name w:val="Picture caption|1_"/>
    <w:basedOn w:val="8"/>
    <w:link w:val="26"/>
    <w:qFormat/>
    <w:uiPriority w:val="0"/>
    <w:rPr>
      <w:rFonts w:ascii="宋体" w:hAnsi="宋体" w:eastAsia="宋体" w:cs="宋体"/>
      <w:sz w:val="20"/>
      <w:szCs w:val="20"/>
      <w:u w:val="none"/>
      <w:shd w:val="clear" w:color="auto" w:fill="auto"/>
      <w:lang w:val="zh-TW" w:eastAsia="zh-TW" w:bidi="zh-TW"/>
    </w:rPr>
  </w:style>
  <w:style w:type="paragraph" w:customStyle="1" w:styleId="26">
    <w:name w:val="Picture caption|1"/>
    <w:basedOn w:val="1"/>
    <w:link w:val="25"/>
    <w:qFormat/>
    <w:uiPriority w:val="0"/>
    <w:pPr>
      <w:jc w:val="center"/>
    </w:pPr>
    <w:rPr>
      <w:rFonts w:ascii="宋体" w:hAnsi="宋体" w:eastAsia="宋体" w:cs="宋体"/>
      <w:sz w:val="20"/>
      <w:szCs w:val="20"/>
      <w:lang w:val="zh-TW" w:eastAsia="zh-TW" w:bidi="zh-TW"/>
    </w:rPr>
  </w:style>
  <w:style w:type="character" w:customStyle="1" w:styleId="27">
    <w:name w:val="页眉 Char"/>
    <w:basedOn w:val="8"/>
    <w:link w:val="5"/>
    <w:qFormat/>
    <w:uiPriority w:val="0"/>
    <w:rPr>
      <w:rFonts w:eastAsia="Times New Roman"/>
      <w:color w:val="000000"/>
      <w:sz w:val="18"/>
      <w:szCs w:val="18"/>
      <w:lang w:eastAsia="en-US" w:bidi="en-US"/>
    </w:rPr>
  </w:style>
  <w:style w:type="character" w:customStyle="1" w:styleId="28">
    <w:name w:val="页脚 Char"/>
    <w:basedOn w:val="8"/>
    <w:link w:val="4"/>
    <w:qFormat/>
    <w:uiPriority w:val="0"/>
    <w:rPr>
      <w:rFonts w:eastAsia="Times New Roman"/>
      <w:color w:val="000000"/>
      <w:sz w:val="18"/>
      <w:szCs w:val="18"/>
      <w:lang w:eastAsia="en-US" w:bidi="en-US"/>
    </w:rPr>
  </w:style>
  <w:style w:type="paragraph" w:customStyle="1" w:styleId="29">
    <w:name w:val="NOTE_Normal"/>
    <w:basedOn w:val="1"/>
    <w:next w:val="3"/>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0">
    <w:name w:val="正文文本 Char"/>
    <w:basedOn w:val="8"/>
    <w:link w:val="3"/>
    <w:qFormat/>
    <w:uiPriority w:val="0"/>
    <w:rPr>
      <w:rFonts w:eastAsia="Times New Roman"/>
      <w:color w:val="000000"/>
      <w:sz w:val="24"/>
      <w:szCs w:val="24"/>
      <w:lang w:eastAsia="en-US" w:bidi="en-US"/>
    </w:rPr>
  </w:style>
  <w:style w:type="character" w:customStyle="1" w:styleId="31">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9840</Words>
  <Characters>10147</Characters>
  <Lines>70</Lines>
  <Paragraphs>19</Paragraphs>
  <TotalTime>52</TotalTime>
  <ScaleCrop>false</ScaleCrop>
  <LinksUpToDate>false</LinksUpToDate>
  <CharactersWithSpaces>10150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2023-08-15T23:15:00Z</dcterms:created>
  <dc:creator>WPS Office</dc:creator>
  <cp:lastModifiedBy>彭裕惠</cp:lastModifiedBy>
  <dcterms:modified xsi:type="dcterms:W3CDTF">2025-03-19T10:56:53Z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B123CC3B9A554EDEBFC349E6417F5155_13</vt:lpwstr>
  </property>
  <property fmtid="{D5CDD505-2E9C-101B-9397-08002B2CF9AE}" pid="4" name="KSOTemplateDocerSaveRecord">
    <vt:lpwstr>eyJoZGlkIjoiZDZhZGYwNTVjNmEwZDlmYmM0M2UzYmUxZTMyY2ZhNTgiLCJ1c2VySWQiOiIyOTU1NTMyNTMifQ==</vt:lpwstr>
  </property>
</Properties>
</file>