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135" w:rsidRDefault="006323D1">
      <w:pPr>
        <w:wordWrap w:val="0"/>
        <w:adjustRightInd w:val="0"/>
        <w:snapToGrid w:val="0"/>
        <w:spacing w:line="560" w:lineRule="exact"/>
        <w:ind w:firstLineChars="200" w:firstLine="420"/>
        <w:rPr>
          <w:rFonts w:ascii="仿宋_GB2312"/>
          <w:color w:val="000000" w:themeColor="text1"/>
        </w:rPr>
      </w:pPr>
      <w:bookmarkStart w:id="0" w:name="_GoBack"/>
      <w:bookmarkEnd w:id="0"/>
      <w:r>
        <w:rPr>
          <w:rFonts w:ascii="仿宋_GB2312" w:hint="eastAsia"/>
        </w:rPr>
        <w:t xml:space="preserve">                                 </w:t>
      </w:r>
      <w:r>
        <w:rPr>
          <w:rFonts w:ascii="仿宋_GB2312" w:hint="eastAsia"/>
          <w:color w:val="000000" w:themeColor="text1"/>
        </w:rPr>
        <w:t xml:space="preserve">  </w:t>
      </w:r>
      <w:r>
        <w:rPr>
          <w:rFonts w:ascii="仿宋_GB2312" w:eastAsia="仿宋_GB2312" w:hint="eastAsia"/>
          <w:color w:val="000000" w:themeColor="text1"/>
          <w:sz w:val="32"/>
          <w:szCs w:val="32"/>
        </w:rPr>
        <w:t>穗环管影（番）〔</w:t>
      </w:r>
      <w:r>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35</w:t>
      </w:r>
      <w:r>
        <w:rPr>
          <w:rFonts w:ascii="仿宋_GB2312" w:eastAsia="仿宋_GB2312" w:hint="eastAsia"/>
          <w:color w:val="000000" w:themeColor="text1"/>
          <w:sz w:val="32"/>
          <w:szCs w:val="32"/>
        </w:rPr>
        <w:t>号</w:t>
      </w:r>
    </w:p>
    <w:p w:rsidR="004A1135" w:rsidRDefault="004A1135">
      <w:pPr>
        <w:spacing w:line="560" w:lineRule="exact"/>
        <w:rPr>
          <w:rFonts w:ascii="黑体" w:eastAsia="黑体"/>
          <w:color w:val="000000" w:themeColor="text1"/>
        </w:rPr>
      </w:pPr>
    </w:p>
    <w:p w:rsidR="004A1135" w:rsidRDefault="004A1135">
      <w:pPr>
        <w:adjustRightInd w:val="0"/>
        <w:snapToGrid w:val="0"/>
        <w:spacing w:line="560" w:lineRule="exact"/>
        <w:rPr>
          <w:rFonts w:ascii="仿宋_GB2312"/>
          <w:color w:val="000000" w:themeColor="text1"/>
        </w:rPr>
      </w:pPr>
    </w:p>
    <w:p w:rsidR="004A1135" w:rsidRDefault="006323D1">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广州市生态环境局关于广州盛钻珠宝有限公司年产黄金首饰、铂金首饰</w:t>
      </w:r>
      <w:r>
        <w:rPr>
          <w:rFonts w:ascii="方正小标宋简体" w:eastAsia="方正小标宋简体" w:hint="eastAsia"/>
          <w:color w:val="000000" w:themeColor="text1"/>
          <w:sz w:val="44"/>
          <w:szCs w:val="44"/>
        </w:rPr>
        <w:t>500kg</w:t>
      </w:r>
      <w:r>
        <w:rPr>
          <w:rFonts w:ascii="方正小标宋简体" w:eastAsia="方正小标宋简体" w:hint="eastAsia"/>
          <w:color w:val="000000" w:themeColor="text1"/>
          <w:sz w:val="44"/>
          <w:szCs w:val="44"/>
        </w:rPr>
        <w:t>建设项目</w:t>
      </w:r>
    </w:p>
    <w:p w:rsidR="004A1135" w:rsidRDefault="006323D1">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环境影响报告表的批复</w:t>
      </w:r>
    </w:p>
    <w:p w:rsidR="004A1135" w:rsidRDefault="004A1135">
      <w:pPr>
        <w:spacing w:line="560" w:lineRule="exact"/>
        <w:rPr>
          <w:rFonts w:ascii="仿宋_GB2312" w:eastAsia="仿宋_GB2312"/>
          <w:color w:val="000000" w:themeColor="text1"/>
          <w:sz w:val="32"/>
          <w:szCs w:val="32"/>
        </w:rPr>
      </w:pPr>
    </w:p>
    <w:p w:rsidR="004A1135" w:rsidRDefault="006323D1">
      <w:pPr>
        <w:spacing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广州盛钻珠宝有限公司（</w:t>
      </w:r>
      <w:r>
        <w:rPr>
          <w:rFonts w:ascii="仿宋_GB2312" w:eastAsia="仿宋_GB2312" w:hint="eastAsia"/>
          <w:color w:val="000000" w:themeColor="text1"/>
          <w:sz w:val="32"/>
          <w:szCs w:val="32"/>
        </w:rPr>
        <w:t>91440113MAE2XUKB32</w:t>
      </w:r>
      <w:r>
        <w:rPr>
          <w:rFonts w:ascii="仿宋_GB2312" w:eastAsia="仿宋_GB2312" w:hint="eastAsia"/>
          <w:color w:val="000000" w:themeColor="text1"/>
          <w:sz w:val="32"/>
          <w:szCs w:val="32"/>
        </w:rPr>
        <w:t>）：</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你单位报送的《广州盛钻珠宝有限公司年产黄金首饰、铂金首饰</w:t>
      </w:r>
      <w:r>
        <w:rPr>
          <w:rFonts w:ascii="仿宋_GB2312" w:eastAsia="仿宋_GB2312" w:hint="eastAsia"/>
          <w:color w:val="000000" w:themeColor="text1"/>
          <w:sz w:val="32"/>
          <w:szCs w:val="32"/>
        </w:rPr>
        <w:t>500kg</w:t>
      </w:r>
      <w:r>
        <w:rPr>
          <w:rFonts w:ascii="仿宋_GB2312" w:eastAsia="仿宋_GB2312" w:hint="eastAsia"/>
          <w:color w:val="000000" w:themeColor="text1"/>
          <w:sz w:val="32"/>
          <w:szCs w:val="32"/>
        </w:rPr>
        <w:t>建设项目环境影响报告表》（以下简称《报告表》）及附送资料收悉。经研究，现批复如下：</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一、广州盛钻珠宝有限公司年产黄金首饰、铂金首饰</w:t>
      </w:r>
      <w:r>
        <w:rPr>
          <w:rFonts w:ascii="仿宋_GB2312" w:eastAsia="仿宋_GB2312" w:hint="eastAsia"/>
          <w:color w:val="000000" w:themeColor="text1"/>
          <w:sz w:val="32"/>
          <w:szCs w:val="32"/>
        </w:rPr>
        <w:t>500kg</w:t>
      </w:r>
      <w:r>
        <w:rPr>
          <w:rFonts w:ascii="仿宋_GB2312" w:eastAsia="仿宋_GB2312" w:hint="eastAsia"/>
          <w:color w:val="000000" w:themeColor="text1"/>
          <w:sz w:val="32"/>
          <w:szCs w:val="32"/>
        </w:rPr>
        <w:t>建设项目（以下简称“该项目”）位于广州市番禺区沙湾街福龙路</w:t>
      </w:r>
      <w:r>
        <w:rPr>
          <w:rFonts w:ascii="仿宋_GB2312" w:eastAsia="仿宋_GB2312" w:hint="eastAsia"/>
          <w:color w:val="000000" w:themeColor="text1"/>
          <w:sz w:val="32"/>
          <w:szCs w:val="32"/>
        </w:rPr>
        <w:t>999</w:t>
      </w:r>
      <w:r>
        <w:rPr>
          <w:rFonts w:ascii="仿宋_GB2312" w:eastAsia="仿宋_GB2312" w:hint="eastAsia"/>
          <w:color w:val="000000" w:themeColor="text1"/>
          <w:sz w:val="32"/>
          <w:szCs w:val="32"/>
        </w:rPr>
        <w:t>号</w:t>
      </w:r>
      <w:r>
        <w:rPr>
          <w:rFonts w:ascii="仿宋_GB2312" w:eastAsia="仿宋_GB2312" w:hint="eastAsia"/>
          <w:color w:val="000000" w:themeColor="text1"/>
          <w:sz w:val="32"/>
          <w:szCs w:val="32"/>
        </w:rPr>
        <w:t>21</w:t>
      </w:r>
      <w:r>
        <w:rPr>
          <w:rFonts w:ascii="仿宋_GB2312" w:eastAsia="仿宋_GB2312" w:hint="eastAsia"/>
          <w:color w:val="000000" w:themeColor="text1"/>
          <w:sz w:val="32"/>
          <w:szCs w:val="32"/>
        </w:rPr>
        <w:t>栋</w:t>
      </w:r>
      <w:r>
        <w:rPr>
          <w:rFonts w:ascii="仿宋_GB2312" w:eastAsia="仿宋_GB2312" w:hint="eastAsia"/>
          <w:color w:val="000000" w:themeColor="text1"/>
          <w:sz w:val="32"/>
          <w:szCs w:val="32"/>
        </w:rPr>
        <w:t>201</w:t>
      </w:r>
      <w:r>
        <w:rPr>
          <w:rFonts w:ascii="仿宋_GB2312" w:eastAsia="仿宋_GB2312" w:hint="eastAsia"/>
          <w:color w:val="000000" w:themeColor="text1"/>
          <w:sz w:val="32"/>
          <w:szCs w:val="32"/>
        </w:rPr>
        <w:t>，申报内容为从事黄金和铂金首饰的生产，年产黄金首饰</w:t>
      </w:r>
      <w:r>
        <w:rPr>
          <w:rFonts w:ascii="仿宋_GB2312" w:eastAsia="仿宋_GB2312" w:hint="eastAsia"/>
          <w:color w:val="000000" w:themeColor="text1"/>
          <w:sz w:val="32"/>
          <w:szCs w:val="32"/>
        </w:rPr>
        <w:t>450</w:t>
      </w:r>
      <w:r>
        <w:rPr>
          <w:rFonts w:ascii="仿宋_GB2312" w:eastAsia="仿宋_GB2312" w:hint="eastAsia"/>
          <w:color w:val="000000" w:themeColor="text1"/>
          <w:sz w:val="32"/>
          <w:szCs w:val="32"/>
        </w:rPr>
        <w:t>千克</w:t>
      </w:r>
      <w:r>
        <w:rPr>
          <w:rFonts w:ascii="仿宋_GB2312" w:eastAsia="仿宋_GB2312" w:hint="eastAsia"/>
          <w:color w:val="000000" w:themeColor="text1"/>
          <w:sz w:val="32"/>
          <w:szCs w:val="32"/>
        </w:rPr>
        <w:t>、铂金首饰</w:t>
      </w:r>
      <w:r>
        <w:rPr>
          <w:rFonts w:ascii="仿宋_GB2312" w:eastAsia="仿宋_GB2312" w:hint="eastAsia"/>
          <w:color w:val="000000" w:themeColor="text1"/>
          <w:sz w:val="32"/>
          <w:szCs w:val="32"/>
        </w:rPr>
        <w:t>50</w:t>
      </w:r>
      <w:r>
        <w:rPr>
          <w:rFonts w:ascii="仿宋_GB2312" w:eastAsia="仿宋_GB2312" w:hint="eastAsia"/>
          <w:color w:val="000000" w:themeColor="text1"/>
          <w:sz w:val="32"/>
          <w:szCs w:val="32"/>
        </w:rPr>
        <w:t>千克</w:t>
      </w:r>
      <w:r>
        <w:rPr>
          <w:rFonts w:ascii="仿宋_GB2312" w:eastAsia="仿宋_GB2312" w:hint="eastAsia"/>
          <w:color w:val="000000" w:themeColor="text1"/>
          <w:sz w:val="32"/>
          <w:szCs w:val="32"/>
        </w:rPr>
        <w:t>。该项目建筑面积</w:t>
      </w:r>
      <w:r>
        <w:rPr>
          <w:rFonts w:ascii="仿宋_GB2312" w:eastAsia="仿宋_GB2312" w:hint="eastAsia"/>
          <w:color w:val="000000" w:themeColor="text1"/>
          <w:sz w:val="32"/>
          <w:szCs w:val="32"/>
        </w:rPr>
        <w:t>829</w:t>
      </w:r>
      <w:r>
        <w:rPr>
          <w:rFonts w:ascii="仿宋_GB2312" w:eastAsia="仿宋_GB2312" w:hint="eastAsia"/>
          <w:color w:val="000000" w:themeColor="text1"/>
          <w:sz w:val="32"/>
          <w:szCs w:val="32"/>
        </w:rPr>
        <w:t>平方米，</w:t>
      </w:r>
      <w:r>
        <w:rPr>
          <w:rFonts w:ascii="仿宋_GB2312" w:eastAsia="仿宋_GB2312" w:hint="eastAsia"/>
          <w:color w:val="000000" w:themeColor="text1"/>
          <w:sz w:val="32"/>
          <w:szCs w:val="32"/>
        </w:rPr>
        <w:t>租用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栋四层厂房的第二层西侧部分</w:t>
      </w:r>
      <w:r>
        <w:rPr>
          <w:rFonts w:ascii="仿宋_GB2312" w:eastAsia="仿宋_GB2312" w:hint="eastAsia"/>
          <w:color w:val="000000" w:themeColor="text1"/>
          <w:sz w:val="32"/>
          <w:szCs w:val="32"/>
        </w:rPr>
        <w:t>；主要设备有压模机</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台、注蜡机</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台、电烙铁</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支、开粉机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台、真空机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台、电焗炉</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台、熔金</w:t>
      </w:r>
      <w:r>
        <w:rPr>
          <w:rFonts w:ascii="仿宋_GB2312" w:eastAsia="仿宋_GB2312" w:hint="eastAsia"/>
          <w:color w:val="000000" w:themeColor="text1"/>
          <w:sz w:val="32"/>
          <w:szCs w:val="32"/>
        </w:rPr>
        <w:t>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台、熔金火枪</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支、倒模机</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台、冷水机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台、压粉机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台、冲洗机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台、吊机</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台、微镶机</w:t>
      </w:r>
      <w:r>
        <w:rPr>
          <w:rFonts w:ascii="仿宋_GB2312" w:eastAsia="仿宋_GB2312" w:hint="eastAsia"/>
          <w:color w:val="000000" w:themeColor="text1"/>
          <w:sz w:val="32"/>
          <w:szCs w:val="32"/>
        </w:rPr>
        <w:t>50</w:t>
      </w:r>
      <w:r>
        <w:rPr>
          <w:rFonts w:ascii="仿宋_GB2312" w:eastAsia="仿宋_GB2312" w:hint="eastAsia"/>
          <w:color w:val="000000" w:themeColor="text1"/>
          <w:sz w:val="32"/>
          <w:szCs w:val="32"/>
        </w:rPr>
        <w:t>台、激光焊接机</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台、镶石火枪</w:t>
      </w:r>
      <w:r>
        <w:rPr>
          <w:rFonts w:ascii="仿宋_GB2312" w:eastAsia="仿宋_GB2312" w:hint="eastAsia"/>
          <w:color w:val="000000" w:themeColor="text1"/>
          <w:sz w:val="32"/>
          <w:szCs w:val="32"/>
        </w:rPr>
        <w:t>50</w:t>
      </w:r>
      <w:r>
        <w:rPr>
          <w:rFonts w:ascii="仿宋_GB2312" w:eastAsia="仿宋_GB2312" w:hint="eastAsia"/>
          <w:color w:val="000000" w:themeColor="text1"/>
          <w:sz w:val="32"/>
          <w:szCs w:val="32"/>
        </w:rPr>
        <w:t>台、激光刻印机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台、磁力抛光机</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台、布轮么打机</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台、喷砂机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台、超声波清洗机</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台、电解工序整流机</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台、电金工序整流机</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台、蒸汽清洗机</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台、螺杆式空压机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台等</w:t>
      </w:r>
      <w:r>
        <w:rPr>
          <w:rFonts w:ascii="仿宋_GB2312" w:eastAsia="仿宋_GB2312" w:hint="eastAsia"/>
          <w:color w:val="000000" w:themeColor="text1"/>
          <w:sz w:val="32"/>
          <w:szCs w:val="32"/>
        </w:rPr>
        <w:t>；员工</w:t>
      </w:r>
      <w:r>
        <w:rPr>
          <w:rFonts w:ascii="仿宋_GB2312" w:eastAsia="仿宋_GB2312" w:hint="eastAsia"/>
          <w:color w:val="000000" w:themeColor="text1"/>
          <w:sz w:val="32"/>
          <w:szCs w:val="32"/>
        </w:rPr>
        <w:t>120</w:t>
      </w:r>
      <w:r>
        <w:rPr>
          <w:rFonts w:ascii="仿宋_GB2312" w:eastAsia="仿宋_GB2312" w:hint="eastAsia"/>
          <w:color w:val="000000" w:themeColor="text1"/>
          <w:sz w:val="32"/>
          <w:szCs w:val="32"/>
        </w:rPr>
        <w:t>名，内部不安排食宿。</w:t>
      </w:r>
      <w:r>
        <w:rPr>
          <w:rFonts w:ascii="仿宋_GB2312" w:eastAsia="仿宋_GB2312" w:hint="eastAsia"/>
          <w:color w:val="000000" w:themeColor="text1"/>
          <w:sz w:val="32"/>
          <w:szCs w:val="32"/>
        </w:rPr>
        <w:t>该项目不设炸色、熔金回收等工序，不使用氢氟酸、氰化物、含镍和含铅原料。</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按照《报告表》的评价结论，在落实各项环境保护措施后，</w:t>
      </w:r>
      <w:r>
        <w:rPr>
          <w:rFonts w:ascii="仿宋_GB2312" w:eastAsia="仿宋_GB2312" w:hint="eastAsia"/>
          <w:color w:val="000000" w:themeColor="text1"/>
          <w:sz w:val="32"/>
          <w:szCs w:val="32"/>
        </w:rPr>
        <w:lastRenderedPageBreak/>
        <w:t>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二、该项目各类污染物排放控制要求如下：</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水污染物</w:t>
      </w:r>
      <w:r>
        <w:rPr>
          <w:rFonts w:ascii="仿宋_GB2312" w:eastAsia="仿宋_GB2312" w:hint="eastAsia"/>
          <w:color w:val="000000" w:themeColor="text1"/>
          <w:sz w:val="32"/>
          <w:szCs w:val="32"/>
        </w:rPr>
        <w:t>排放执行广东省《水污染物排放限值》（</w:t>
      </w:r>
      <w:r>
        <w:rPr>
          <w:rFonts w:ascii="仿宋_GB2312" w:eastAsia="仿宋_GB2312" w:hint="eastAsia"/>
          <w:color w:val="000000" w:themeColor="text1"/>
          <w:sz w:val="32"/>
          <w:szCs w:val="32"/>
        </w:rPr>
        <w:t>DB44/26-2001</w:t>
      </w:r>
      <w:r>
        <w:rPr>
          <w:rFonts w:ascii="仿宋_GB2312" w:eastAsia="仿宋_GB2312" w:hint="eastAsia"/>
          <w:color w:val="000000" w:themeColor="text1"/>
          <w:sz w:val="32"/>
          <w:szCs w:val="32"/>
        </w:rPr>
        <w:t>）第二时段三级标准。生活污水排放量不超过</w:t>
      </w:r>
      <w:r>
        <w:rPr>
          <w:rFonts w:ascii="仿宋_GB2312" w:eastAsia="仿宋_GB2312" w:hint="eastAsia"/>
          <w:color w:val="000000" w:themeColor="text1"/>
          <w:sz w:val="32"/>
          <w:szCs w:val="32"/>
        </w:rPr>
        <w:t>1080</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年；生产废水排放量不超过</w:t>
      </w:r>
      <w:r>
        <w:rPr>
          <w:rFonts w:ascii="仿宋_GB2312" w:eastAsia="仿宋_GB2312" w:hint="eastAsia"/>
          <w:color w:val="000000" w:themeColor="text1"/>
          <w:sz w:val="32"/>
          <w:szCs w:val="32"/>
        </w:rPr>
        <w:t>1066</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颗粒物有组织排放执行广东省《大气污染物排放限值》（</w:t>
      </w:r>
      <w:r>
        <w:rPr>
          <w:rFonts w:ascii="仿宋_GB2312" w:eastAsia="仿宋_GB2312" w:hint="eastAsia"/>
          <w:color w:val="000000" w:themeColor="text1"/>
          <w:sz w:val="32"/>
          <w:szCs w:val="32"/>
        </w:rPr>
        <w:t>DB44/27-2001</w:t>
      </w:r>
      <w:r>
        <w:rPr>
          <w:rFonts w:ascii="仿宋_GB2312" w:eastAsia="仿宋_GB2312" w:hint="eastAsia"/>
          <w:color w:val="000000" w:themeColor="text1"/>
          <w:sz w:val="32"/>
          <w:szCs w:val="32"/>
        </w:rPr>
        <w:t>）第二时段二级标准及《铸造工业大气污染物排放标准》（</w:t>
      </w:r>
      <w:r>
        <w:rPr>
          <w:rFonts w:ascii="仿宋_GB2312" w:eastAsia="仿宋_GB2312" w:hint="eastAsia"/>
          <w:color w:val="000000" w:themeColor="text1"/>
          <w:sz w:val="32"/>
          <w:szCs w:val="32"/>
        </w:rPr>
        <w:t>GB39726-2020</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排放浓度限值较严值，无组织排放执行《大气污染物排放限值》（</w:t>
      </w:r>
      <w:r>
        <w:rPr>
          <w:rFonts w:ascii="仿宋_GB2312" w:eastAsia="仿宋_GB2312" w:hint="eastAsia"/>
          <w:color w:val="000000" w:themeColor="text1"/>
          <w:sz w:val="32"/>
          <w:szCs w:val="32"/>
        </w:rPr>
        <w:t>DB44/27-2001</w:t>
      </w:r>
      <w:r>
        <w:rPr>
          <w:rFonts w:ascii="仿宋_GB2312" w:eastAsia="仿宋_GB2312" w:hint="eastAsia"/>
          <w:color w:val="000000" w:themeColor="text1"/>
          <w:sz w:val="32"/>
          <w:szCs w:val="32"/>
        </w:rPr>
        <w:t>）第二时段无组织排放监控浓度限值；</w:t>
      </w:r>
      <w:r>
        <w:rPr>
          <w:rFonts w:ascii="仿宋_GB2312" w:eastAsia="仿宋_GB2312" w:hint="eastAsia"/>
          <w:color w:val="000000" w:themeColor="text1"/>
          <w:sz w:val="32"/>
          <w:szCs w:val="32"/>
        </w:rPr>
        <w:t>NMHC</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TVOC</w:t>
      </w:r>
      <w:r>
        <w:rPr>
          <w:rFonts w:ascii="仿宋_GB2312" w:eastAsia="仿宋_GB2312" w:hint="eastAsia"/>
          <w:color w:val="000000" w:themeColor="text1"/>
          <w:sz w:val="32"/>
          <w:szCs w:val="32"/>
        </w:rPr>
        <w:t>排放执行广东省《固定污染源挥发性有机物综合排放标准》（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排放限值；其他大气污染物排放执行广东省《大气污染物排放限值》（</w:t>
      </w:r>
      <w:r>
        <w:rPr>
          <w:rFonts w:ascii="仿宋_GB2312" w:eastAsia="仿宋_GB2312" w:hint="eastAsia"/>
          <w:color w:val="000000" w:themeColor="text1"/>
          <w:sz w:val="32"/>
          <w:szCs w:val="32"/>
        </w:rPr>
        <w:t>DB44/27-2001</w:t>
      </w:r>
      <w:r>
        <w:rPr>
          <w:rFonts w:ascii="仿宋_GB2312" w:eastAsia="仿宋_GB2312" w:hint="eastAsia"/>
          <w:color w:val="000000" w:themeColor="text1"/>
          <w:sz w:val="32"/>
          <w:szCs w:val="32"/>
        </w:rPr>
        <w:t>）第二时段二级标准及无组织排放监控浓度限值</w:t>
      </w:r>
      <w:r>
        <w:rPr>
          <w:rFonts w:ascii="仿宋_GB2312" w:eastAsia="仿宋_GB2312"/>
          <w:color w:val="000000" w:themeColor="text1"/>
          <w:sz w:val="32"/>
          <w:szCs w:val="32"/>
        </w:rPr>
        <w:t>。</w:t>
      </w:r>
      <w:r>
        <w:rPr>
          <w:rFonts w:ascii="仿宋_GB2312" w:eastAsia="仿宋_GB2312" w:hint="eastAsia"/>
          <w:color w:val="000000" w:themeColor="text1"/>
          <w:sz w:val="32"/>
          <w:szCs w:val="32"/>
        </w:rPr>
        <w:t>氮氧化物排放量不超过</w:t>
      </w:r>
      <w:r>
        <w:rPr>
          <w:rFonts w:ascii="仿宋_GB2312" w:eastAsia="仿宋_GB2312" w:hint="eastAsia"/>
          <w:color w:val="000000" w:themeColor="text1"/>
          <w:sz w:val="32"/>
          <w:szCs w:val="32"/>
        </w:rPr>
        <w:t>0.0003</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（三）边界噪声排放执行《工业企业厂界环境噪声排放标准》（</w:t>
      </w:r>
      <w:r>
        <w:rPr>
          <w:rFonts w:ascii="仿宋_GB2312" w:eastAsia="仿宋_GB2312" w:hint="eastAsia"/>
          <w:color w:val="000000" w:themeColor="text1"/>
          <w:sz w:val="32"/>
          <w:szCs w:val="32"/>
        </w:rPr>
        <w:t>GB12348-2008</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65</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55</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三、该项目应当认真落实《报告表》提出的各项环境保护措施，重点做好以下工作：</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（一）排水系统采用雨污分流。生产废</w:t>
      </w:r>
      <w:r>
        <w:rPr>
          <w:rFonts w:ascii="仿宋_GB2312" w:eastAsia="仿宋_GB2312" w:hint="eastAsia"/>
          <w:color w:val="000000" w:themeColor="text1"/>
          <w:sz w:val="32"/>
          <w:szCs w:val="32"/>
        </w:rPr>
        <w:t>水经沉淀预处理后</w:t>
      </w:r>
      <w:r>
        <w:rPr>
          <w:rFonts w:ascii="仿宋_GB2312" w:eastAsia="仿宋_GB2312" w:hint="eastAsia"/>
          <w:color w:val="000000" w:themeColor="text1"/>
          <w:sz w:val="32"/>
          <w:szCs w:val="32"/>
        </w:rPr>
        <w:t>与生活污水一并排入项目所在威乐珠宝产业园的废水处理站处理后，再排入市政集污管网，送前锋净水厂集中处理。项目设置</w:t>
      </w:r>
      <w:r>
        <w:rPr>
          <w:rFonts w:ascii="仿宋_GB2312" w:eastAsia="仿宋_GB2312" w:hint="eastAsia"/>
          <w:color w:val="000000" w:themeColor="text1"/>
          <w:sz w:val="32"/>
          <w:szCs w:val="32"/>
        </w:rPr>
        <w:t>生产</w:t>
      </w:r>
      <w:r>
        <w:rPr>
          <w:rFonts w:ascii="仿宋_GB2312" w:eastAsia="仿宋_GB2312" w:hint="eastAsia"/>
          <w:color w:val="000000" w:themeColor="text1"/>
          <w:sz w:val="32"/>
          <w:szCs w:val="32"/>
        </w:rPr>
        <w:t>废水</w:t>
      </w:r>
      <w:r>
        <w:rPr>
          <w:rFonts w:ascii="仿宋_GB2312" w:eastAsia="仿宋_GB2312" w:hint="eastAsia"/>
          <w:color w:val="000000" w:themeColor="text1"/>
          <w:sz w:val="32"/>
          <w:szCs w:val="32"/>
        </w:rPr>
        <w:t>排放</w:t>
      </w:r>
      <w:r>
        <w:rPr>
          <w:rFonts w:ascii="仿宋_GB2312" w:eastAsia="仿宋_GB2312" w:hint="eastAsia"/>
          <w:color w:val="000000" w:themeColor="text1"/>
          <w:sz w:val="32"/>
          <w:szCs w:val="32"/>
        </w:rPr>
        <w:t>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生活污水排放口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（二）按照《固定污染源挥发性有机物综合排放标准》</w:t>
      </w:r>
      <w:r>
        <w:rPr>
          <w:rFonts w:ascii="仿宋_GB2312" w:eastAsia="仿宋_GB2312" w:hint="eastAsia"/>
          <w:color w:val="000000" w:themeColor="text1"/>
          <w:sz w:val="32"/>
          <w:szCs w:val="32"/>
        </w:rPr>
        <w:lastRenderedPageBreak/>
        <w:t>（</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）的无组织排放控制要求落实相关措施</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执模、打磨抛光工序配套粉尘收集设施。</w:t>
      </w:r>
      <w:r>
        <w:rPr>
          <w:rFonts w:ascii="仿宋_GB2312" w:eastAsia="仿宋_GB2312" w:hint="eastAsia"/>
          <w:color w:val="000000" w:themeColor="text1"/>
          <w:sz w:val="32"/>
          <w:szCs w:val="32"/>
        </w:rPr>
        <w:t>熔蜡</w:t>
      </w:r>
      <w:r>
        <w:rPr>
          <w:rFonts w:ascii="仿宋_GB2312" w:eastAsia="仿宋_GB2312" w:hint="eastAsia"/>
          <w:color w:val="000000" w:themeColor="text1"/>
          <w:sz w:val="32"/>
          <w:szCs w:val="32"/>
        </w:rPr>
        <w:t>产生的废气经电焗炉配套</w:t>
      </w:r>
      <w:r>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直接燃烧器预处理后，</w:t>
      </w:r>
      <w:r>
        <w:rPr>
          <w:rFonts w:ascii="仿宋_GB2312" w:eastAsia="仿宋_GB2312" w:hint="eastAsia"/>
          <w:color w:val="000000" w:themeColor="text1"/>
          <w:sz w:val="32"/>
          <w:szCs w:val="32"/>
        </w:rPr>
        <w:t>与熔金属、注金属、酸洗、熔金燃烧尾气、洗火漆、分色、电金</w:t>
      </w:r>
      <w:r>
        <w:rPr>
          <w:rFonts w:ascii="仿宋_GB2312" w:eastAsia="仿宋_GB2312" w:hint="eastAsia"/>
          <w:color w:val="000000" w:themeColor="text1"/>
          <w:sz w:val="32"/>
          <w:szCs w:val="32"/>
        </w:rPr>
        <w:t>工序产生的废气</w:t>
      </w:r>
      <w:r>
        <w:rPr>
          <w:rFonts w:ascii="仿宋_GB2312" w:eastAsia="仿宋_GB2312" w:hint="eastAsia"/>
          <w:color w:val="000000" w:themeColor="text1"/>
          <w:sz w:val="32"/>
          <w:szCs w:val="32"/>
        </w:rPr>
        <w:t>一并</w:t>
      </w:r>
      <w:r>
        <w:rPr>
          <w:rFonts w:ascii="仿宋_GB2312" w:eastAsia="仿宋_GB2312" w:hint="eastAsia"/>
          <w:color w:val="000000" w:themeColor="text1"/>
          <w:sz w:val="32"/>
          <w:szCs w:val="32"/>
        </w:rPr>
        <w:t>经“碱液喷淋</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含</w:t>
      </w:r>
      <w:r>
        <w:rPr>
          <w:rFonts w:ascii="仿宋_GB2312" w:eastAsia="仿宋_GB2312" w:hint="eastAsia"/>
          <w:color w:val="000000" w:themeColor="text1"/>
          <w:sz w:val="32"/>
          <w:szCs w:val="32"/>
        </w:rPr>
        <w:t>除雾装置</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级活性炭吸附装置”处理达标后，通过专用管道引至所在建筑物楼顶高空排放，排放口高度不低于</w:t>
      </w:r>
      <w:r>
        <w:rPr>
          <w:rFonts w:ascii="仿宋_GB2312" w:eastAsia="仿宋_GB2312" w:hint="eastAsia"/>
          <w:color w:val="000000" w:themeColor="text1"/>
          <w:sz w:val="32"/>
          <w:szCs w:val="32"/>
        </w:rPr>
        <w:t>15</w:t>
      </w:r>
      <w:r>
        <w:rPr>
          <w:rFonts w:ascii="仿宋_GB2312" w:eastAsia="仿宋_GB2312" w:hint="eastAsia"/>
          <w:color w:val="000000" w:themeColor="text1"/>
          <w:sz w:val="32"/>
          <w:szCs w:val="32"/>
        </w:rPr>
        <w:t>米。项目设置废气排放口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加强</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废气的监控，确保</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监控点的废气达到相应标准限值的要求，监测超标时应</w:t>
      </w:r>
      <w:r>
        <w:rPr>
          <w:rFonts w:ascii="仿宋_GB2312" w:eastAsia="仿宋_GB2312" w:hAnsi="仿宋_GB2312" w:cs="仿宋_GB2312" w:hint="eastAsia"/>
          <w:color w:val="000000" w:themeColor="text1"/>
          <w:sz w:val="32"/>
          <w:szCs w:val="32"/>
        </w:rPr>
        <w:t>加强</w:t>
      </w:r>
      <w:r>
        <w:rPr>
          <w:rFonts w:ascii="仿宋_GB2312" w:eastAsia="仿宋_GB2312" w:hAnsi="仿宋_GB2312" w:cs="仿宋_GB2312" w:hint="eastAsia"/>
          <w:color w:val="000000" w:themeColor="text1"/>
          <w:sz w:val="32"/>
          <w:szCs w:val="32"/>
        </w:rPr>
        <w:t>对无组织排放废气进行收集、净化处理。</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（三）选用低噪声设备，合理布设生产车间，对噪声源采取隔声、减振等措施，定期检修设备。</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（四）废天那水、废丙酮</w:t>
      </w:r>
      <w:r>
        <w:rPr>
          <w:rFonts w:ascii="仿宋_GB2312" w:eastAsia="仿宋_GB2312" w:hint="eastAsia"/>
          <w:color w:val="000000" w:themeColor="text1"/>
          <w:sz w:val="32"/>
          <w:szCs w:val="32"/>
        </w:rPr>
        <w:t>、废电金水、废包装容器、废活性炭、废机油和废机油桶、含油废抹布</w:t>
      </w:r>
      <w:r>
        <w:rPr>
          <w:rFonts w:ascii="仿宋_GB2312" w:eastAsia="仿宋_GB2312" w:hint="eastAsia"/>
          <w:color w:val="000000" w:themeColor="text1"/>
          <w:sz w:val="32"/>
          <w:szCs w:val="32"/>
        </w:rPr>
        <w:t>等</w:t>
      </w:r>
      <w:r>
        <w:rPr>
          <w:rFonts w:ascii="仿宋_GB2312" w:eastAsia="仿宋_GB2312" w:hint="eastAsia"/>
          <w:color w:val="000000" w:themeColor="text1"/>
          <w:sz w:val="32"/>
          <w:szCs w:val="32"/>
        </w:rPr>
        <w:t>属于</w:t>
      </w:r>
      <w:r>
        <w:rPr>
          <w:rFonts w:ascii="仿宋_GB2312" w:eastAsia="仿宋_GB2312" w:hint="eastAsia"/>
          <w:color w:val="000000" w:themeColor="text1"/>
          <w:sz w:val="32"/>
          <w:szCs w:val="32"/>
        </w:rPr>
        <w:t>危险废物</w:t>
      </w:r>
      <w:r>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须设置符合《危险废物贮存污染控制标准》（</w:t>
      </w:r>
      <w:r>
        <w:rPr>
          <w:rFonts w:ascii="仿宋_GB2312" w:eastAsia="仿宋_GB2312" w:hint="eastAsia"/>
          <w:color w:val="000000" w:themeColor="text1"/>
          <w:sz w:val="32"/>
          <w:szCs w:val="32"/>
        </w:rPr>
        <w:t>GB18597-20</w:t>
      </w:r>
      <w:r>
        <w:rPr>
          <w:rFonts w:ascii="仿宋_GB2312" w:eastAsia="仿宋_GB2312" w:hint="eastAsia"/>
          <w:color w:val="000000" w:themeColor="text1"/>
          <w:sz w:val="32"/>
          <w:szCs w:val="32"/>
        </w:rPr>
        <w:t>23</w:t>
      </w:r>
      <w:r>
        <w:rPr>
          <w:rFonts w:ascii="仿宋_GB2312" w:eastAsia="仿宋_GB2312" w:hint="eastAsia"/>
          <w:color w:val="000000" w:themeColor="text1"/>
          <w:sz w:val="32"/>
          <w:szCs w:val="32"/>
        </w:rPr>
        <w:t>）要求的专用贮存场所存放并委托具备危险废物处理资质的机构处理。</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四、该项目的性质、规模、地点、采用的生产工艺或者防治污染、防止生态破坏的措施发生重大变动的，你单位应当重新报批环境影响评价文件。</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五、自《报告表》批准之日起超过五年，方决定该项目开工建设的，《报告表》应当在开工建设前报我局重新审核。未经我局重新审核同意的，不得擅自开工建设。</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六、该项目建设应严格执行配套建设的环境保护设施与主体工程同时设计、同时施工、同时投产使用的环境保护“三同时”制度，具体要求如下：</w:t>
      </w:r>
    </w:p>
    <w:p w:rsidR="004A1135" w:rsidRDefault="006323D1">
      <w:pPr>
        <w:widowControl/>
        <w:tabs>
          <w:tab w:val="left" w:pos="1418"/>
        </w:tabs>
        <w:spacing w:line="52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（一）项目竣工后，你单位应按规定申请取得排污许可证或填报排污登记表，并按照规定的标准、程序和时限，对配套建</w:t>
      </w:r>
      <w:r>
        <w:rPr>
          <w:rFonts w:ascii="仿宋_GB2312" w:eastAsia="仿宋_GB2312" w:hint="eastAsia"/>
          <w:color w:val="000000" w:themeColor="text1"/>
          <w:sz w:val="32"/>
          <w:szCs w:val="32"/>
        </w:rPr>
        <w:t>设的环境保护设施进行验收，编制验收报告，依法向社会公开。</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（二）项目配套建设的环境保护设施经验收合格后，方可投入生产或者使用。</w:t>
      </w:r>
    </w:p>
    <w:p w:rsidR="004A1135" w:rsidRDefault="006323D1">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七、该项目建设和运行过程中如涉及规划、土地利用、建设、水务、消防、安全等问题，应遵照相关法律法规要求到相应的行政主管部门办理有关手续。</w:t>
      </w:r>
    </w:p>
    <w:p w:rsidR="004A1135" w:rsidRDefault="006323D1">
      <w:pPr>
        <w:pStyle w:val="New"/>
        <w:spacing w:line="520" w:lineRule="exact"/>
        <w:ind w:firstLine="636"/>
        <w:rPr>
          <w:rFonts w:ascii="仿宋_GB2312" w:eastAsia="仿宋_GB2312" w:hAnsi="仿宋"/>
          <w:color w:val="000000" w:themeColor="text1"/>
          <w:sz w:val="32"/>
        </w:rPr>
      </w:pPr>
      <w:r>
        <w:rPr>
          <w:rFonts w:ascii="仿宋_GB2312" w:eastAsia="仿宋_GB2312" w:hint="eastAsia"/>
          <w:color w:val="000000" w:themeColor="text1"/>
          <w:sz w:val="32"/>
          <w:szCs w:val="32"/>
        </w:rPr>
        <w:t>八、</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个月内直接向广州铁路运</w:t>
      </w:r>
      <w:r>
        <w:rPr>
          <w:rFonts w:ascii="仿宋_GB2312" w:eastAsia="仿宋_GB2312" w:hAnsi="仿宋" w:hint="eastAsia"/>
          <w:color w:val="000000" w:themeColor="text1"/>
          <w:sz w:val="32"/>
        </w:rPr>
        <w:t>输法院提起行政诉讼。申请行政复议或提起行政诉讼的，不停止本决定的执行。</w:t>
      </w:r>
    </w:p>
    <w:p w:rsidR="004A1135" w:rsidRDefault="004A1135">
      <w:pPr>
        <w:pStyle w:val="New"/>
        <w:spacing w:line="520" w:lineRule="exact"/>
        <w:ind w:firstLine="636"/>
        <w:rPr>
          <w:rFonts w:ascii="仿宋_GB2312" w:eastAsia="仿宋_GB2312" w:hAnsi="仿宋"/>
          <w:color w:val="000000" w:themeColor="text1"/>
          <w:sz w:val="32"/>
        </w:rPr>
      </w:pPr>
    </w:p>
    <w:p w:rsidR="004A1135" w:rsidRDefault="004A1135">
      <w:pPr>
        <w:pStyle w:val="New"/>
        <w:spacing w:line="520" w:lineRule="exact"/>
        <w:ind w:firstLine="636"/>
        <w:rPr>
          <w:rFonts w:ascii="仿宋_GB2312" w:eastAsia="仿宋_GB2312" w:hAnsi="仿宋"/>
          <w:color w:val="000000" w:themeColor="text1"/>
          <w:sz w:val="32"/>
        </w:rPr>
      </w:pPr>
    </w:p>
    <w:p w:rsidR="004A1135" w:rsidRDefault="006323D1">
      <w:pPr>
        <w:spacing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广州市生态环境局</w:t>
      </w:r>
    </w:p>
    <w:p w:rsidR="004A1135" w:rsidRDefault="006323D1">
      <w:pPr>
        <w:spacing w:line="520" w:lineRule="exact"/>
        <w:ind w:right="4" w:firstLineChars="1600" w:firstLine="5120"/>
        <w:rPr>
          <w:rFonts w:ascii="仿宋_GB2312" w:eastAsia="仿宋_GB2312"/>
          <w:color w:val="000000" w:themeColor="text1"/>
          <w:sz w:val="32"/>
          <w:szCs w:val="32"/>
        </w:rPr>
      </w:pP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25</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27</w:t>
      </w:r>
      <w:r>
        <w:rPr>
          <w:rFonts w:ascii="仿宋_GB2312" w:eastAsia="仿宋_GB2312" w:hint="eastAsia"/>
          <w:color w:val="000000" w:themeColor="text1"/>
          <w:sz w:val="32"/>
          <w:szCs w:val="32"/>
        </w:rPr>
        <w:t>日</w:t>
      </w:r>
    </w:p>
    <w:p w:rsidR="004A1135" w:rsidRDefault="004A1135">
      <w:pPr>
        <w:spacing w:line="520" w:lineRule="exact"/>
        <w:ind w:right="4" w:firstLineChars="1600" w:firstLine="5120"/>
        <w:rPr>
          <w:rFonts w:ascii="仿宋_GB2312" w:eastAsia="仿宋_GB2312"/>
          <w:color w:val="000000" w:themeColor="text1"/>
          <w:sz w:val="32"/>
          <w:szCs w:val="32"/>
        </w:rPr>
      </w:pPr>
    </w:p>
    <w:p w:rsidR="004A1135" w:rsidRDefault="004A1135">
      <w:pPr>
        <w:spacing w:line="520" w:lineRule="exact"/>
        <w:ind w:right="4" w:firstLineChars="1600" w:firstLine="5120"/>
        <w:rPr>
          <w:rFonts w:ascii="仿宋_GB2312" w:eastAsia="仿宋_GB2312"/>
          <w:color w:val="000000" w:themeColor="text1"/>
          <w:sz w:val="32"/>
          <w:szCs w:val="32"/>
        </w:rPr>
      </w:pPr>
    </w:p>
    <w:p w:rsidR="004A1135" w:rsidRDefault="006323D1">
      <w:pPr>
        <w:spacing w:line="520" w:lineRule="exact"/>
        <w:rPr>
          <w:rFonts w:ascii="仿宋_GB2312" w:eastAsia="仿宋_GB2312"/>
          <w:color w:val="000000" w:themeColor="text1"/>
          <w:sz w:val="32"/>
          <w:szCs w:val="32"/>
        </w:rPr>
      </w:pPr>
      <w:r>
        <w:rPr>
          <w:rFonts w:ascii="黑体" w:eastAsia="黑体" w:hint="eastAsia"/>
          <w:color w:val="000000" w:themeColor="text1"/>
          <w:sz w:val="32"/>
          <w:szCs w:val="32"/>
        </w:rPr>
        <w:t>公开方式：</w:t>
      </w:r>
      <w:r>
        <w:rPr>
          <w:rFonts w:ascii="仿宋_GB2312" w:eastAsia="仿宋_GB2312" w:hint="eastAsia"/>
          <w:color w:val="000000" w:themeColor="text1"/>
          <w:sz w:val="32"/>
          <w:szCs w:val="32"/>
        </w:rPr>
        <w:t>主动公开</w:t>
      </w:r>
    </w:p>
    <w:p w:rsidR="004A1135" w:rsidRDefault="004A1135">
      <w:pPr>
        <w:spacing w:line="520" w:lineRule="exact"/>
        <w:rPr>
          <w:rFonts w:ascii="仿宋_GB2312" w:eastAsia="仿宋_GB2312"/>
          <w:color w:val="000000" w:themeColor="text1"/>
          <w:sz w:val="32"/>
          <w:szCs w:val="32"/>
        </w:rPr>
      </w:pPr>
    </w:p>
    <w:p w:rsidR="004A1135" w:rsidRDefault="004A1135">
      <w:pPr>
        <w:spacing w:line="520" w:lineRule="exact"/>
        <w:rPr>
          <w:rFonts w:ascii="仿宋_GB2312" w:eastAsia="仿宋_GB2312"/>
          <w:color w:val="000000" w:themeColor="text1"/>
          <w:sz w:val="32"/>
          <w:szCs w:val="32"/>
        </w:rPr>
      </w:pPr>
    </w:p>
    <w:p w:rsidR="004A1135" w:rsidRDefault="004A1135">
      <w:pPr>
        <w:spacing w:line="520" w:lineRule="exact"/>
        <w:rPr>
          <w:rFonts w:ascii="仿宋_GB2312" w:eastAsia="仿宋_GB2312"/>
          <w:color w:val="000000" w:themeColor="text1"/>
          <w:sz w:val="32"/>
          <w:szCs w:val="32"/>
        </w:rPr>
      </w:pPr>
    </w:p>
    <w:p w:rsidR="004A1135" w:rsidRDefault="006323D1">
      <w:pPr>
        <w:spacing w:line="520" w:lineRule="exact"/>
        <w:ind w:leftChars="201" w:left="1133" w:hangingChars="254" w:hanging="711"/>
        <w:rPr>
          <w:rFonts w:ascii="仿宋_GB2312" w:eastAsia="仿宋_GB2312"/>
          <w:color w:val="000000" w:themeColor="text1"/>
          <w:sz w:val="28"/>
          <w:szCs w:val="28"/>
        </w:rPr>
      </w:pPr>
      <w:r>
        <w:rPr>
          <w:rFonts w:ascii="仿宋_GB2312" w:eastAsia="仿宋_GB2312" w:hint="eastAsia"/>
          <w:color w:val="000000" w:themeColor="text1"/>
          <w:sz w:val="28"/>
          <w:szCs w:val="28"/>
        </w:rPr>
        <w:t>抄送：广州市生态环境局番禺分局执法</w:t>
      </w:r>
      <w:r>
        <w:rPr>
          <w:rFonts w:ascii="仿宋_GB2312" w:eastAsia="仿宋_GB2312" w:hint="eastAsia"/>
          <w:color w:val="000000" w:themeColor="text1"/>
          <w:sz w:val="32"/>
          <w:szCs w:val="32"/>
        </w:rPr>
        <w:t>二</w:t>
      </w:r>
      <w:r>
        <w:rPr>
          <w:rFonts w:ascii="仿宋_GB2312" w:eastAsia="仿宋_GB2312" w:hint="eastAsia"/>
          <w:color w:val="000000" w:themeColor="text1"/>
          <w:sz w:val="28"/>
          <w:szCs w:val="28"/>
        </w:rPr>
        <w:t>科、</w:t>
      </w:r>
      <w:r>
        <w:rPr>
          <w:rFonts w:ascii="仿宋_GB2312" w:eastAsia="仿宋_GB2312" w:hint="eastAsia"/>
          <w:color w:val="000000" w:themeColor="text1"/>
          <w:sz w:val="28"/>
          <w:szCs w:val="28"/>
        </w:rPr>
        <w:t>番禺</w:t>
      </w:r>
      <w:r>
        <w:rPr>
          <w:rFonts w:ascii="仿宋_GB2312" w:eastAsia="仿宋_GB2312" w:hint="eastAsia"/>
          <w:color w:val="000000" w:themeColor="text1"/>
          <w:sz w:val="28"/>
          <w:szCs w:val="28"/>
        </w:rPr>
        <w:t>第</w:t>
      </w:r>
      <w:r>
        <w:rPr>
          <w:rFonts w:ascii="仿宋_GB2312" w:eastAsia="仿宋_GB2312" w:hint="eastAsia"/>
          <w:color w:val="000000" w:themeColor="text1"/>
          <w:sz w:val="32"/>
          <w:szCs w:val="32"/>
        </w:rPr>
        <w:t>五</w:t>
      </w:r>
      <w:r>
        <w:rPr>
          <w:rFonts w:ascii="仿宋_GB2312" w:eastAsia="仿宋_GB2312" w:hint="eastAsia"/>
          <w:color w:val="000000" w:themeColor="text1"/>
          <w:sz w:val="28"/>
          <w:szCs w:val="28"/>
        </w:rPr>
        <w:t>环保所，</w:t>
      </w:r>
      <w:r>
        <w:rPr>
          <w:rFonts w:ascii="仿宋_GB2312" w:eastAsia="仿宋_GB2312" w:hint="eastAsia"/>
          <w:color w:val="000000" w:themeColor="text1"/>
          <w:sz w:val="28"/>
          <w:szCs w:val="28"/>
        </w:rPr>
        <w:t>广州市番禺环境工程有限公司</w:t>
      </w:r>
      <w:r>
        <w:rPr>
          <w:rFonts w:ascii="仿宋_GB2312" w:eastAsia="仿宋_GB2312" w:hint="eastAsia"/>
          <w:color w:val="000000" w:themeColor="text1"/>
          <w:sz w:val="28"/>
          <w:szCs w:val="28"/>
        </w:rPr>
        <w:t>。</w:t>
      </w:r>
    </w:p>
    <w:p w:rsidR="004A1135" w:rsidRDefault="004A1135">
      <w:pPr>
        <w:spacing w:line="560" w:lineRule="exact"/>
        <w:ind w:leftChars="201" w:left="1133" w:hangingChars="254" w:hanging="711"/>
        <w:rPr>
          <w:rFonts w:ascii="仿宋_GB2312" w:eastAsia="仿宋_GB2312"/>
          <w:sz w:val="28"/>
          <w:szCs w:val="28"/>
        </w:rPr>
      </w:pPr>
    </w:p>
    <w:sectPr w:rsidR="004A1135">
      <w:footerReference w:type="even" r:id="rId7"/>
      <w:footerReference w:type="default" r:id="rId8"/>
      <w:footerReference w:type="first" r:id="rId9"/>
      <w:pgSz w:w="11906" w:h="16838"/>
      <w:pgMar w:top="1588" w:right="1474" w:bottom="1134" w:left="1588" w:header="851" w:footer="624" w:gutter="0"/>
      <w:cols w:space="425"/>
      <w:titlePg/>
      <w:docGrid w:type="lines" w:linePitch="613"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3D1" w:rsidRDefault="006323D1">
      <w:r>
        <w:separator/>
      </w:r>
    </w:p>
  </w:endnote>
  <w:endnote w:type="continuationSeparator" w:id="0">
    <w:p w:rsidR="006323D1" w:rsidRDefault="0063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35" w:rsidRDefault="006323D1">
    <w:pPr>
      <w:pStyle w:val="a7"/>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4A1135" w:rsidRDefault="004A1135">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35" w:rsidRDefault="006323D1">
    <w:pPr>
      <w:pStyle w:val="a7"/>
      <w:framePr w:wrap="around" w:vAnchor="text" w:hAnchor="margin" w:xAlign="outside" w:y="1"/>
      <w:rPr>
        <w:rStyle w:val="ad"/>
        <w:rFonts w:ascii="宋体" w:hAnsi="宋体"/>
        <w:sz w:val="28"/>
        <w:szCs w:val="28"/>
      </w:rPr>
    </w:pPr>
    <w:r>
      <w:rPr>
        <w:rStyle w:val="ad"/>
        <w:rFonts w:ascii="宋体" w:hAnsi="宋体" w:hint="eastAsia"/>
        <w:sz w:val="28"/>
        <w:szCs w:val="28"/>
      </w:rPr>
      <w:t>—</w:t>
    </w: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694ECE">
      <w:rPr>
        <w:rStyle w:val="ad"/>
        <w:rFonts w:ascii="宋体" w:hAnsi="宋体"/>
        <w:noProof/>
        <w:sz w:val="28"/>
        <w:szCs w:val="28"/>
      </w:rPr>
      <w:t>4</w:t>
    </w:r>
    <w:r>
      <w:rPr>
        <w:rStyle w:val="ad"/>
        <w:rFonts w:ascii="宋体" w:hAnsi="宋体"/>
        <w:sz w:val="28"/>
        <w:szCs w:val="28"/>
      </w:rPr>
      <w:fldChar w:fldCharType="end"/>
    </w:r>
    <w:r>
      <w:rPr>
        <w:rStyle w:val="ad"/>
        <w:rFonts w:ascii="宋体" w:hAnsi="宋体" w:hint="eastAsia"/>
        <w:sz w:val="28"/>
        <w:szCs w:val="28"/>
      </w:rPr>
      <w:t xml:space="preserve"> </w:t>
    </w:r>
    <w:r>
      <w:rPr>
        <w:rStyle w:val="ad"/>
        <w:rFonts w:ascii="宋体" w:hAnsi="宋体" w:hint="eastAsia"/>
        <w:sz w:val="28"/>
        <w:szCs w:val="28"/>
      </w:rPr>
      <w:t>—</w:t>
    </w:r>
  </w:p>
  <w:p w:rsidR="004A1135" w:rsidRDefault="004A1135">
    <w:pPr>
      <w:pStyle w:val="a7"/>
      <w:ind w:right="360" w:firstLine="360"/>
      <w:jc w:val="center"/>
      <w:rPr>
        <w:rFonts w:ascii="Times New Roman" w:hAnsi="Times New Roman"/>
        <w:sz w:val="28"/>
        <w:szCs w:val="28"/>
      </w:rPr>
    </w:pPr>
  </w:p>
  <w:p w:rsidR="004A1135" w:rsidRDefault="004A113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35" w:rsidRDefault="006323D1">
    <w:pPr>
      <w:pStyle w:val="a7"/>
    </w:pPr>
    <w:r>
      <w:rPr>
        <w:rFonts w:ascii="方正小标宋简体" w:eastAsia="方正小标宋简体" w:hAnsi="方正小标宋简体" w:cs="方正小标宋简体" w:hint="eastAsia"/>
        <w:noProof/>
        <w:color w:val="000000" w:themeColor="text1"/>
        <w:sz w:val="44"/>
        <w:szCs w:val="44"/>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9893935</wp:posOffset>
              </wp:positionV>
              <wp:extent cx="6120130" cy="6350"/>
              <wp:effectExtent l="0" t="28575" r="13970" b="41275"/>
              <wp:wrapNone/>
              <wp:docPr id="2" name="直接连接符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130" cy="635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5F085CB3" id="直接连接符 2" o:spid="_x0000_s1026" style="position:absolute;left:0;text-align:left;z-index:251659264;visibility:visible;mso-wrap-style:square;mso-wrap-distance-left:9pt;mso-wrap-distance-top:0;mso-wrap-distance-right:9pt;mso-wrap-distance-bottom:0;mso-position-horizontal:center;mso-position-horizontal-relative:page;mso-position-vertical:absolute;mso-position-vertical-relative:page" from="0,779.05pt" to="481.9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g4/AEAAMMDAAAOAAAAZHJzL2Uyb0RvYy54bWysU0uOEzEQ3SNxB8t70klGE1ArnRFKCJsR&#10;RJrhABXbnbbGP7lMOrkEF0BiByuW7LkNwzEoOx8G2CCEFyXbVfVc71V5erWzhm1VRO1dw0eDIWfK&#10;CS+12zT8ze3yyTPOMIGTYLxTDd8r5Fezx4+mfajV2HfeSBUZgTis+9DwLqVQVxWKTlnAgQ/KkbP1&#10;0UKiY9xUMkJP6NZU4+FwUvU+yhC9UIh0uzg4+azgt60S6XXbokrMNJxqS8XGYtfZVrMp1JsIodPi&#10;WAb8QxUWtKNHz1ALSMDeRv0HlNUievRtGghvK9+2WqjCgdiMhr+xuekgqMKFxMFwlgn/H6x4tV1F&#10;pmXDx5w5sNSi+/dfvr37+P3rB7L3nz+xcRapD1hT7NytYqYpdu4mXHtxh8z5eQduo55jILVpBnJ4&#10;9Ut8PmA4ZO7aaDMCUWe70of9uQ9ql5igy8mIxLigdgnyTS4uS5sqqE+5IWJ6qbxledNwo11WCWrY&#10;XmPKr0N9CsnXxrG+4ZdPRwTEBNCUtQYSbW0g3qnT7pa6f1cg0Bstl9qYnIhxs56byLZA07NcDmkV&#10;cuR5GJbfWgB2h7jiOsxVp0C+cJKlfSBdHX0AniuxSnJmFP2XvCsTmECbv4kkZsYd5T0omrVde7lf&#10;xZPsNClFguNU51F8eC7ZP//e7AcAAAD//wMAUEsDBBQABgAIAAAAIQCVs8wr3QAAAAoBAAAPAAAA&#10;ZHJzL2Rvd25yZXYueG1sTI/BTsMwEETvSPyDtUjcqBNQqybEqUpQD0hcUuDuxksSJV5HsdOav2fh&#10;AsedGc3OK3bRjuKMs+8dKUhXCQikxpmeWgXvb4e7LQgfNBk9OkIFX+hhV15fFTo37kI1no+hFVxC&#10;PtcKuhCmXErfdGi1X7kJib1PN1sd+JxbaWZ94XI7yvsk2Uire+IPnZ6w6rAZjotV8LJ/HZ6qUNX1&#10;8zhkMX4sWXVApW5v4v4RRMAY/sLwM5+nQ8mbTm4h48WogEECq+v1NgXBfrZ5YJTTr5SlIMtC/kco&#10;vwEAAP//AwBQSwECLQAUAAYACAAAACEAtoM4kv4AAADhAQAAEwAAAAAAAAAAAAAAAAAAAAAAW0Nv&#10;bnRlbnRfVHlwZXNdLnhtbFBLAQItABQABgAIAAAAIQA4/SH/1gAAAJQBAAALAAAAAAAAAAAAAAAA&#10;AC8BAABfcmVscy8ucmVsc1BLAQItABQABgAIAAAAIQAmufg4/AEAAMMDAAAOAAAAAAAAAAAAAAAA&#10;AC4CAABkcnMvZTJvRG9jLnhtbFBLAQItABQABgAIAAAAIQCVs8wr3QAAAAoBAAAPAAAAAAAAAAAA&#10;AAAAAFYEAABkcnMvZG93bnJldi54bWxQSwUGAAAAAAQABADzAAAAYAUAAAAA&#10;" strokecolor="red" strokeweight="4.5pt">
              <v:stroke linestyle="thinThick"/>
              <o:lock v:ext="edit" aspectratio="t" shapetype="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3D1" w:rsidRDefault="006323D1">
      <w:r>
        <w:separator/>
      </w:r>
    </w:p>
  </w:footnote>
  <w:footnote w:type="continuationSeparator" w:id="0">
    <w:p w:rsidR="006323D1" w:rsidRDefault="00632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420"/>
  <w:drawingGridHorizontalSpacing w:val="158"/>
  <w:drawingGridVerticalSpacing w:val="61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OTI2Y2Y4NTVhMDE4ZDI0NmQ3YmQxYzcwODhjOTY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1135"/>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23D1"/>
    <w:rsid w:val="00635EAB"/>
    <w:rsid w:val="00640DE7"/>
    <w:rsid w:val="00641192"/>
    <w:rsid w:val="006576FA"/>
    <w:rsid w:val="00677228"/>
    <w:rsid w:val="00693BD5"/>
    <w:rsid w:val="00694ECE"/>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D529A"/>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B86851"/>
    <w:rsid w:val="021460CD"/>
    <w:rsid w:val="0225684B"/>
    <w:rsid w:val="03363F3D"/>
    <w:rsid w:val="04817C37"/>
    <w:rsid w:val="053247A7"/>
    <w:rsid w:val="05414FD9"/>
    <w:rsid w:val="091574A4"/>
    <w:rsid w:val="09ED3BCE"/>
    <w:rsid w:val="0E955E3E"/>
    <w:rsid w:val="0E971B2A"/>
    <w:rsid w:val="0F833CC8"/>
    <w:rsid w:val="106A71D6"/>
    <w:rsid w:val="10BF38FB"/>
    <w:rsid w:val="10FE2EC4"/>
    <w:rsid w:val="11D03E55"/>
    <w:rsid w:val="12737E91"/>
    <w:rsid w:val="12AB1C3C"/>
    <w:rsid w:val="12CD72C1"/>
    <w:rsid w:val="12DA5DA1"/>
    <w:rsid w:val="13AB4C23"/>
    <w:rsid w:val="13BB17F2"/>
    <w:rsid w:val="157D650A"/>
    <w:rsid w:val="16FA246F"/>
    <w:rsid w:val="1BC528C4"/>
    <w:rsid w:val="1C1D0B2C"/>
    <w:rsid w:val="1C616E81"/>
    <w:rsid w:val="1D4266B3"/>
    <w:rsid w:val="1E757FC7"/>
    <w:rsid w:val="1F4D7EC7"/>
    <w:rsid w:val="1FAD0826"/>
    <w:rsid w:val="1FC82394"/>
    <w:rsid w:val="2012755B"/>
    <w:rsid w:val="204B755B"/>
    <w:rsid w:val="20CF4E76"/>
    <w:rsid w:val="22024847"/>
    <w:rsid w:val="221365B8"/>
    <w:rsid w:val="227D66DC"/>
    <w:rsid w:val="22D312BB"/>
    <w:rsid w:val="232448DF"/>
    <w:rsid w:val="246B5CE5"/>
    <w:rsid w:val="26A87BC4"/>
    <w:rsid w:val="276276B7"/>
    <w:rsid w:val="27BD6789"/>
    <w:rsid w:val="28AE5DA0"/>
    <w:rsid w:val="295248DB"/>
    <w:rsid w:val="29A43513"/>
    <w:rsid w:val="2B3726AD"/>
    <w:rsid w:val="2D004820"/>
    <w:rsid w:val="2F393C7B"/>
    <w:rsid w:val="2FAE193C"/>
    <w:rsid w:val="307C5365"/>
    <w:rsid w:val="30A22B85"/>
    <w:rsid w:val="325A6F1E"/>
    <w:rsid w:val="361C27B0"/>
    <w:rsid w:val="37000936"/>
    <w:rsid w:val="3705608F"/>
    <w:rsid w:val="37FC022F"/>
    <w:rsid w:val="38EB77CC"/>
    <w:rsid w:val="38F30E4E"/>
    <w:rsid w:val="395413A0"/>
    <w:rsid w:val="3A2A7A38"/>
    <w:rsid w:val="3AA44A54"/>
    <w:rsid w:val="3AE822E0"/>
    <w:rsid w:val="3BDC5B02"/>
    <w:rsid w:val="3CC7607D"/>
    <w:rsid w:val="3EC51AE0"/>
    <w:rsid w:val="3F49060B"/>
    <w:rsid w:val="3F5B35F1"/>
    <w:rsid w:val="3FB306B4"/>
    <w:rsid w:val="40140588"/>
    <w:rsid w:val="409B6129"/>
    <w:rsid w:val="41171C7F"/>
    <w:rsid w:val="421D23EE"/>
    <w:rsid w:val="423F023E"/>
    <w:rsid w:val="42817ECC"/>
    <w:rsid w:val="442524D2"/>
    <w:rsid w:val="44A51F36"/>
    <w:rsid w:val="450F1F75"/>
    <w:rsid w:val="453C3F01"/>
    <w:rsid w:val="460A0D61"/>
    <w:rsid w:val="483779D9"/>
    <w:rsid w:val="49B945DF"/>
    <w:rsid w:val="49DE5C93"/>
    <w:rsid w:val="4AA34302"/>
    <w:rsid w:val="4AE22D88"/>
    <w:rsid w:val="4B621286"/>
    <w:rsid w:val="4E2638D4"/>
    <w:rsid w:val="4E333214"/>
    <w:rsid w:val="4EB11A7C"/>
    <w:rsid w:val="4EE06776"/>
    <w:rsid w:val="4F586ABA"/>
    <w:rsid w:val="4F9C166D"/>
    <w:rsid w:val="51207E3F"/>
    <w:rsid w:val="51F97ABA"/>
    <w:rsid w:val="524D3164"/>
    <w:rsid w:val="526124D3"/>
    <w:rsid w:val="526D636A"/>
    <w:rsid w:val="528146B5"/>
    <w:rsid w:val="53B57B56"/>
    <w:rsid w:val="54592BC2"/>
    <w:rsid w:val="55F433AB"/>
    <w:rsid w:val="55FE082D"/>
    <w:rsid w:val="56562F7A"/>
    <w:rsid w:val="56EB0672"/>
    <w:rsid w:val="57262204"/>
    <w:rsid w:val="58272CFA"/>
    <w:rsid w:val="583D1DA6"/>
    <w:rsid w:val="596879A6"/>
    <w:rsid w:val="5997723D"/>
    <w:rsid w:val="59F57B8E"/>
    <w:rsid w:val="5A876B01"/>
    <w:rsid w:val="5AB373B5"/>
    <w:rsid w:val="5B7E4A72"/>
    <w:rsid w:val="5CD10ED2"/>
    <w:rsid w:val="5D17002E"/>
    <w:rsid w:val="5D302779"/>
    <w:rsid w:val="5DC909B8"/>
    <w:rsid w:val="5E0D6250"/>
    <w:rsid w:val="5E87559F"/>
    <w:rsid w:val="5E91383E"/>
    <w:rsid w:val="5EEB20AD"/>
    <w:rsid w:val="5F986076"/>
    <w:rsid w:val="5FAC665B"/>
    <w:rsid w:val="5FEF186C"/>
    <w:rsid w:val="60AB5036"/>
    <w:rsid w:val="60F00D75"/>
    <w:rsid w:val="62973EAF"/>
    <w:rsid w:val="670A7A3E"/>
    <w:rsid w:val="6786138F"/>
    <w:rsid w:val="67CD1782"/>
    <w:rsid w:val="68A62F74"/>
    <w:rsid w:val="690349F5"/>
    <w:rsid w:val="69EF3DF1"/>
    <w:rsid w:val="6B2F71CC"/>
    <w:rsid w:val="6B435101"/>
    <w:rsid w:val="6B79486E"/>
    <w:rsid w:val="6C47151C"/>
    <w:rsid w:val="6D35765F"/>
    <w:rsid w:val="6D36654C"/>
    <w:rsid w:val="6D57543A"/>
    <w:rsid w:val="6D8B22BF"/>
    <w:rsid w:val="6DCC7A56"/>
    <w:rsid w:val="6E852BE1"/>
    <w:rsid w:val="6EF174EB"/>
    <w:rsid w:val="6FA2401A"/>
    <w:rsid w:val="70855E86"/>
    <w:rsid w:val="73006EB1"/>
    <w:rsid w:val="73417714"/>
    <w:rsid w:val="73923FC8"/>
    <w:rsid w:val="750021A3"/>
    <w:rsid w:val="7507411D"/>
    <w:rsid w:val="762C5749"/>
    <w:rsid w:val="765C5FCF"/>
    <w:rsid w:val="768415A7"/>
    <w:rsid w:val="774C7907"/>
    <w:rsid w:val="77A5337F"/>
    <w:rsid w:val="79894A9E"/>
    <w:rsid w:val="798C1BA4"/>
    <w:rsid w:val="7B331FDF"/>
    <w:rsid w:val="7BA515D0"/>
    <w:rsid w:val="7C332544"/>
    <w:rsid w:val="7C8E76E8"/>
    <w:rsid w:val="7CDF2A45"/>
    <w:rsid w:val="7DCC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AE64F5"/>
  <w15:docId w15:val="{429876A4-FDC2-42B0-9746-241EDD32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semiHidden/>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Char1">
    <w:name w:val="Char1"/>
    <w:basedOn w:val="a"/>
    <w:qFormat/>
    <w:pPr>
      <w:tabs>
        <w:tab w:val="left" w:pos="840"/>
      </w:tabs>
      <w:ind w:left="840" w:hanging="420"/>
    </w:pPr>
    <w:rPr>
      <w:rFonts w:ascii="Times New Roman" w:hAnsi="Times New Roman"/>
      <w:sz w:val="24"/>
      <w:szCs w:val="24"/>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Calibri" w:hAnsi="Calibri"/>
      <w:kern w:val="2"/>
      <w:sz w:val="21"/>
      <w:szCs w:val="22"/>
    </w:r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TotalTime>1</TotalTime>
  <Pages>4</Pages>
  <Words>359</Words>
  <Characters>2050</Characters>
  <Application>Microsoft Office Word</Application>
  <DocSecurity>0</DocSecurity>
  <Lines>17</Lines>
  <Paragraphs>4</Paragraphs>
  <ScaleCrop>false</ScaleCrop>
  <Company>Bureau of Environment Protection</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Panyu EPB</dc:creator>
  <cp:lastModifiedBy>Administrator</cp:lastModifiedBy>
  <cp:revision>5</cp:revision>
  <cp:lastPrinted>2024-07-11T06:52:00Z</cp:lastPrinted>
  <dcterms:created xsi:type="dcterms:W3CDTF">2019-11-22T08:14:00Z</dcterms:created>
  <dcterms:modified xsi:type="dcterms:W3CDTF">2025-04-01T00:44:00Z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58D09FE3B2E14EF9B4F43FF1556A90A2_13</vt:lpwstr>
  </property>
</Properties>
</file>