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hint="eastAsia" w:ascii="仿宋" w:hAnsi="仿宋" w:eastAsia="仿宋" w:cs="Times New Roman"/>
          <w:color w:val="000000"/>
          <w:sz w:val="24"/>
        </w:rPr>
      </w:pPr>
      <w:bookmarkStart w:id="0" w:name="_Hlk110948188"/>
      <w:r>
        <w:rPr>
          <w:rFonts w:ascii="仿宋" w:hAnsi="仿宋" w:eastAsia="仿宋"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仿宋" w:hAnsi="仿宋" w:eastAsia="仿宋"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仿宋" w:hAnsi="仿宋" w:eastAsia="仿宋"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仿宋" w:hAnsi="仿宋" w:eastAsia="仿宋"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仿宋" w:hAnsi="仿宋" w:eastAsia="仿宋"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420" w:lineRule="exact"/>
        <w:ind w:left="6300" w:leftChars="3000" w:right="15" w:rightChars="7" w:firstLine="117" w:firstLineChars="42"/>
        <w:jc w:val="right"/>
        <w:rPr>
          <w:rFonts w:ascii="Times New Roman" w:hAnsi="Times New Roman" w:eastAsia="仿宋" w:cs="Times New Roman"/>
          <w:color w:val="000000"/>
          <w:sz w:val="28"/>
          <w:szCs w:val="28"/>
        </w:rPr>
      </w:pPr>
      <w:bookmarkStart w:id="1" w:name="_Hlk110948178"/>
      <w:r>
        <w:rPr>
          <w:rFonts w:ascii="Times New Roman" w:hAnsi="Times New Roman" w:eastAsia="仿宋" w:cs="Times New Roman"/>
          <w:color w:val="000000"/>
          <w:sz w:val="28"/>
          <w:szCs w:val="28"/>
        </w:rPr>
        <w:t>业会专审[2025]037号</w:t>
      </w:r>
    </w:p>
    <w:bookmarkEnd w:id="0"/>
    <w:bookmarkEnd w:id="1"/>
    <w:p>
      <w:pPr>
        <w:jc w:val="center"/>
        <w:rPr>
          <w:rFonts w:ascii="Times New Roman" w:hAnsi="Times New Roman" w:eastAsia="仿宋" w:cs="Times New Roman"/>
          <w:b/>
          <w:bCs/>
          <w:sz w:val="40"/>
          <w:szCs w:val="48"/>
        </w:rPr>
      </w:pPr>
    </w:p>
    <w:p>
      <w:pPr>
        <w:spacing w:line="500" w:lineRule="exact"/>
        <w:jc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关于对广州市番禺区市桥街东西片社工服务站</w:t>
      </w:r>
    </w:p>
    <w:p>
      <w:pPr>
        <w:spacing w:line="500" w:lineRule="exact"/>
        <w:jc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2024年8月26日至2025年2月25日财务管理情况评估报告</w:t>
      </w:r>
    </w:p>
    <w:p>
      <w:pPr>
        <w:spacing w:line="500" w:lineRule="exact"/>
        <w:jc w:val="center"/>
        <w:rPr>
          <w:rFonts w:ascii="Times New Roman" w:hAnsi="Times New Roman" w:eastAsia="仿宋" w:cs="Times New Roman"/>
          <w:b/>
          <w:color w:val="000000" w:themeColor="text1"/>
          <w:sz w:val="28"/>
          <w:szCs w:val="28"/>
          <w14:textFill>
            <w14:solidFill>
              <w14:schemeClr w14:val="tx1"/>
            </w14:solidFill>
          </w14:textFill>
        </w:rPr>
      </w:pPr>
    </w:p>
    <w:p>
      <w:pPr>
        <w:spacing w:line="580" w:lineRule="exact"/>
        <w:ind w:right="-8"/>
        <w:rPr>
          <w:rFonts w:ascii="Times New Roman" w:hAnsi="Times New Roman" w:eastAsia="仿宋" w:cs="Times New Roman"/>
          <w:b/>
          <w:spacing w:val="-10"/>
          <w:sz w:val="28"/>
          <w:szCs w:val="28"/>
        </w:rPr>
      </w:pPr>
      <w:r>
        <w:rPr>
          <w:rFonts w:ascii="Times New Roman" w:hAnsi="Times New Roman" w:eastAsia="仿宋"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我们接受委托，对广州市番禺区市桥街东西片社工服务站（以下简称东西片社工站）2024年8月26日至2025年2月25日财务管理情况进行财务评估。提供真实、合法、完整的会计资料和评估相关资料是东西片社工站及其承接机构的责任，我们的责任是依据《中国注册会计师执业准则》、《中华人民共和国会计法》、《会计基础工作规范》、《民间非营利组织会计制度》、</w:t>
      </w:r>
      <w:bookmarkStart w:id="2" w:name="_Hlk151996488"/>
      <w:bookmarkStart w:id="3" w:name="_Hlk110794232"/>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bookmarkEnd w:id="2"/>
      <w:bookmarkEnd w:id="3"/>
      <w:r>
        <w:rPr>
          <w:rFonts w:ascii="Times New Roman" w:hAnsi="Times New Roman" w:eastAsia="仿宋" w:cs="Times New Roman"/>
          <w:sz w:val="28"/>
          <w:szCs w:val="28"/>
        </w:rPr>
        <w:t>及广州市番禺区人民政府市桥街道办事处与社工服务站承接机构签订的购买服务协议中相关约定，对东西片社工站的财务管理情况进行审核，并出具财务评估报告。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东西片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00" w:lineRule="exact"/>
        <w:ind w:right="-6" w:rightChars="-3"/>
        <w:rPr>
          <w:rFonts w:ascii="Times New Roman" w:hAnsi="Times New Roman" w:eastAsia="仿宋" w:cs="Times New Roman"/>
          <w:b/>
          <w:sz w:val="28"/>
          <w:szCs w:val="28"/>
        </w:rPr>
      </w:pPr>
      <w:r>
        <w:rPr>
          <w:rFonts w:ascii="Times New Roman" w:hAnsi="Times New Roman" w:eastAsia="仿宋" w:cs="Times New Roman"/>
          <w:b/>
          <w:sz w:val="28"/>
          <w:szCs w:val="28"/>
        </w:rPr>
        <w:t>一、东西片社工站基本情况</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承接机构名称：广州市番禺区普爱社会工作服务社。</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承接机构法定代表人：吴娟。</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招标采购周期：2024年8月26日至2027年8月25日。</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本次服务协议期限：2024年8月26日至2025年8月25日。</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政府购买服务经费：本服务协议期限2024年8月26日至2025年8月25日的服务经费总计2,400,000.00元，分为三期拨付。在协议签订生效之日起30个工作日内拨付年度项目经费的55%即1,320,000.00元；年度中期评估为合格以上的，拨付项目经费的40%即960,000.00元；年度末期评估为合格以上的，拨付年度项目经费的5%即120,000.00元。</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二、东西片社工站财务管理制度执行情况</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㈠非营利组织会计制度的执行情况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东西片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㈡财务监管、风控制度的执行情况</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番禺区普爱社会工作服务社根据自身特点建立了财务管理制度，对机构报销及支出、备用金、发票开具、固定资产、财务内控、现金与物资等方面的管理进行了规范。东西片社工站在实际工作中按相关规定编制“市桥街道东西片社工服务站预算表”；在经费报销和物资采购等方面均能执行承接机构制度规定的程序、权限。</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２、东西片社工站严格执行固定资产管理的相关制度，并定期对固定资产进行盘点，详见本报告后附2025年2月28日固定资产明细表。</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w:t>
      </w:r>
      <w:bookmarkStart w:id="4" w:name="_Hlk110953931"/>
      <w:r>
        <w:rPr>
          <w:rFonts w:ascii="Times New Roman" w:hAnsi="Times New Roman" w:eastAsia="仿宋" w:cs="Times New Roman"/>
          <w:sz w:val="28"/>
          <w:szCs w:val="28"/>
        </w:rPr>
        <w:t>承接机构广州市番禺区普爱社会工作服务社已按要求编制服务期内东西片社工站的财务自评报告；</w:t>
      </w:r>
      <w:bookmarkEnd w:id="4"/>
      <w:r>
        <w:rPr>
          <w:rFonts w:ascii="Times New Roman" w:hAnsi="Times New Roman" w:eastAsia="仿宋" w:cs="Times New Roman"/>
          <w:spacing w:val="-4"/>
          <w:sz w:val="28"/>
          <w:szCs w:val="28"/>
        </w:rPr>
        <w:t>服务社2023年度财务报表已经</w:t>
      </w:r>
      <w:bookmarkStart w:id="5" w:name="_Hlk137797530"/>
      <w:r>
        <w:rPr>
          <w:rFonts w:ascii="Times New Roman" w:hAnsi="Times New Roman" w:eastAsia="仿宋" w:cs="Times New Roman"/>
          <w:spacing w:val="-4"/>
          <w:sz w:val="28"/>
          <w:szCs w:val="28"/>
        </w:rPr>
        <w:t>广州诚昊会计师事务所</w:t>
      </w:r>
      <w:bookmarkEnd w:id="5"/>
      <w:r>
        <w:rPr>
          <w:rFonts w:ascii="Times New Roman" w:hAnsi="Times New Roman" w:eastAsia="仿宋" w:cs="Times New Roman"/>
          <w:spacing w:val="-4"/>
          <w:sz w:val="28"/>
          <w:szCs w:val="28"/>
        </w:rPr>
        <w:t>（普通合伙）审计，并取得诚会审字[2024]第1021号无保留意见审计报告；2023年度企业所得税纳税情况已经广州诚昊税务师事务所有限公司复核，并取得诚税审字（2024）第10083号汇算清缴纳税调整报告。截止报告日，中心暂未出具2024年度审计报告及汇算清缴纳税调整报告。</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三、东西片社工站人员配备情况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承接机构广州市番禺区普爱社会工作服务社严格贯彻不相容职务分离原则，配置财务管理人员2名，分别担任副总干事（负责财务管理）及出纳岗位，负责包括东西片社工站在内的中心财务工作，其中主管财务工作的副总干事陈敏玲已取得中级会计专业技术资格证。</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经查阅，会计陈敏玲及出纳张颖均已完成2024年度会计专业技术人员继续教育学习任务，且相应工资、五险一金等薪金支出在机构作为运营管理费用项目核算，未计入社工人员经费支出，符合要求。</w:t>
      </w:r>
    </w:p>
    <w:p>
      <w:pPr>
        <w:spacing w:line="59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四、东西片社工站服务经费支出情况</w:t>
      </w:r>
    </w:p>
    <w:p>
      <w:pPr>
        <w:spacing w:line="590" w:lineRule="exact"/>
        <w:ind w:right="-6" w:rightChars="-3"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承接机构广州市番禺区普爱社会工作服务社根据《</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w:t>
      </w:r>
      <w:r>
        <w:rPr>
          <w:rFonts w:ascii="Times New Roman" w:hAnsi="Times New Roman" w:eastAsia="仿宋" w:cs="Times New Roman"/>
          <w:spacing w:val="-4"/>
          <w:sz w:val="28"/>
          <w:szCs w:val="28"/>
        </w:rPr>
        <w:t>》（穗民〔2023〕97号）等相关规定，结合实际情况建立了《财务内控制度》《报销及支出管理制度》，明确了财务经费支出的审核程序及支出权限。</w:t>
      </w:r>
      <w:r>
        <w:rPr>
          <w:rFonts w:ascii="Times New Roman" w:hAnsi="Times New Roman" w:eastAsia="仿宋" w:cs="Times New Roman"/>
          <w:spacing w:val="2"/>
          <w:sz w:val="28"/>
          <w:szCs w:val="28"/>
        </w:rPr>
        <w:t>财务制度规定：活动服务经费在500元以内（含500元）由中心主任签批，500 元以上1000 元（含）以下由副总干事及财务总监共同签批；行政办公费用在1000元以内（含1000元）由行政/财务总监共同签批；其他各项支出在1000元以内（含1000元）由副总干事及财务总监共同签批；各项支出在1000元以上30000元以下（含30000元）由总干事签批，30000元以上需由理事长签批。经费支出由经办人、复核人、审核人签名。</w:t>
      </w:r>
      <w:r>
        <w:rPr>
          <w:rFonts w:ascii="Times New Roman" w:hAnsi="Times New Roman" w:eastAsia="仿宋" w:cs="Times New Roman"/>
          <w:spacing w:val="-4"/>
          <w:sz w:val="28"/>
          <w:szCs w:val="28"/>
        </w:rPr>
        <w:t>本评估期内东西片社工站经费支出具体情况如下：</w:t>
      </w:r>
    </w:p>
    <w:p>
      <w:pPr>
        <w:spacing w:line="58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㈠财务支出的合规性</w:t>
      </w:r>
    </w:p>
    <w:p>
      <w:pPr>
        <w:spacing w:line="58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东西片社工站经费使用的范围、比例基本能按《广州市社工服务站管理办法》有关规定执行。东西片社工站每年有制定“市桥街道东西片社工服务站预算表”，明确规划了协议期内的收入和支出预算计划，经费支出预算表基本能符合《民间非营利组织会计制度》和广州市番禺区人民政府</w:t>
      </w:r>
      <w:r>
        <w:rPr>
          <w:rFonts w:ascii="Times New Roman" w:hAnsi="Times New Roman" w:eastAsia="仿宋" w:cs="Times New Roman"/>
          <w:spacing w:val="-2"/>
          <w:sz w:val="28"/>
          <w:szCs w:val="28"/>
        </w:rPr>
        <w:t>市桥</w:t>
      </w:r>
      <w:r>
        <w:rPr>
          <w:rFonts w:ascii="Times New Roman" w:hAnsi="Times New Roman" w:eastAsia="仿宋" w:cs="Times New Roman"/>
          <w:sz w:val="28"/>
          <w:szCs w:val="28"/>
        </w:rPr>
        <w:t>街道办事处与社工服务站承接机构签订的购买服务协议中人员费用、服务质量保障费用和运营管理费用规定的使用范围，活动经费预算表有机构理事会负责人签名确认。</w:t>
      </w:r>
    </w:p>
    <w:p>
      <w:pPr>
        <w:spacing w:line="58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㈡财务支出的合理性</w:t>
      </w:r>
    </w:p>
    <w:p>
      <w:pPr>
        <w:tabs>
          <w:tab w:val="right" w:pos="9354"/>
        </w:tabs>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经审核，东西片社工站财务支出的事由、票据、标准基本合理。东西片社工站有经费预算程序，财务支出根据经费预算计划执行、基本能按预算标准支出，并有财务支出票据。</w:t>
      </w:r>
    </w:p>
    <w:p>
      <w:pPr>
        <w:spacing w:line="58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㈢财务支出的审批情况</w:t>
      </w:r>
    </w:p>
    <w:p>
      <w:pPr>
        <w:spacing w:line="580" w:lineRule="exact"/>
        <w:ind w:firstLine="552" w:firstLineChars="200"/>
        <w:rPr>
          <w:rFonts w:ascii="Times New Roman" w:hAnsi="Times New Roman" w:eastAsia="仿宋" w:cs="Times New Roman"/>
          <w:spacing w:val="-2"/>
          <w:sz w:val="28"/>
          <w:szCs w:val="28"/>
        </w:rPr>
      </w:pPr>
      <w:r>
        <w:rPr>
          <w:rFonts w:ascii="Times New Roman" w:hAnsi="Times New Roman" w:eastAsia="仿宋" w:cs="Times New Roman"/>
          <w:spacing w:val="-2"/>
          <w:sz w:val="28"/>
          <w:szCs w:val="28"/>
        </w:rPr>
        <w:t>经审核，东西片社工站能按承接机构广州市番禺区普爱社会工作服务社财务制度规定的审批权限进行审批。经费支出由经办人、</w:t>
      </w:r>
      <w:r>
        <w:rPr>
          <w:rFonts w:hint="eastAsia" w:ascii="Times New Roman" w:hAnsi="Times New Roman" w:eastAsia="仿宋" w:cs="Times New Roman"/>
          <w:spacing w:val="-2"/>
          <w:sz w:val="28"/>
          <w:szCs w:val="28"/>
        </w:rPr>
        <w:t>复核人</w:t>
      </w:r>
      <w:r>
        <w:rPr>
          <w:rFonts w:ascii="Times New Roman" w:hAnsi="Times New Roman" w:eastAsia="仿宋" w:cs="Times New Roman"/>
          <w:spacing w:val="-2"/>
          <w:sz w:val="28"/>
          <w:szCs w:val="28"/>
        </w:rPr>
        <w:t>、审核人签名。</w:t>
      </w:r>
    </w:p>
    <w:p>
      <w:pPr>
        <w:spacing w:line="58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㈣财务支出的监控情况</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经审核，承接机构广州市番禺区普爱社会工作服务社已建立财务支出管理的监控机制，并在东西片社工站得到较规范执行。</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１、承接机构广州市番禺区普爱社会工作服务社能按规定开设银行基本账户，按规定对该东西片社工站开设银行一般账户，日常财务支出采用专户支付和基本户代付后专户转回结合的方式。</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２、为确保政府购买服务经费用于指定用途，承接机构广州市番禺区普爱社会工作服务社有定期向购买方提交东西片社工站服务经费使用情况报告，对经费预算及使用情况作比对分析。</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㈤财务支出票据的完整性、规范性</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东西片社工站财务支出票据、凭证填制较完整，账目设置、票据管理较规范。</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五、东西片社工站会计核算情况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㈠是否设置会计科目，编制完整会计报表</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对东西片社工站会计科目设置合理，所有服务业务均编制了记账凭证、登记了明细分类账簿和总账，核算做到账册、账账、账表相符，编制了会计报表，并符合相关会计制度独立核算。</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㈡是否分项目核算</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经审核，承接机构广州市番禺区普爱社会工作服务社对承接的东西片社工站政府购买服务资金的服务经费支出，能按要求做到分项目核算。</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㈢是否领域服务经费分开归集</w:t>
      </w:r>
    </w:p>
    <w:p>
      <w:pPr>
        <w:spacing w:line="620" w:lineRule="exact"/>
        <w:ind w:firstLine="552" w:firstLineChars="200"/>
        <w:rPr>
          <w:rFonts w:ascii="Times New Roman" w:hAnsi="Times New Roman" w:eastAsia="仿宋" w:cs="Times New Roman"/>
          <w:spacing w:val="-2"/>
          <w:sz w:val="28"/>
          <w:szCs w:val="28"/>
        </w:rPr>
      </w:pPr>
      <w:r>
        <w:rPr>
          <w:rFonts w:ascii="Times New Roman" w:hAnsi="Times New Roman" w:eastAsia="仿宋" w:cs="Times New Roman"/>
          <w:spacing w:val="-2"/>
          <w:sz w:val="28"/>
          <w:szCs w:val="28"/>
        </w:rPr>
        <w:t>经审核，承接机构广州市番禺区普爱社会工作服务社对承接的东西片社工站政府购买服务资金的服务经费支出，能按要求做到领域服务经费分开归集。</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六、本评估期服务经费拨入、支出、结余情况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2024年8月26日至2025年2月25日（以下简称本评估期），东西片社工站收到本协议期政府购买服务</w:t>
      </w:r>
      <w:bookmarkStart w:id="6" w:name="_Hlk110687493"/>
      <w:r>
        <w:rPr>
          <w:rFonts w:ascii="Times New Roman" w:hAnsi="Times New Roman" w:eastAsia="仿宋" w:cs="Times New Roman"/>
          <w:sz w:val="28"/>
          <w:szCs w:val="28"/>
        </w:rPr>
        <w:t>经费</w:t>
      </w:r>
      <w:bookmarkEnd w:id="6"/>
      <w:r>
        <w:rPr>
          <w:rFonts w:ascii="Times New Roman" w:hAnsi="Times New Roman" w:eastAsia="仿宋" w:cs="Times New Roman"/>
          <w:sz w:val="28"/>
          <w:szCs w:val="28"/>
        </w:rPr>
        <w:t>924,000.00元</w:t>
      </w:r>
      <w:bookmarkStart w:id="11" w:name="_GoBack"/>
      <w:bookmarkEnd w:id="11"/>
      <w:r>
        <w:rPr>
          <w:rFonts w:ascii="Times New Roman" w:hAnsi="Times New Roman" w:eastAsia="仿宋" w:cs="Times New Roman"/>
          <w:sz w:val="28"/>
          <w:szCs w:val="28"/>
        </w:rPr>
        <w:t>，归属于本评估期的服务经费支出累计1,092,141.30元，</w:t>
      </w:r>
      <w:bookmarkStart w:id="7" w:name="_Hlk110687647"/>
      <w:r>
        <w:rPr>
          <w:rFonts w:ascii="Times New Roman" w:hAnsi="Times New Roman" w:eastAsia="仿宋" w:cs="Times New Roman"/>
          <w:sz w:val="28"/>
          <w:szCs w:val="28"/>
        </w:rPr>
        <w:t>其中已支付1,006,458.40元。</w:t>
      </w:r>
      <w:bookmarkEnd w:id="7"/>
      <w:r>
        <w:rPr>
          <w:rFonts w:ascii="Times New Roman" w:hAnsi="Times New Roman" w:eastAsia="仿宋" w:cs="Times New Roman"/>
          <w:sz w:val="28"/>
          <w:szCs w:val="28"/>
        </w:rPr>
        <w:t>本评估期结余金额-168,141.30元（按归属于本评估期的服务经费支出计提数口径计算），占实际拨入经费的-18.20%，具体经费支出情况如下：</w:t>
      </w:r>
    </w:p>
    <w:p>
      <w:pPr>
        <w:spacing w:line="62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spacing w:val="-4"/>
          <w:sz w:val="28"/>
          <w:szCs w:val="28"/>
        </w:rPr>
        <w:t>㈠用于人员费用支出865,001.94元，占本协议期应收服务经费的36.04%，占本评估期实收服务总经费的93.61%，本期预算执行率（整体协议期）45.05%，</w:t>
      </w:r>
      <w:r>
        <w:rPr>
          <w:rFonts w:ascii="Times New Roman" w:hAnsi="Times New Roman" w:eastAsia="仿宋" w:cs="Times New Roman"/>
          <w:sz w:val="28"/>
          <w:szCs w:val="28"/>
        </w:rPr>
        <w:t>已支付人员费用支出779,319.04元，占本协议期应收服务总经费的32.47%，占本期预算的40.59%，</w:t>
      </w:r>
      <w:r>
        <w:rPr>
          <w:rFonts w:ascii="Times New Roman" w:hAnsi="Times New Roman" w:eastAsia="仿宋" w:cs="Times New Roman"/>
          <w:spacing w:val="-4"/>
          <w:sz w:val="28"/>
          <w:szCs w:val="28"/>
        </w:rPr>
        <w:t>占本评估期实收服务总经费的84.34%。其中：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１、工资总额支出693,692.03元，其中已支付608,009.13元；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２、五险金支出140,644.91元；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３、公积金支出30,665.00元；</w:t>
      </w:r>
    </w:p>
    <w:p>
      <w:pPr>
        <w:spacing w:line="59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㈡用于服务质量保障费用的支出合计107,698.57元，占本协议期应收服务经费的4.49%，占本评估期实收服务总经费的11.66%，本期预算执行率（整体协议期）44.87%，其中：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１、专业支持的支出0元。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２、用于开展与专业服务和活动的支出12,709.79元，占本评估期实收服务总经费的1.38%。</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服务和活动物料支出1,948.02元；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宣传费支出480.00元；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交通费及车辆使用费支出10,281.77元；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３、用于日常办公费用支出39,548.78元，占本评估期实收服务总经费的4.28%。</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办公耗材支出10,893.06元；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劳务费支出15,120.95元；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水电费支出9,782.48元；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⑷</w:t>
      </w:r>
      <w:r>
        <w:rPr>
          <w:rFonts w:ascii="Times New Roman" w:hAnsi="Times New Roman" w:eastAsia="仿宋" w:cs="Times New Roman"/>
          <w:sz w:val="28"/>
          <w:szCs w:val="28"/>
        </w:rPr>
        <w:t>财务费用支出844.32元；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⑸</w:t>
      </w:r>
      <w:r>
        <w:rPr>
          <w:rFonts w:ascii="Times New Roman" w:hAnsi="Times New Roman" w:eastAsia="仿宋" w:cs="Times New Roman"/>
          <w:sz w:val="28"/>
          <w:szCs w:val="28"/>
        </w:rPr>
        <w:t>通讯费支出2,907.97元。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４、用于机构年度相关税费支出55,440.00元，</w:t>
      </w:r>
      <w:bookmarkStart w:id="8" w:name="_Hlk162798402"/>
      <w:r>
        <w:rPr>
          <w:rFonts w:ascii="Times New Roman" w:hAnsi="Times New Roman" w:eastAsia="仿宋" w:cs="Times New Roman"/>
          <w:sz w:val="28"/>
          <w:szCs w:val="28"/>
        </w:rPr>
        <w:t>占本评估期实收服务总经费的</w:t>
      </w:r>
      <w:bookmarkEnd w:id="8"/>
      <w:r>
        <w:rPr>
          <w:rFonts w:ascii="Times New Roman" w:hAnsi="Times New Roman" w:eastAsia="仿宋" w:cs="Times New Roman"/>
          <w:sz w:val="28"/>
          <w:szCs w:val="28"/>
        </w:rPr>
        <w:t>6.00%。</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㈢用于运营管理费用支出119,440.79元，占本协议期应收服务经费的4.9</w:t>
      </w:r>
      <w:r>
        <w:rPr>
          <w:rFonts w:hint="eastAsia" w:ascii="Times New Roman" w:hAnsi="Times New Roman" w:eastAsia="仿宋" w:cs="Times New Roman"/>
          <w:sz w:val="28"/>
          <w:szCs w:val="28"/>
        </w:rPr>
        <w:t>8</w:t>
      </w:r>
      <w:r>
        <w:rPr>
          <w:rFonts w:ascii="Times New Roman" w:hAnsi="Times New Roman" w:eastAsia="仿宋" w:cs="Times New Roman"/>
          <w:sz w:val="28"/>
          <w:szCs w:val="28"/>
        </w:rPr>
        <w:t>%，占本评估期实收服务总经费的12.93%，本期预算执行率（整体协议期）49.77%。其中：</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１、中标费用支出30,046.20元； </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２、分摊机构人员工资79,235.65元； </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３、分摊机构人员社保18.52元；</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４、机构费用分摊3,677.56元；</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５、残保金支出2,369.65元； </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６、工会经费支出2,550.21元；</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７、交通费支出1,543.00元。</w:t>
      </w:r>
    </w:p>
    <w:p>
      <w:pPr>
        <w:spacing w:line="620" w:lineRule="exact"/>
        <w:ind w:right="-569" w:rightChars="-271"/>
        <w:outlineLvl w:val="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七、前期经费收、支、结余变化情况</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截至报告日，协议期2022年8月26日至2023年8月25日的结余资金有发生变动，具体情况如下：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内收到该协议期服务经费465,032.00元，调整后，该协议期累计收到服务经费2,337,032.00元，实际累计支出2,375,717.16元，结余资金-38,685.16元（不含未拨入的62,968.00元）。经评估，该协议期调整后人员费用及服务质量保障费用支出占服务总经费的85.04%，运营管理费用支出占服务总经费的13.95%。</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截至报告日，协议期2023年8月26日至2024年8月25日的结余资金有发生变动，具体情况如下：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内收到该协议期服务经费84,000.00元，调整归属于该协议期支出5,040.01元，均为服务质量保障费用（该协议期末期服务经费84,000.00元产生的税费支出5,040.01元），调整后该协议期累计收到服务经费2,076,000.00元，实际累计支出2,371,513.46元，结余资金-295,513.46元（不含未拨入的324,000.00元）。经评估，该协议期调整后人员费用及服务质量保障费用支出占服务总经费的90.80%，运营管理费用支出占服务总经费的8.02%。</w:t>
      </w:r>
    </w:p>
    <w:p>
      <w:pPr>
        <w:spacing w:line="62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八、累计结余情况（2016年10月26日-2025年2月25日）</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根据“业会专审〔2024〕279号”财务管理情况评估报告及本次2024年8月26日至2025年2月25日财务管理评估情况，自2016年10月26日至2025年2月25日止，东西片社工站服务经费累计结余-142,227.85元。具体每期结余情况如下：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㈠东西片社工站2016年10月26日至2019年10月25日三年服务周期结束，结余资金-247,781.11元（负数不结转）。</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㈡东西片社工站2019年10月26日至2024年8月25日4年10个月服务周期结束，累计结余273,694.56元，其中：</w:t>
      </w:r>
    </w:p>
    <w:p>
      <w:pPr>
        <w:spacing w:line="620" w:lineRule="exact"/>
        <w:ind w:firstLine="512" w:firstLineChars="200"/>
        <w:rPr>
          <w:rFonts w:ascii="Times New Roman" w:hAnsi="Times New Roman" w:eastAsia="仿宋" w:cs="Times New Roman"/>
          <w:spacing w:val="-12"/>
          <w:sz w:val="28"/>
          <w:szCs w:val="28"/>
        </w:rPr>
      </w:pPr>
      <w:r>
        <w:rPr>
          <w:rFonts w:ascii="Times New Roman" w:hAnsi="Times New Roman" w:eastAsia="仿宋" w:cs="Times New Roman"/>
          <w:spacing w:val="-12"/>
          <w:sz w:val="28"/>
          <w:szCs w:val="28"/>
        </w:rPr>
        <w:t>第一年协议期2019年10月26日至2020年8月25日，结余资金402,753.16元；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第二年协议期2020年8月26日至2021年8月25日，结余资金243,005.84元；</w:t>
      </w:r>
    </w:p>
    <w:p>
      <w:pPr>
        <w:spacing w:line="620" w:lineRule="exact"/>
        <w:ind w:firstLine="528" w:firstLineChars="200"/>
        <w:rPr>
          <w:rFonts w:ascii="Times New Roman" w:hAnsi="Times New Roman" w:eastAsia="仿宋" w:cs="Times New Roman"/>
          <w:spacing w:val="-8"/>
          <w:sz w:val="28"/>
          <w:szCs w:val="28"/>
        </w:rPr>
      </w:pPr>
      <w:r>
        <w:rPr>
          <w:rFonts w:ascii="Times New Roman" w:hAnsi="Times New Roman" w:eastAsia="仿宋" w:cs="Times New Roman"/>
          <w:spacing w:val="-8"/>
          <w:sz w:val="28"/>
          <w:szCs w:val="28"/>
        </w:rPr>
        <w:t>第三年协议期2021年8月26日至2022年8月25日，结余资金-37,865.82元；</w:t>
      </w:r>
    </w:p>
    <w:p>
      <w:pPr>
        <w:spacing w:line="620" w:lineRule="exact"/>
        <w:ind w:firstLine="520" w:firstLineChars="200"/>
        <w:rPr>
          <w:rFonts w:ascii="Times New Roman" w:hAnsi="Times New Roman" w:eastAsia="仿宋" w:cs="Times New Roman"/>
          <w:spacing w:val="-6"/>
          <w:sz w:val="28"/>
          <w:szCs w:val="28"/>
        </w:rPr>
      </w:pPr>
      <w:r>
        <w:rPr>
          <w:rFonts w:ascii="Times New Roman" w:hAnsi="Times New Roman" w:eastAsia="仿宋" w:cs="Times New Roman"/>
          <w:spacing w:val="-10"/>
          <w:sz w:val="28"/>
          <w:szCs w:val="28"/>
        </w:rPr>
        <w:t>第四年协议期2022年8月26日至2023年8月25日</w:t>
      </w:r>
      <w:r>
        <w:rPr>
          <w:rFonts w:ascii="Times New Roman" w:hAnsi="Times New Roman" w:eastAsia="仿宋" w:cs="Times New Roman"/>
          <w:spacing w:val="-6"/>
          <w:sz w:val="28"/>
          <w:szCs w:val="28"/>
        </w:rPr>
        <w:t>，结余资金-38,685.16元（不含未拨入的62,968.00元）；</w:t>
      </w:r>
    </w:p>
    <w:p>
      <w:pPr>
        <w:spacing w:line="620" w:lineRule="exact"/>
        <w:ind w:firstLine="520" w:firstLineChars="200"/>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第五年协议期2023年8月26日至2024年8月25日，结余资金-295,513.46元</w:t>
      </w:r>
      <w:r>
        <w:rPr>
          <w:rFonts w:ascii="Times New Roman" w:hAnsi="Times New Roman" w:eastAsia="仿宋" w:cs="Times New Roman"/>
          <w:spacing w:val="-6"/>
          <w:sz w:val="28"/>
          <w:szCs w:val="28"/>
        </w:rPr>
        <w:t>（不含未拨入的</w:t>
      </w:r>
      <w:bookmarkStart w:id="9" w:name="OLE_LINK1"/>
      <w:r>
        <w:rPr>
          <w:rFonts w:ascii="Times New Roman" w:hAnsi="Times New Roman" w:eastAsia="仿宋" w:cs="Times New Roman"/>
          <w:spacing w:val="-6"/>
          <w:sz w:val="28"/>
          <w:szCs w:val="28"/>
        </w:rPr>
        <w:t>324,000.00</w:t>
      </w:r>
      <w:bookmarkEnd w:id="9"/>
      <w:r>
        <w:rPr>
          <w:rFonts w:ascii="Times New Roman" w:hAnsi="Times New Roman" w:eastAsia="仿宋" w:cs="Times New Roman"/>
          <w:spacing w:val="-6"/>
          <w:sz w:val="28"/>
          <w:szCs w:val="28"/>
        </w:rPr>
        <w:t>元</w:t>
      </w:r>
      <w:r>
        <w:rPr>
          <w:rFonts w:hint="eastAsia" w:ascii="Times New Roman" w:hAnsi="Times New Roman" w:eastAsia="仿宋" w:cs="Times New Roman"/>
          <w:spacing w:val="-6"/>
          <w:sz w:val="28"/>
          <w:szCs w:val="28"/>
        </w:rPr>
        <w:t>，</w:t>
      </w:r>
      <w:r>
        <w:rPr>
          <w:rFonts w:ascii="Times New Roman" w:hAnsi="Times New Roman" w:eastAsia="仿宋" w:cs="Times New Roman"/>
          <w:color w:val="000000" w:themeColor="text1"/>
          <w:spacing w:val="-8"/>
          <w:sz w:val="28"/>
          <w:szCs w:val="28"/>
          <w14:textFill>
            <w14:solidFill>
              <w14:schemeClr w14:val="tx1"/>
            </w14:solidFill>
          </w14:textFill>
        </w:rPr>
        <w:t>该协议期服务经费支出含未支付的人员费用87,470.00元，如剔除该项支出，该协议期</w:t>
      </w:r>
      <w:r>
        <w:rPr>
          <w:rFonts w:ascii="Times New Roman" w:hAnsi="Times New Roman" w:eastAsia="仿宋" w:cs="Times New Roman"/>
          <w:sz w:val="28"/>
          <w:szCs w:val="28"/>
        </w:rPr>
        <w:t>结余资金</w:t>
      </w:r>
      <w:r>
        <w:rPr>
          <w:rFonts w:ascii="Times New Roman" w:hAnsi="Times New Roman" w:eastAsia="仿宋" w:cs="Times New Roman"/>
          <w:color w:val="000000" w:themeColor="text1"/>
          <w:spacing w:val="-8"/>
          <w:sz w:val="28"/>
          <w:szCs w:val="28"/>
          <w14:textFill>
            <w14:solidFill>
              <w14:schemeClr w14:val="tx1"/>
            </w14:solidFill>
          </w14:textFill>
        </w:rPr>
        <w:t>为-208,043.46元</w:t>
      </w:r>
      <w:r>
        <w:rPr>
          <w:rFonts w:ascii="Times New Roman" w:hAnsi="Times New Roman" w:eastAsia="仿宋" w:cs="Times New Roman"/>
          <w:spacing w:val="-6"/>
          <w:sz w:val="28"/>
          <w:szCs w:val="28"/>
        </w:rPr>
        <w:t>）</w:t>
      </w:r>
      <w:r>
        <w:rPr>
          <w:rFonts w:hint="eastAsia" w:ascii="Times New Roman" w:hAnsi="Times New Roman" w:eastAsia="仿宋" w:cs="Times New Roman"/>
          <w:color w:val="000000" w:themeColor="text1"/>
          <w:spacing w:val="-8"/>
          <w:sz w:val="28"/>
          <w:szCs w:val="28"/>
          <w14:textFill>
            <w14:solidFill>
              <w14:schemeClr w14:val="tx1"/>
            </w14:solidFill>
          </w14:textFill>
        </w:rPr>
        <w:t>。</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㈢2024年8月26日至2027年8月25日为东西片社工站的3年服务周期，其中：</w:t>
      </w:r>
    </w:p>
    <w:p>
      <w:pPr>
        <w:spacing w:line="600" w:lineRule="exact"/>
        <w:ind w:firstLine="520" w:firstLineChars="200"/>
        <w:rPr>
          <w:rFonts w:ascii="Times New Roman" w:hAnsi="Times New Roman" w:eastAsia="仿宋" w:cs="Times New Roman"/>
          <w:color w:val="000000" w:themeColor="text1"/>
          <w:spacing w:val="-8"/>
          <w:sz w:val="28"/>
          <w:szCs w:val="28"/>
          <w14:textFill>
            <w14:solidFill>
              <w14:schemeClr w14:val="tx1"/>
            </w14:solidFill>
          </w14:textFill>
        </w:rPr>
      </w:pPr>
      <w:r>
        <w:rPr>
          <w:rFonts w:ascii="Times New Roman" w:hAnsi="Times New Roman" w:eastAsia="仿宋" w:cs="Times New Roman"/>
          <w:spacing w:val="-10"/>
          <w:sz w:val="28"/>
          <w:szCs w:val="28"/>
        </w:rPr>
        <w:t>本评估期2024年8月26日至2025年2月25日</w:t>
      </w:r>
      <w:r>
        <w:rPr>
          <w:rFonts w:ascii="Times New Roman" w:hAnsi="Times New Roman" w:eastAsia="仿宋" w:cs="Times New Roman"/>
          <w:spacing w:val="-6"/>
          <w:sz w:val="28"/>
          <w:szCs w:val="28"/>
        </w:rPr>
        <w:t>，结余资金-168,141.30元。</w:t>
      </w:r>
      <w:r>
        <w:rPr>
          <w:rFonts w:hint="eastAsia" w:ascii="Times New Roman" w:hAnsi="Times New Roman" w:eastAsia="仿宋" w:cs="Times New Roman"/>
          <w:spacing w:val="-6"/>
          <w:sz w:val="28"/>
          <w:szCs w:val="28"/>
        </w:rPr>
        <w:t>（</w:t>
      </w:r>
      <w:r>
        <w:rPr>
          <w:rFonts w:hint="eastAsia" w:ascii="Times New Roman" w:hAnsi="Times New Roman" w:eastAsia="仿宋" w:cs="Times New Roman"/>
          <w:color w:val="000000" w:themeColor="text1"/>
          <w:spacing w:val="-8"/>
          <w:sz w:val="28"/>
          <w:szCs w:val="28"/>
          <w14:textFill>
            <w14:solidFill>
              <w14:schemeClr w14:val="tx1"/>
            </w14:solidFill>
          </w14:textFill>
        </w:rPr>
        <w:t>本</w:t>
      </w:r>
      <w:r>
        <w:rPr>
          <w:rFonts w:ascii="Times New Roman" w:hAnsi="Times New Roman" w:eastAsia="仿宋" w:cs="Times New Roman"/>
          <w:color w:val="000000" w:themeColor="text1"/>
          <w:spacing w:val="-8"/>
          <w:sz w:val="28"/>
          <w:szCs w:val="28"/>
          <w14:textFill>
            <w14:solidFill>
              <w14:schemeClr w14:val="tx1"/>
            </w14:solidFill>
          </w14:textFill>
        </w:rPr>
        <w:t>协议期服务经费支出含未支付的人员费用85,682.90元，如剔除该项支出，该协议期</w:t>
      </w:r>
      <w:r>
        <w:rPr>
          <w:rFonts w:ascii="Times New Roman" w:hAnsi="Times New Roman" w:eastAsia="仿宋" w:cs="Times New Roman"/>
          <w:sz w:val="28"/>
          <w:szCs w:val="28"/>
        </w:rPr>
        <w:t>结余资金</w:t>
      </w:r>
      <w:r>
        <w:rPr>
          <w:rFonts w:ascii="Times New Roman" w:hAnsi="Times New Roman" w:eastAsia="仿宋" w:cs="Times New Roman"/>
          <w:color w:val="000000" w:themeColor="text1"/>
          <w:spacing w:val="-8"/>
          <w:sz w:val="28"/>
          <w:szCs w:val="28"/>
          <w14:textFill>
            <w14:solidFill>
              <w14:schemeClr w14:val="tx1"/>
            </w14:solidFill>
          </w14:textFill>
        </w:rPr>
        <w:t>为-82,458.40元</w:t>
      </w:r>
      <w:r>
        <w:rPr>
          <w:rFonts w:hint="eastAsia" w:ascii="Times New Roman" w:hAnsi="Times New Roman" w:eastAsia="仿宋" w:cs="Times New Roman"/>
          <w:spacing w:val="-6"/>
          <w:sz w:val="28"/>
          <w:szCs w:val="28"/>
        </w:rPr>
        <w:t>）</w:t>
      </w:r>
      <w:r>
        <w:rPr>
          <w:rFonts w:hint="eastAsia" w:ascii="Times New Roman" w:hAnsi="Times New Roman" w:eastAsia="仿宋" w:cs="Times New Roman"/>
          <w:color w:val="000000" w:themeColor="text1"/>
          <w:spacing w:val="-8"/>
          <w:sz w:val="28"/>
          <w:szCs w:val="28"/>
          <w14:textFill>
            <w14:solidFill>
              <w14:schemeClr w14:val="tx1"/>
            </w14:solidFill>
          </w14:textFill>
        </w:rPr>
        <w:t>。</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九、需要关注的事项</w:t>
      </w:r>
    </w:p>
    <w:p>
      <w:pPr>
        <w:spacing w:line="600" w:lineRule="exact"/>
        <w:ind w:right="-2" w:firstLine="560" w:firstLineChars="200"/>
        <w:outlineLvl w:val="0"/>
        <w:rPr>
          <w:rFonts w:ascii="Times New Roman" w:hAnsi="Times New Roman" w:eastAsia="仿宋" w:cs="Times New Roman"/>
          <w:sz w:val="28"/>
          <w:szCs w:val="28"/>
        </w:rPr>
      </w:pPr>
      <w:r>
        <w:rPr>
          <w:rFonts w:ascii="Times New Roman" w:hAnsi="Times New Roman" w:eastAsia="仿宋" w:cs="Times New Roman"/>
          <w:sz w:val="28"/>
          <w:szCs w:val="28"/>
        </w:rPr>
        <w:t>截至本报告出具日，上一协议期绩效奖励金87,470.00元仍未支付，</w:t>
      </w:r>
      <w:bookmarkStart w:id="10" w:name="_Hlk195621292"/>
      <w:r>
        <w:rPr>
          <w:rFonts w:ascii="Times New Roman" w:hAnsi="Times New Roman" w:eastAsia="仿宋" w:cs="Times New Roman"/>
          <w:color w:val="000000" w:themeColor="text1"/>
          <w:spacing w:val="-8"/>
          <w:sz w:val="28"/>
          <w:szCs w:val="28"/>
          <w14:textFill>
            <w14:solidFill>
              <w14:schemeClr w14:val="tx1"/>
            </w14:solidFill>
          </w14:textFill>
        </w:rPr>
        <w:t>原因为该服务协议期尚有</w:t>
      </w:r>
      <w:r>
        <w:rPr>
          <w:rFonts w:ascii="Times New Roman" w:hAnsi="Times New Roman" w:eastAsia="仿宋" w:cs="Times New Roman"/>
          <w:spacing w:val="-6"/>
          <w:sz w:val="28"/>
          <w:szCs w:val="28"/>
        </w:rPr>
        <w:t>324,000.00</w:t>
      </w:r>
      <w:r>
        <w:rPr>
          <w:rFonts w:ascii="Times New Roman" w:hAnsi="Times New Roman" w:eastAsia="仿宋" w:cs="Times New Roman"/>
          <w:color w:val="000000" w:themeColor="text1"/>
          <w:spacing w:val="-8"/>
          <w:sz w:val="28"/>
          <w:szCs w:val="28"/>
          <w14:textFill>
            <w14:solidFill>
              <w14:schemeClr w14:val="tx1"/>
            </w14:solidFill>
          </w14:textFill>
        </w:rPr>
        <w:t>元服务经费未拨入</w:t>
      </w:r>
      <w:bookmarkEnd w:id="10"/>
      <w:r>
        <w:rPr>
          <w:rFonts w:ascii="Times New Roman" w:hAnsi="Times New Roman" w:eastAsia="仿宋" w:cs="Times New Roman"/>
          <w:sz w:val="28"/>
          <w:szCs w:val="28"/>
        </w:rPr>
        <w:t>，如果剔除上述支出，东西片社工站</w:t>
      </w:r>
      <w:r>
        <w:rPr>
          <w:rFonts w:ascii="Times New Roman" w:hAnsi="Times New Roman" w:eastAsia="仿宋" w:cs="Times New Roman"/>
          <w:spacing w:val="-10"/>
          <w:sz w:val="28"/>
          <w:szCs w:val="28"/>
        </w:rPr>
        <w:t>2023年8月26日至2024年8月25日</w:t>
      </w:r>
      <w:r>
        <w:rPr>
          <w:rFonts w:ascii="Times New Roman" w:hAnsi="Times New Roman" w:eastAsia="仿宋" w:cs="Times New Roman"/>
          <w:sz w:val="28"/>
          <w:szCs w:val="28"/>
        </w:rPr>
        <w:t>服务协议期人员费用支出为</w:t>
      </w:r>
      <w:r>
        <w:rPr>
          <w:rFonts w:ascii="Times New Roman" w:hAnsi="Times New Roman" w:eastAsia="仿宋" w:cs="Times New Roman"/>
          <w:color w:val="000000" w:themeColor="text1"/>
          <w:spacing w:val="-8"/>
          <w:sz w:val="28"/>
          <w:szCs w:val="28"/>
          <w14:textFill>
            <w14:solidFill>
              <w14:schemeClr w14:val="tx1"/>
            </w14:solidFill>
          </w14:textFill>
        </w:rPr>
        <w:t>1,832,537.70</w:t>
      </w:r>
      <w:r>
        <w:rPr>
          <w:rFonts w:ascii="Times New Roman" w:hAnsi="Times New Roman" w:eastAsia="仿宋" w:cs="Times New Roman"/>
          <w:sz w:val="28"/>
          <w:szCs w:val="28"/>
        </w:rPr>
        <w:t>元，占服务总经费的</w:t>
      </w:r>
      <w:r>
        <w:rPr>
          <w:rFonts w:ascii="Times New Roman" w:hAnsi="Times New Roman" w:eastAsia="仿宋" w:cs="Times New Roman"/>
          <w:color w:val="000000" w:themeColor="text1"/>
          <w:spacing w:val="-8"/>
          <w:sz w:val="28"/>
          <w:szCs w:val="28"/>
          <w14:textFill>
            <w14:solidFill>
              <w14:schemeClr w14:val="tx1"/>
            </w14:solidFill>
          </w14:textFill>
        </w:rPr>
        <w:t>76.36%</w:t>
      </w:r>
      <w:r>
        <w:rPr>
          <w:rFonts w:ascii="Times New Roman" w:hAnsi="Times New Roman" w:eastAsia="仿宋" w:cs="Times New Roman"/>
          <w:sz w:val="28"/>
          <w:szCs w:val="28"/>
        </w:rPr>
        <w:t>，不符合管理办法中“人员费用应当不低于项目经费总额的80%”的要求。</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十、评估结论</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经上述审核评估，我们认为广州市番禺区市桥街东西片社工服务站本次财务评估等级为：合格。</w:t>
      </w:r>
    </w:p>
    <w:p>
      <w:pPr>
        <w:spacing w:line="600" w:lineRule="exact"/>
        <w:ind w:right="-569" w:rightChars="-271"/>
        <w:outlineLvl w:val="0"/>
        <w:rPr>
          <w:rFonts w:ascii="Times New Roman" w:hAnsi="Times New Roman" w:eastAsia="仿宋" w:cs="Times New Roman"/>
          <w:b/>
          <w:sz w:val="28"/>
          <w:szCs w:val="28"/>
        </w:rPr>
      </w:pPr>
      <w:r>
        <w:rPr>
          <w:rFonts w:ascii="Times New Roman" w:hAnsi="Times New Roman" w:eastAsia="仿宋" w:cs="Times New Roman"/>
          <w:b/>
          <w:sz w:val="28"/>
          <w:szCs w:val="28"/>
        </w:rPr>
        <w:t>十一、其他事项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本报告仅供本次委托目的，即对东西片社工站财务评估使用，本事务所及本注册会计师不对运用本报告于其他目的造成的经济后果负责。</w:t>
      </w:r>
    </w:p>
    <w:p>
      <w:pPr>
        <w:spacing w:line="600" w:lineRule="exact"/>
        <w:rPr>
          <w:rFonts w:ascii="Times New Roman" w:hAnsi="Times New Roman" w:eastAsia="仿宋" w:cs="Times New Roman"/>
          <w:sz w:val="28"/>
          <w:szCs w:val="28"/>
        </w:rPr>
      </w:pPr>
    </w:p>
    <w:p>
      <w:pPr>
        <w:spacing w:line="600" w:lineRule="exact"/>
        <w:rPr>
          <w:rFonts w:ascii="Times New Roman" w:hAnsi="Times New Roman" w:eastAsia="仿宋" w:cs="Times New Roman"/>
          <w:sz w:val="28"/>
          <w:szCs w:val="28"/>
        </w:rPr>
      </w:pPr>
    </w:p>
    <w:p>
      <w:pPr>
        <w:spacing w:line="360" w:lineRule="auto"/>
        <w:rPr>
          <w:rFonts w:hint="eastAsia" w:ascii="仿宋" w:hAnsi="仿宋" w:eastAsia="仿宋" w:cs="Times New Roman"/>
          <w:sz w:val="28"/>
          <w:szCs w:val="28"/>
        </w:rPr>
      </w:pPr>
    </w:p>
    <w:p>
      <w:pPr>
        <w:spacing w:line="360" w:lineRule="auto"/>
        <w:ind w:left="850" w:leftChars="405"/>
        <w:rPr>
          <w:rFonts w:hint="eastAsia" w:ascii="仿宋" w:hAnsi="仿宋" w:eastAsia="仿宋" w:cs="Times New Roman"/>
          <w:sz w:val="28"/>
          <w:szCs w:val="28"/>
        </w:rPr>
      </w:pPr>
    </w:p>
    <w:p>
      <w:pPr>
        <w:spacing w:line="360" w:lineRule="auto"/>
        <w:ind w:left="850" w:leftChars="405"/>
        <w:rPr>
          <w:rFonts w:hint="eastAsia" w:ascii="仿宋" w:hAnsi="仿宋" w:eastAsia="仿宋"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hint="eastAsia" w:ascii="华文新魏" w:hAnsi="仿宋" w:eastAsia="华文新魏" w:cs="Times New Roman"/>
                <w:b/>
                <w:color w:val="000000" w:themeColor="text1"/>
                <w:sz w:val="30"/>
                <w14:textFill>
                  <w14:solidFill>
                    <w14:schemeClr w14:val="tx1"/>
                  </w14:solidFill>
                </w14:textFill>
              </w:rPr>
            </w:pPr>
            <w:r>
              <w:rPr>
                <w:rFonts w:hint="eastAsia" w:ascii="华文新魏" w:hAnsi="仿宋" w:eastAsia="华文新魏" w:cs="Times New Roman"/>
                <w:b/>
                <w:color w:val="000000" w:themeColor="text1"/>
                <w:sz w:val="30"/>
                <w14:textFill>
                  <w14:solidFill>
                    <w14:schemeClr w14:val="tx1"/>
                  </w14:solidFill>
                </w14:textFill>
              </w:rPr>
              <w:t>广州业勤会计师事务所有限公司</w:t>
            </w:r>
          </w:p>
          <w:p>
            <w:pPr>
              <w:spacing w:line="320" w:lineRule="exact"/>
              <w:rPr>
                <w:rFonts w:hint="eastAsia" w:ascii="华文新魏" w:hAnsi="仿宋" w:eastAsia="华文新魏" w:cs="Times New Roman"/>
                <w:b/>
                <w:color w:val="000000" w:themeColor="text1"/>
                <w:sz w:val="30"/>
                <w14:textFill>
                  <w14:solidFill>
                    <w14:schemeClr w14:val="tx1"/>
                  </w14:solidFill>
                </w14:textFill>
              </w:rPr>
            </w:pPr>
          </w:p>
          <w:p>
            <w:pPr>
              <w:spacing w:line="320" w:lineRule="exact"/>
              <w:jc w:val="center"/>
              <w:rPr>
                <w:rFonts w:hint="eastAsia" w:ascii="华文新魏" w:hAnsi="仿宋" w:eastAsia="华文新魏" w:cs="Times New Roman"/>
                <w:b/>
                <w:color w:val="000000" w:themeColor="text1"/>
                <w:sz w:val="30"/>
                <w14:textFill>
                  <w14:solidFill>
                    <w14:schemeClr w14:val="tx1"/>
                  </w14:solidFill>
                </w14:textFill>
              </w:rPr>
            </w:pPr>
            <w:r>
              <w:rPr>
                <w:rFonts w:hint="eastAsia" w:ascii="华文新魏" w:hAnsi="仿宋" w:eastAsia="华文新魏" w:cs="Times New Roman"/>
                <w:b/>
                <w:color w:val="000000" w:themeColor="text1"/>
                <w:sz w:val="28"/>
                <w14:textFill>
                  <w14:solidFill>
                    <w14:schemeClr w14:val="tx1"/>
                  </w14:solidFill>
                </w14:textFill>
              </w:rPr>
              <w:t>广州·番禺</w:t>
            </w:r>
          </w:p>
          <w:p>
            <w:pPr>
              <w:spacing w:line="320" w:lineRule="exact"/>
              <w:rPr>
                <w:rFonts w:hint="eastAsia" w:ascii="华文新魏" w:hAnsi="仿宋" w:eastAsia="华文新魏" w:cs="Times New Roman"/>
                <w:b/>
                <w:color w:val="000000" w:themeColor="text1"/>
                <w:sz w:val="30"/>
                <w14:textFill>
                  <w14:solidFill>
                    <w14:schemeClr w14:val="tx1"/>
                  </w14:solidFill>
                </w14:textFill>
              </w:rPr>
            </w:pPr>
          </w:p>
          <w:p>
            <w:pPr>
              <w:spacing w:line="320" w:lineRule="exact"/>
              <w:ind w:right="-6"/>
              <w:jc w:val="center"/>
              <w:rPr>
                <w:rFonts w:hint="eastAsia" w:ascii="华文新魏" w:hAnsi="仿宋" w:eastAsia="华文新魏" w:cs="Times New Roman"/>
                <w:sz w:val="28"/>
                <w:szCs w:val="28"/>
              </w:rPr>
            </w:pPr>
            <w:r>
              <w:rPr>
                <w:rFonts w:hint="eastAsia" w:ascii="华文新魏" w:hAnsi="仿宋"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hint="eastAsia" w:ascii="华文新魏" w:hAnsi="仿宋" w:eastAsia="华文新魏" w:cs="Times New Roman"/>
                <w:b/>
                <w:color w:val="000000" w:themeColor="text1"/>
                <w:sz w:val="28"/>
                <w14:textFill>
                  <w14:solidFill>
                    <w14:schemeClr w14:val="tx1"/>
                  </w14:solidFill>
                </w14:textFill>
              </w:rPr>
              <w:t>二五年四月八日</w:t>
            </w:r>
          </w:p>
        </w:tc>
        <w:tc>
          <w:tcPr>
            <w:tcW w:w="246" w:type="dxa"/>
          </w:tcPr>
          <w:p>
            <w:pPr>
              <w:spacing w:line="560" w:lineRule="exact"/>
              <w:ind w:right="-6"/>
              <w:rPr>
                <w:rFonts w:hint="eastAsia" w:ascii="华文新魏" w:hAnsi="仿宋" w:eastAsia="华文新魏" w:cs="Times New Roman"/>
                <w:sz w:val="28"/>
                <w:szCs w:val="28"/>
              </w:rPr>
            </w:pPr>
          </w:p>
        </w:tc>
        <w:tc>
          <w:tcPr>
            <w:tcW w:w="4618" w:type="dxa"/>
          </w:tcPr>
          <w:p>
            <w:pPr>
              <w:spacing w:line="320" w:lineRule="exact"/>
              <w:rPr>
                <w:rFonts w:hint="eastAsia" w:ascii="华文新魏" w:hAnsi="仿宋" w:eastAsia="华文新魏" w:cs="Times New Roman"/>
                <w:b/>
                <w:color w:val="000000" w:themeColor="text1"/>
                <w:sz w:val="30"/>
                <w14:textFill>
                  <w14:solidFill>
                    <w14:schemeClr w14:val="tx1"/>
                  </w14:solidFill>
                </w14:textFill>
              </w:rPr>
            </w:pPr>
            <w:r>
              <w:rPr>
                <w:rFonts w:hint="eastAsia" w:ascii="华文新魏" w:hAnsi="仿宋" w:eastAsia="华文新魏" w:cs="Times New Roman"/>
                <w:b/>
                <w:color w:val="000000" w:themeColor="text1"/>
                <w:sz w:val="28"/>
                <w14:textFill>
                  <w14:solidFill>
                    <w14:schemeClr w14:val="tx1"/>
                  </w14:solidFill>
                </w14:textFill>
              </w:rPr>
              <w:t>中国注册会计师</w:t>
            </w:r>
            <w:r>
              <w:rPr>
                <w:rFonts w:hint="eastAsia" w:ascii="华文新魏" w:hAnsi="仿宋" w:eastAsia="华文新魏" w:cs="Times New Roman"/>
                <w:b/>
                <w:color w:val="000000" w:themeColor="text1"/>
                <w:sz w:val="30"/>
                <w14:textFill>
                  <w14:solidFill>
                    <w14:schemeClr w14:val="tx1"/>
                  </w14:solidFill>
                </w14:textFill>
              </w:rPr>
              <w:t>：</w:t>
            </w:r>
          </w:p>
          <w:p>
            <w:pPr>
              <w:spacing w:line="320" w:lineRule="exact"/>
              <w:ind w:left="3513" w:hanging="3512"/>
              <w:rPr>
                <w:rFonts w:hint="eastAsia" w:ascii="华文新魏" w:hAnsi="仿宋" w:eastAsia="华文新魏" w:cs="Times New Roman"/>
                <w:b/>
                <w:color w:val="000000" w:themeColor="text1"/>
                <w:sz w:val="28"/>
                <w:szCs w:val="28"/>
                <w14:textFill>
                  <w14:solidFill>
                    <w14:schemeClr w14:val="tx1"/>
                  </w14:solidFill>
                </w14:textFill>
              </w:rPr>
            </w:pPr>
            <w:r>
              <w:rPr>
                <w:rFonts w:hint="eastAsia" w:ascii="华文新魏" w:hAnsi="仿宋" w:eastAsia="华文新魏" w:cs="Times New Roman"/>
                <w:b/>
                <w:color w:val="000000" w:themeColor="text1"/>
                <w:sz w:val="28"/>
                <w:szCs w:val="28"/>
                <w14:textFill>
                  <w14:solidFill>
                    <w14:schemeClr w14:val="tx1"/>
                  </w14:solidFill>
                </w14:textFill>
              </w:rPr>
              <w:t>（项目负责人）</w:t>
            </w:r>
          </w:p>
          <w:p>
            <w:pPr>
              <w:spacing w:line="320" w:lineRule="exact"/>
              <w:ind w:left="3513" w:hanging="3512"/>
              <w:rPr>
                <w:rFonts w:hint="eastAsia" w:ascii="华文新魏" w:hAnsi="仿宋" w:eastAsia="华文新魏" w:cs="Times New Roman"/>
                <w:b/>
                <w:color w:val="000000" w:themeColor="text1"/>
                <w:sz w:val="30"/>
                <w14:textFill>
                  <w14:solidFill>
                    <w14:schemeClr w14:val="tx1"/>
                  </w14:solidFill>
                </w14:textFill>
              </w:rPr>
            </w:pPr>
          </w:p>
          <w:p>
            <w:pPr>
              <w:spacing w:line="320" w:lineRule="exact"/>
              <w:ind w:left="84"/>
              <w:rPr>
                <w:rFonts w:hint="eastAsia" w:ascii="华文新魏" w:hAnsi="仿宋" w:eastAsia="华文新魏" w:cs="Times New Roman"/>
                <w:b/>
                <w:color w:val="000000" w:themeColor="text1"/>
                <w:sz w:val="30"/>
                <w14:textFill>
                  <w14:solidFill>
                    <w14:schemeClr w14:val="tx1"/>
                  </w14:solidFill>
                </w14:textFill>
              </w:rPr>
            </w:pPr>
          </w:p>
          <w:p>
            <w:pPr>
              <w:spacing w:line="320" w:lineRule="exact"/>
              <w:ind w:right="-6"/>
              <w:rPr>
                <w:rFonts w:hint="eastAsia" w:ascii="华文新魏" w:hAnsi="仿宋" w:eastAsia="华文新魏" w:cs="Times New Roman"/>
                <w:sz w:val="28"/>
                <w:szCs w:val="28"/>
              </w:rPr>
            </w:pPr>
            <w:r>
              <w:rPr>
                <w:rFonts w:hint="eastAsia" w:ascii="华文新魏" w:hAnsi="仿宋" w:eastAsia="华文新魏" w:cs="Times New Roman"/>
                <w:b/>
                <w:color w:val="000000" w:themeColor="text1"/>
                <w:sz w:val="28"/>
                <w14:textFill>
                  <w14:solidFill>
                    <w14:schemeClr w14:val="tx1"/>
                  </w14:solidFill>
                </w14:textFill>
              </w:rPr>
              <w:t>中国注册会计师</w:t>
            </w:r>
            <w:r>
              <w:rPr>
                <w:rFonts w:hint="eastAsia" w:ascii="华文新魏" w:hAnsi="仿宋" w:eastAsia="华文新魏" w:cs="Times New Roman"/>
                <w:b/>
                <w:color w:val="000000" w:themeColor="text1"/>
                <w:sz w:val="30"/>
                <w14:textFill>
                  <w14:solidFill>
                    <w14:schemeClr w14:val="tx1"/>
                  </w14:solidFill>
                </w14:textFill>
              </w:rPr>
              <w:t>：</w:t>
            </w:r>
          </w:p>
        </w:tc>
      </w:tr>
    </w:tbl>
    <w:p>
      <w:pPr>
        <w:spacing w:line="20" w:lineRule="exact"/>
        <w:rPr>
          <w:rFonts w:hint="eastAsia" w:ascii="仿宋" w:hAnsi="仿宋" w:eastAsia="仿宋"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11E53"/>
    <w:rsid w:val="0001668D"/>
    <w:rsid w:val="0002755A"/>
    <w:rsid w:val="000317CE"/>
    <w:rsid w:val="00041B6A"/>
    <w:rsid w:val="00041E02"/>
    <w:rsid w:val="00043872"/>
    <w:rsid w:val="000456F4"/>
    <w:rsid w:val="00055B05"/>
    <w:rsid w:val="000575FF"/>
    <w:rsid w:val="00063A4C"/>
    <w:rsid w:val="0006463F"/>
    <w:rsid w:val="00064B63"/>
    <w:rsid w:val="00065A6C"/>
    <w:rsid w:val="00071FB1"/>
    <w:rsid w:val="00073E18"/>
    <w:rsid w:val="00077BD6"/>
    <w:rsid w:val="00086152"/>
    <w:rsid w:val="0009574C"/>
    <w:rsid w:val="00096D29"/>
    <w:rsid w:val="00097DB9"/>
    <w:rsid w:val="000A384E"/>
    <w:rsid w:val="000B5517"/>
    <w:rsid w:val="000B62CD"/>
    <w:rsid w:val="000B699A"/>
    <w:rsid w:val="000C10DF"/>
    <w:rsid w:val="000F0440"/>
    <w:rsid w:val="0010135C"/>
    <w:rsid w:val="00102433"/>
    <w:rsid w:val="00110769"/>
    <w:rsid w:val="00115F0A"/>
    <w:rsid w:val="0012230B"/>
    <w:rsid w:val="001275AD"/>
    <w:rsid w:val="00133E77"/>
    <w:rsid w:val="00137061"/>
    <w:rsid w:val="001370D5"/>
    <w:rsid w:val="00141B82"/>
    <w:rsid w:val="00143887"/>
    <w:rsid w:val="0015160A"/>
    <w:rsid w:val="001524AE"/>
    <w:rsid w:val="0015779A"/>
    <w:rsid w:val="00160968"/>
    <w:rsid w:val="0016124C"/>
    <w:rsid w:val="00164A86"/>
    <w:rsid w:val="0016508D"/>
    <w:rsid w:val="00171040"/>
    <w:rsid w:val="00172280"/>
    <w:rsid w:val="0017382F"/>
    <w:rsid w:val="001839F4"/>
    <w:rsid w:val="00185C33"/>
    <w:rsid w:val="00186A10"/>
    <w:rsid w:val="00191F3C"/>
    <w:rsid w:val="001973EB"/>
    <w:rsid w:val="001A70D8"/>
    <w:rsid w:val="001A795B"/>
    <w:rsid w:val="001B0C80"/>
    <w:rsid w:val="001B3634"/>
    <w:rsid w:val="001D2988"/>
    <w:rsid w:val="001E0431"/>
    <w:rsid w:val="001E2299"/>
    <w:rsid w:val="001E6903"/>
    <w:rsid w:val="001F2091"/>
    <w:rsid w:val="001F6520"/>
    <w:rsid w:val="00200AB0"/>
    <w:rsid w:val="002030F7"/>
    <w:rsid w:val="002046F9"/>
    <w:rsid w:val="00211E36"/>
    <w:rsid w:val="00213BB2"/>
    <w:rsid w:val="002146CD"/>
    <w:rsid w:val="00223BE0"/>
    <w:rsid w:val="00225676"/>
    <w:rsid w:val="00226D92"/>
    <w:rsid w:val="00237B72"/>
    <w:rsid w:val="00262365"/>
    <w:rsid w:val="002626C2"/>
    <w:rsid w:val="00265F2A"/>
    <w:rsid w:val="00266DFB"/>
    <w:rsid w:val="00273696"/>
    <w:rsid w:val="00273BCE"/>
    <w:rsid w:val="00282DC7"/>
    <w:rsid w:val="002868E8"/>
    <w:rsid w:val="00286E49"/>
    <w:rsid w:val="00296565"/>
    <w:rsid w:val="002A000C"/>
    <w:rsid w:val="002A12E4"/>
    <w:rsid w:val="002A1692"/>
    <w:rsid w:val="002A7547"/>
    <w:rsid w:val="002A7C06"/>
    <w:rsid w:val="002B6A9B"/>
    <w:rsid w:val="002C6261"/>
    <w:rsid w:val="002C721D"/>
    <w:rsid w:val="002E00A9"/>
    <w:rsid w:val="002E0308"/>
    <w:rsid w:val="002E1BD7"/>
    <w:rsid w:val="002E4330"/>
    <w:rsid w:val="002F16A3"/>
    <w:rsid w:val="002F43BA"/>
    <w:rsid w:val="0030480B"/>
    <w:rsid w:val="0030717C"/>
    <w:rsid w:val="003106DC"/>
    <w:rsid w:val="00312000"/>
    <w:rsid w:val="00320709"/>
    <w:rsid w:val="00323877"/>
    <w:rsid w:val="003318A3"/>
    <w:rsid w:val="00331E74"/>
    <w:rsid w:val="00335E0F"/>
    <w:rsid w:val="00340B09"/>
    <w:rsid w:val="00344B95"/>
    <w:rsid w:val="00351C3A"/>
    <w:rsid w:val="0035269F"/>
    <w:rsid w:val="00362ABE"/>
    <w:rsid w:val="003630E2"/>
    <w:rsid w:val="00364D1A"/>
    <w:rsid w:val="003748D2"/>
    <w:rsid w:val="00374A71"/>
    <w:rsid w:val="00387479"/>
    <w:rsid w:val="0039097A"/>
    <w:rsid w:val="00397B18"/>
    <w:rsid w:val="003C5C85"/>
    <w:rsid w:val="003E56B4"/>
    <w:rsid w:val="003F2D93"/>
    <w:rsid w:val="00415C4F"/>
    <w:rsid w:val="00417C33"/>
    <w:rsid w:val="004356BB"/>
    <w:rsid w:val="00435BD6"/>
    <w:rsid w:val="00441B0C"/>
    <w:rsid w:val="00446547"/>
    <w:rsid w:val="00453BD9"/>
    <w:rsid w:val="00456A81"/>
    <w:rsid w:val="00467250"/>
    <w:rsid w:val="00467F29"/>
    <w:rsid w:val="004727E9"/>
    <w:rsid w:val="00473792"/>
    <w:rsid w:val="00481251"/>
    <w:rsid w:val="004A6785"/>
    <w:rsid w:val="004B1D29"/>
    <w:rsid w:val="004B1F02"/>
    <w:rsid w:val="004B2146"/>
    <w:rsid w:val="004B266C"/>
    <w:rsid w:val="004B69E8"/>
    <w:rsid w:val="004B7044"/>
    <w:rsid w:val="004C2255"/>
    <w:rsid w:val="004C4497"/>
    <w:rsid w:val="004C6CE1"/>
    <w:rsid w:val="004D33F0"/>
    <w:rsid w:val="004D6846"/>
    <w:rsid w:val="004E2951"/>
    <w:rsid w:val="004E3A18"/>
    <w:rsid w:val="004E3AB6"/>
    <w:rsid w:val="004F3214"/>
    <w:rsid w:val="00500FC4"/>
    <w:rsid w:val="0050140C"/>
    <w:rsid w:val="005030FC"/>
    <w:rsid w:val="00510E05"/>
    <w:rsid w:val="00516189"/>
    <w:rsid w:val="00521B04"/>
    <w:rsid w:val="00525CAD"/>
    <w:rsid w:val="0052700D"/>
    <w:rsid w:val="005442C3"/>
    <w:rsid w:val="0054626A"/>
    <w:rsid w:val="00546E36"/>
    <w:rsid w:val="00550D9E"/>
    <w:rsid w:val="0056073F"/>
    <w:rsid w:val="00563632"/>
    <w:rsid w:val="005708A7"/>
    <w:rsid w:val="00572760"/>
    <w:rsid w:val="0057312B"/>
    <w:rsid w:val="00583524"/>
    <w:rsid w:val="005855F9"/>
    <w:rsid w:val="00594D45"/>
    <w:rsid w:val="005978DA"/>
    <w:rsid w:val="005B1BE8"/>
    <w:rsid w:val="005B2FC4"/>
    <w:rsid w:val="005C6036"/>
    <w:rsid w:val="005C6C0F"/>
    <w:rsid w:val="005C70B9"/>
    <w:rsid w:val="005C7CB0"/>
    <w:rsid w:val="005D3767"/>
    <w:rsid w:val="005D7042"/>
    <w:rsid w:val="005E06D8"/>
    <w:rsid w:val="005E48DD"/>
    <w:rsid w:val="005E774F"/>
    <w:rsid w:val="005F164C"/>
    <w:rsid w:val="005F35CE"/>
    <w:rsid w:val="005F4AD6"/>
    <w:rsid w:val="005F52F8"/>
    <w:rsid w:val="005F5FE2"/>
    <w:rsid w:val="005F6D4D"/>
    <w:rsid w:val="005F74CF"/>
    <w:rsid w:val="00602725"/>
    <w:rsid w:val="0060454B"/>
    <w:rsid w:val="00610693"/>
    <w:rsid w:val="00614AA5"/>
    <w:rsid w:val="00625937"/>
    <w:rsid w:val="00632C66"/>
    <w:rsid w:val="00635D8A"/>
    <w:rsid w:val="00636218"/>
    <w:rsid w:val="006450A8"/>
    <w:rsid w:val="00647D9F"/>
    <w:rsid w:val="006524FF"/>
    <w:rsid w:val="006542C3"/>
    <w:rsid w:val="00655B2F"/>
    <w:rsid w:val="00675A60"/>
    <w:rsid w:val="00682678"/>
    <w:rsid w:val="00683341"/>
    <w:rsid w:val="006845F1"/>
    <w:rsid w:val="00692A32"/>
    <w:rsid w:val="00696135"/>
    <w:rsid w:val="006B0BCE"/>
    <w:rsid w:val="006B1B55"/>
    <w:rsid w:val="006B2226"/>
    <w:rsid w:val="006B3C51"/>
    <w:rsid w:val="006C489D"/>
    <w:rsid w:val="006D0434"/>
    <w:rsid w:val="006D4950"/>
    <w:rsid w:val="006E21E8"/>
    <w:rsid w:val="006E4926"/>
    <w:rsid w:val="006F3914"/>
    <w:rsid w:val="007032DF"/>
    <w:rsid w:val="0070572C"/>
    <w:rsid w:val="00710A61"/>
    <w:rsid w:val="007141F9"/>
    <w:rsid w:val="00715468"/>
    <w:rsid w:val="007173BB"/>
    <w:rsid w:val="0071777D"/>
    <w:rsid w:val="007340D0"/>
    <w:rsid w:val="0073489C"/>
    <w:rsid w:val="0074347B"/>
    <w:rsid w:val="00745A2F"/>
    <w:rsid w:val="00746338"/>
    <w:rsid w:val="00747433"/>
    <w:rsid w:val="007548EB"/>
    <w:rsid w:val="0075737E"/>
    <w:rsid w:val="00764487"/>
    <w:rsid w:val="00765553"/>
    <w:rsid w:val="00771D21"/>
    <w:rsid w:val="007827B3"/>
    <w:rsid w:val="007926ED"/>
    <w:rsid w:val="007927E1"/>
    <w:rsid w:val="0079578D"/>
    <w:rsid w:val="007A047D"/>
    <w:rsid w:val="007A0901"/>
    <w:rsid w:val="007A5878"/>
    <w:rsid w:val="007A5A98"/>
    <w:rsid w:val="007B5343"/>
    <w:rsid w:val="007B7796"/>
    <w:rsid w:val="007C74D6"/>
    <w:rsid w:val="007D7166"/>
    <w:rsid w:val="007E372B"/>
    <w:rsid w:val="007F4DBC"/>
    <w:rsid w:val="0080471D"/>
    <w:rsid w:val="00807BA7"/>
    <w:rsid w:val="00807BE3"/>
    <w:rsid w:val="00810A07"/>
    <w:rsid w:val="00822AC5"/>
    <w:rsid w:val="008248E2"/>
    <w:rsid w:val="00824AE7"/>
    <w:rsid w:val="008321FE"/>
    <w:rsid w:val="00840412"/>
    <w:rsid w:val="008443BD"/>
    <w:rsid w:val="00852D37"/>
    <w:rsid w:val="00855127"/>
    <w:rsid w:val="00856883"/>
    <w:rsid w:val="00857239"/>
    <w:rsid w:val="0086051F"/>
    <w:rsid w:val="00876894"/>
    <w:rsid w:val="00883C29"/>
    <w:rsid w:val="00886F72"/>
    <w:rsid w:val="008942DD"/>
    <w:rsid w:val="00894853"/>
    <w:rsid w:val="00896102"/>
    <w:rsid w:val="00897C30"/>
    <w:rsid w:val="00897D40"/>
    <w:rsid w:val="008A2A7D"/>
    <w:rsid w:val="008A497A"/>
    <w:rsid w:val="008A5ADF"/>
    <w:rsid w:val="008B7EF7"/>
    <w:rsid w:val="008C3543"/>
    <w:rsid w:val="008C56DE"/>
    <w:rsid w:val="008C7615"/>
    <w:rsid w:val="008C7B77"/>
    <w:rsid w:val="008D477E"/>
    <w:rsid w:val="008D549A"/>
    <w:rsid w:val="008E6127"/>
    <w:rsid w:val="009005D9"/>
    <w:rsid w:val="00903490"/>
    <w:rsid w:val="00905374"/>
    <w:rsid w:val="009064EB"/>
    <w:rsid w:val="00913049"/>
    <w:rsid w:val="00926A47"/>
    <w:rsid w:val="00933BAB"/>
    <w:rsid w:val="00933CB6"/>
    <w:rsid w:val="00934771"/>
    <w:rsid w:val="00935F69"/>
    <w:rsid w:val="009367AD"/>
    <w:rsid w:val="0094449E"/>
    <w:rsid w:val="009466F9"/>
    <w:rsid w:val="009505EF"/>
    <w:rsid w:val="00952099"/>
    <w:rsid w:val="00953A03"/>
    <w:rsid w:val="0095423D"/>
    <w:rsid w:val="009546C0"/>
    <w:rsid w:val="00954BA9"/>
    <w:rsid w:val="0095703D"/>
    <w:rsid w:val="009613FE"/>
    <w:rsid w:val="0096190D"/>
    <w:rsid w:val="009631E8"/>
    <w:rsid w:val="0097389F"/>
    <w:rsid w:val="009759AE"/>
    <w:rsid w:val="009878F2"/>
    <w:rsid w:val="00993572"/>
    <w:rsid w:val="0099451A"/>
    <w:rsid w:val="00997BCF"/>
    <w:rsid w:val="009A0C80"/>
    <w:rsid w:val="009A2387"/>
    <w:rsid w:val="009A3315"/>
    <w:rsid w:val="009A49ED"/>
    <w:rsid w:val="009A7747"/>
    <w:rsid w:val="009C04AE"/>
    <w:rsid w:val="009C3790"/>
    <w:rsid w:val="009C6946"/>
    <w:rsid w:val="009C76D1"/>
    <w:rsid w:val="009E0330"/>
    <w:rsid w:val="009E1312"/>
    <w:rsid w:val="00A02EAF"/>
    <w:rsid w:val="00A15DDD"/>
    <w:rsid w:val="00A21C64"/>
    <w:rsid w:val="00A411C8"/>
    <w:rsid w:val="00A43D5E"/>
    <w:rsid w:val="00A44649"/>
    <w:rsid w:val="00A67D24"/>
    <w:rsid w:val="00A712F8"/>
    <w:rsid w:val="00A87F93"/>
    <w:rsid w:val="00A907ED"/>
    <w:rsid w:val="00A9361A"/>
    <w:rsid w:val="00A94714"/>
    <w:rsid w:val="00AA275E"/>
    <w:rsid w:val="00AA3FBD"/>
    <w:rsid w:val="00AA681D"/>
    <w:rsid w:val="00AB6A4E"/>
    <w:rsid w:val="00AC58BD"/>
    <w:rsid w:val="00AC65FD"/>
    <w:rsid w:val="00AD5482"/>
    <w:rsid w:val="00AD7854"/>
    <w:rsid w:val="00AE18D0"/>
    <w:rsid w:val="00AE258D"/>
    <w:rsid w:val="00AE285D"/>
    <w:rsid w:val="00AE3E25"/>
    <w:rsid w:val="00AF0139"/>
    <w:rsid w:val="00B11DCB"/>
    <w:rsid w:val="00B11FB1"/>
    <w:rsid w:val="00B15C60"/>
    <w:rsid w:val="00B16B17"/>
    <w:rsid w:val="00B27A0F"/>
    <w:rsid w:val="00B3292D"/>
    <w:rsid w:val="00B41E70"/>
    <w:rsid w:val="00B43F67"/>
    <w:rsid w:val="00B45DD2"/>
    <w:rsid w:val="00B45FAC"/>
    <w:rsid w:val="00B47376"/>
    <w:rsid w:val="00B55A3F"/>
    <w:rsid w:val="00B561AD"/>
    <w:rsid w:val="00B61767"/>
    <w:rsid w:val="00B6225C"/>
    <w:rsid w:val="00B634BC"/>
    <w:rsid w:val="00B63E4B"/>
    <w:rsid w:val="00B66EF3"/>
    <w:rsid w:val="00B67620"/>
    <w:rsid w:val="00B73D8A"/>
    <w:rsid w:val="00B83EC5"/>
    <w:rsid w:val="00B84C85"/>
    <w:rsid w:val="00B86605"/>
    <w:rsid w:val="00B94C44"/>
    <w:rsid w:val="00BA116F"/>
    <w:rsid w:val="00BA4475"/>
    <w:rsid w:val="00BA44ED"/>
    <w:rsid w:val="00BB3E14"/>
    <w:rsid w:val="00BC27F3"/>
    <w:rsid w:val="00BC46BE"/>
    <w:rsid w:val="00BC7ED9"/>
    <w:rsid w:val="00BD2F47"/>
    <w:rsid w:val="00BE22A5"/>
    <w:rsid w:val="00BE37CD"/>
    <w:rsid w:val="00BE39FA"/>
    <w:rsid w:val="00BE4354"/>
    <w:rsid w:val="00BE4B22"/>
    <w:rsid w:val="00BE5EF1"/>
    <w:rsid w:val="00BE62B6"/>
    <w:rsid w:val="00BE759C"/>
    <w:rsid w:val="00BF271C"/>
    <w:rsid w:val="00C03042"/>
    <w:rsid w:val="00C033D6"/>
    <w:rsid w:val="00C05CFA"/>
    <w:rsid w:val="00C0627F"/>
    <w:rsid w:val="00C10D35"/>
    <w:rsid w:val="00C14432"/>
    <w:rsid w:val="00C2086D"/>
    <w:rsid w:val="00C22583"/>
    <w:rsid w:val="00C36B0D"/>
    <w:rsid w:val="00C36F8C"/>
    <w:rsid w:val="00C41DD8"/>
    <w:rsid w:val="00C46491"/>
    <w:rsid w:val="00C50F29"/>
    <w:rsid w:val="00C61DFC"/>
    <w:rsid w:val="00C73FA3"/>
    <w:rsid w:val="00C802F7"/>
    <w:rsid w:val="00C81C71"/>
    <w:rsid w:val="00C97FAD"/>
    <w:rsid w:val="00CA1714"/>
    <w:rsid w:val="00CA7946"/>
    <w:rsid w:val="00CC094B"/>
    <w:rsid w:val="00CC7FE9"/>
    <w:rsid w:val="00CD2143"/>
    <w:rsid w:val="00CD408C"/>
    <w:rsid w:val="00CD60B2"/>
    <w:rsid w:val="00CD62D5"/>
    <w:rsid w:val="00CE08B9"/>
    <w:rsid w:val="00CF688E"/>
    <w:rsid w:val="00CF7C7C"/>
    <w:rsid w:val="00D0409C"/>
    <w:rsid w:val="00D05AD1"/>
    <w:rsid w:val="00D10308"/>
    <w:rsid w:val="00D13D78"/>
    <w:rsid w:val="00D144A2"/>
    <w:rsid w:val="00D15512"/>
    <w:rsid w:val="00D21D72"/>
    <w:rsid w:val="00D22C6A"/>
    <w:rsid w:val="00D24776"/>
    <w:rsid w:val="00D275F8"/>
    <w:rsid w:val="00D32C3A"/>
    <w:rsid w:val="00D348FD"/>
    <w:rsid w:val="00D40ACE"/>
    <w:rsid w:val="00D44BFD"/>
    <w:rsid w:val="00D45449"/>
    <w:rsid w:val="00D47C2A"/>
    <w:rsid w:val="00D51A02"/>
    <w:rsid w:val="00D533AC"/>
    <w:rsid w:val="00D72DA0"/>
    <w:rsid w:val="00D73E43"/>
    <w:rsid w:val="00D752C9"/>
    <w:rsid w:val="00D76704"/>
    <w:rsid w:val="00D82197"/>
    <w:rsid w:val="00D86161"/>
    <w:rsid w:val="00D867E3"/>
    <w:rsid w:val="00D93807"/>
    <w:rsid w:val="00D94095"/>
    <w:rsid w:val="00D945A2"/>
    <w:rsid w:val="00D97736"/>
    <w:rsid w:val="00DA70AA"/>
    <w:rsid w:val="00DB02C4"/>
    <w:rsid w:val="00DC2E3C"/>
    <w:rsid w:val="00DC3886"/>
    <w:rsid w:val="00DC7CBA"/>
    <w:rsid w:val="00DD1165"/>
    <w:rsid w:val="00DD4EA7"/>
    <w:rsid w:val="00DE2776"/>
    <w:rsid w:val="00DE38B1"/>
    <w:rsid w:val="00DE69C7"/>
    <w:rsid w:val="00DE7C5E"/>
    <w:rsid w:val="00E05769"/>
    <w:rsid w:val="00E1694E"/>
    <w:rsid w:val="00E21B1D"/>
    <w:rsid w:val="00E2471E"/>
    <w:rsid w:val="00E27762"/>
    <w:rsid w:val="00E31E66"/>
    <w:rsid w:val="00E370F4"/>
    <w:rsid w:val="00E37DD8"/>
    <w:rsid w:val="00E42764"/>
    <w:rsid w:val="00E54144"/>
    <w:rsid w:val="00E57618"/>
    <w:rsid w:val="00E57C7F"/>
    <w:rsid w:val="00E70D75"/>
    <w:rsid w:val="00E728DD"/>
    <w:rsid w:val="00E72E37"/>
    <w:rsid w:val="00E86E25"/>
    <w:rsid w:val="00E973E1"/>
    <w:rsid w:val="00EA6F18"/>
    <w:rsid w:val="00EC0150"/>
    <w:rsid w:val="00EC0A2B"/>
    <w:rsid w:val="00EC54BC"/>
    <w:rsid w:val="00ED03C6"/>
    <w:rsid w:val="00ED03D7"/>
    <w:rsid w:val="00EF35A0"/>
    <w:rsid w:val="00EF4023"/>
    <w:rsid w:val="00EF7ACF"/>
    <w:rsid w:val="00F00B53"/>
    <w:rsid w:val="00F055B8"/>
    <w:rsid w:val="00F116A9"/>
    <w:rsid w:val="00F12621"/>
    <w:rsid w:val="00F14556"/>
    <w:rsid w:val="00F16116"/>
    <w:rsid w:val="00F1624D"/>
    <w:rsid w:val="00F24B82"/>
    <w:rsid w:val="00F25686"/>
    <w:rsid w:val="00F26425"/>
    <w:rsid w:val="00F279E8"/>
    <w:rsid w:val="00F31B05"/>
    <w:rsid w:val="00F36B85"/>
    <w:rsid w:val="00F44DB8"/>
    <w:rsid w:val="00F549A2"/>
    <w:rsid w:val="00F6255E"/>
    <w:rsid w:val="00F66AC5"/>
    <w:rsid w:val="00F779B6"/>
    <w:rsid w:val="00F801CF"/>
    <w:rsid w:val="00F82D47"/>
    <w:rsid w:val="00FA0B79"/>
    <w:rsid w:val="00FA1C78"/>
    <w:rsid w:val="00FB6DAA"/>
    <w:rsid w:val="00FB7B66"/>
    <w:rsid w:val="00FD02DB"/>
    <w:rsid w:val="00FD3E88"/>
    <w:rsid w:val="00FD45C2"/>
    <w:rsid w:val="00FE3173"/>
    <w:rsid w:val="00FE3491"/>
    <w:rsid w:val="00FF0E1A"/>
    <w:rsid w:val="00FF17FC"/>
    <w:rsid w:val="00FF5841"/>
    <w:rsid w:val="0EEA7CBC"/>
    <w:rsid w:val="3FA66AEF"/>
    <w:rsid w:val="3FCF4A04"/>
    <w:rsid w:val="756DBFFA"/>
    <w:rsid w:val="7EDB0E4F"/>
    <w:rsid w:val="CF3D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2652</Words>
  <Characters>3158</Characters>
  <Lines>126</Lines>
  <Paragraphs>100</Paragraphs>
  <TotalTime>11</TotalTime>
  <ScaleCrop>false</ScaleCrop>
  <LinksUpToDate>false</LinksUpToDate>
  <CharactersWithSpaces>5710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2022-09-21T03:38:00Z</dcterms:created>
  <dc:creator>Dumpling</dc:creator>
  <cp:lastModifiedBy>彭裕惠</cp:lastModifiedBy>
  <cp:lastPrinted>2025-04-16T02:17:00Z</cp:lastPrinted>
  <dcterms:modified xsi:type="dcterms:W3CDTF">2025-04-27T17:39:42Z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