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373B5">
      <w:pPr>
        <w:adjustRightInd w:val="0"/>
        <w:snapToGrid w:val="0"/>
        <w:ind w:right="-156" w:hanging="180"/>
        <w:jc w:val="center"/>
        <w:rPr>
          <w:rFonts w:ascii="公文小标宋简" w:eastAsia="公文小标宋简"/>
          <w:b/>
          <w:bCs/>
          <w:smallCaps/>
          <w:snapToGrid w:val="0"/>
          <w:color w:val="auto"/>
          <w:spacing w:val="56"/>
          <w:kern w:val="0"/>
          <w:sz w:val="72"/>
          <w:szCs w:val="72"/>
        </w:rPr>
      </w:pPr>
    </w:p>
    <w:p w14:paraId="1AA5779C">
      <w:pPr>
        <w:keepNext w:val="0"/>
        <w:keepLines w:val="0"/>
        <w:pageBreakBefore w:val="0"/>
        <w:kinsoku/>
        <w:wordWrap w:val="0"/>
        <w:overflowPunct/>
        <w:topLinePunct w:val="0"/>
        <w:autoSpaceDE/>
        <w:autoSpaceDN/>
        <w:bidi w:val="0"/>
        <w:adjustRightInd w:val="0"/>
        <w:snapToGrid w:val="0"/>
        <w:spacing w:line="560" w:lineRule="exact"/>
        <w:ind w:firstLine="420" w:firstLineChars="200"/>
        <w:textAlignment w:val="auto"/>
        <w:rPr>
          <w:rFonts w:ascii="仿宋_GB2312"/>
          <w:color w:val="auto"/>
        </w:rPr>
      </w:pPr>
      <w:r>
        <w:rPr>
          <w:rFonts w:hint="eastAsia" w:ascii="仿宋_GB2312"/>
          <w:color w:val="auto"/>
        </w:rPr>
        <w:t xml:space="preserve">                                       </w:t>
      </w:r>
      <w:r>
        <w:rPr>
          <w:rFonts w:hint="eastAsia" w:ascii="仿宋_GB2312" w:eastAsia="仿宋_GB2312"/>
          <w:color w:val="auto"/>
          <w:sz w:val="32"/>
          <w:szCs w:val="32"/>
        </w:rPr>
        <w:t>穗环管影（番）〔202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47</w:t>
      </w:r>
      <w:r>
        <w:rPr>
          <w:rFonts w:hint="eastAsia" w:ascii="仿宋_GB2312" w:eastAsia="仿宋_GB2312"/>
          <w:color w:val="auto"/>
          <w:sz w:val="32"/>
          <w:szCs w:val="32"/>
        </w:rPr>
        <w:t>号</w:t>
      </w:r>
    </w:p>
    <w:p w14:paraId="0D9D23AD">
      <w:pPr>
        <w:keepNext w:val="0"/>
        <w:keepLines w:val="0"/>
        <w:pageBreakBefore w:val="0"/>
        <w:kinsoku/>
        <w:overflowPunct/>
        <w:topLinePunct w:val="0"/>
        <w:autoSpaceDE/>
        <w:autoSpaceDN/>
        <w:bidi w:val="0"/>
        <w:spacing w:line="560" w:lineRule="exact"/>
        <w:textAlignment w:val="auto"/>
        <w:rPr>
          <w:rFonts w:ascii="黑体" w:eastAsia="黑体"/>
          <w:color w:val="auto"/>
        </w:rPr>
      </w:pPr>
    </w:p>
    <w:p w14:paraId="0AC8BEF1">
      <w:pPr>
        <w:keepNext w:val="0"/>
        <w:keepLines w:val="0"/>
        <w:pageBreakBefore w:val="0"/>
        <w:kinsoku/>
        <w:overflowPunct/>
        <w:topLinePunct w:val="0"/>
        <w:autoSpaceDE/>
        <w:autoSpaceDN/>
        <w:bidi w:val="0"/>
        <w:adjustRightInd w:val="0"/>
        <w:snapToGrid w:val="0"/>
        <w:spacing w:line="560" w:lineRule="exact"/>
        <w:textAlignment w:val="auto"/>
        <w:rPr>
          <w:rFonts w:ascii="仿宋_GB2312"/>
          <w:color w:val="auto"/>
        </w:rPr>
      </w:pPr>
    </w:p>
    <w:p w14:paraId="21310814">
      <w:pPr>
        <w:keepNext w:val="0"/>
        <w:keepLines w:val="0"/>
        <w:pageBreakBefore w:val="0"/>
        <w:kinsoku/>
        <w:overflowPunct/>
        <w:topLinePunct w:val="0"/>
        <w:autoSpaceDE/>
        <w:autoSpaceDN/>
        <w:bidi w:val="0"/>
        <w:spacing w:line="560" w:lineRule="exact"/>
        <w:jc w:val="center"/>
        <w:textAlignment w:val="auto"/>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rPr>
        <w:t>广州市生态环境局关于</w:t>
      </w:r>
      <w:r>
        <w:rPr>
          <w:rFonts w:hint="eastAsia" w:ascii="方正小标宋简体" w:eastAsia="方正小标宋简体"/>
          <w:color w:val="auto"/>
          <w:sz w:val="44"/>
          <w:szCs w:val="44"/>
          <w:lang w:eastAsia="zh-CN"/>
        </w:rPr>
        <w:t>广州博友动物医院</w:t>
      </w:r>
    </w:p>
    <w:p w14:paraId="3500BADD">
      <w:pPr>
        <w:keepNext w:val="0"/>
        <w:keepLines w:val="0"/>
        <w:pageBreakBefore w:val="0"/>
        <w:kinsoku/>
        <w:overflowPunct/>
        <w:topLinePunct w:val="0"/>
        <w:autoSpaceDE/>
        <w:autoSpaceDN/>
        <w:bidi w:val="0"/>
        <w:spacing w:line="560" w:lineRule="exact"/>
        <w:jc w:val="center"/>
        <w:textAlignment w:val="auto"/>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有限责任公司年诊疗1750只建设项目</w:t>
      </w:r>
    </w:p>
    <w:p w14:paraId="03173BE7">
      <w:pPr>
        <w:keepNext w:val="0"/>
        <w:keepLines w:val="0"/>
        <w:pageBreakBefore w:val="0"/>
        <w:kinsoku/>
        <w:overflowPunct/>
        <w:topLinePunct w:val="0"/>
        <w:autoSpaceDE/>
        <w:autoSpaceDN/>
        <w:bidi w:val="0"/>
        <w:spacing w:line="560" w:lineRule="exact"/>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rPr>
        <w:t>环境影响报告表的批复</w:t>
      </w:r>
    </w:p>
    <w:p w14:paraId="00880D9C">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4D947783">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olor w:val="auto"/>
          <w:sz w:val="32"/>
          <w:szCs w:val="32"/>
        </w:rPr>
      </w:pPr>
      <w:r>
        <w:rPr>
          <w:rFonts w:hint="eastAsia" w:ascii="仿宋_GB2312" w:eastAsia="仿宋_GB2312"/>
          <w:color w:val="auto"/>
          <w:sz w:val="32"/>
          <w:szCs w:val="32"/>
          <w:lang w:eastAsia="zh-CN"/>
        </w:rPr>
        <w:t>广州博友动物医院有限责任公司</w:t>
      </w:r>
      <w:r>
        <w:rPr>
          <w:rFonts w:hint="eastAsia" w:ascii="仿宋_GB2312" w:eastAsia="仿宋_GB2312"/>
          <w:color w:val="auto"/>
          <w:sz w:val="32"/>
          <w:szCs w:val="32"/>
        </w:rPr>
        <w:t>（</w:t>
      </w:r>
      <w:r>
        <w:rPr>
          <w:rFonts w:hint="default" w:ascii="仿宋_GB2312" w:eastAsia="仿宋_GB2312"/>
          <w:color w:val="auto"/>
          <w:sz w:val="32"/>
          <w:szCs w:val="32"/>
        </w:rPr>
        <w:t>91440113MAEBJW3TXG</w:t>
      </w:r>
      <w:r>
        <w:rPr>
          <w:rFonts w:hint="eastAsia" w:ascii="仿宋_GB2312" w:eastAsia="仿宋_GB2312"/>
          <w:color w:val="auto"/>
          <w:sz w:val="32"/>
          <w:szCs w:val="32"/>
        </w:rPr>
        <w:t>）：</w:t>
      </w:r>
    </w:p>
    <w:p w14:paraId="06F9824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你单位报送的《</w:t>
      </w:r>
      <w:r>
        <w:rPr>
          <w:rFonts w:hint="eastAsia" w:ascii="仿宋_GB2312" w:eastAsia="仿宋_GB2312"/>
          <w:color w:val="auto"/>
          <w:sz w:val="32"/>
          <w:szCs w:val="32"/>
          <w:lang w:eastAsia="zh-CN"/>
        </w:rPr>
        <w:t>广州博友动物医院有限责任公司年诊疗1750只建设项目</w:t>
      </w:r>
      <w:r>
        <w:rPr>
          <w:rFonts w:hint="eastAsia" w:ascii="仿宋_GB2312" w:eastAsia="仿宋_GB2312"/>
          <w:color w:val="auto"/>
          <w:sz w:val="32"/>
          <w:szCs w:val="32"/>
        </w:rPr>
        <w:t>环境影响报告表》（以下简称《报告表》）及附送资料收悉。经研究，现批复如下：</w:t>
      </w:r>
    </w:p>
    <w:p w14:paraId="6234E81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广州博友动物医院有限责任公司年诊疗1750只建设项目</w:t>
      </w:r>
      <w:r>
        <w:rPr>
          <w:rFonts w:hint="eastAsia" w:ascii="仿宋_GB2312" w:eastAsia="仿宋_GB2312"/>
          <w:color w:val="auto"/>
          <w:sz w:val="32"/>
          <w:szCs w:val="32"/>
        </w:rPr>
        <w:t>（以下简称“该项目”）位</w:t>
      </w:r>
      <w:r>
        <w:rPr>
          <w:rFonts w:hint="eastAsia" w:ascii="仿宋_GB2312" w:eastAsia="仿宋_GB2312" w:cs="Times New Roman"/>
          <w:color w:val="auto"/>
          <w:sz w:val="32"/>
          <w:szCs w:val="32"/>
          <w:lang w:eastAsia="zh-CN"/>
        </w:rPr>
        <w:t>于广州市番禺区钟村街汉兴西路85号、87号，</w:t>
      </w:r>
      <w:r>
        <w:rPr>
          <w:rFonts w:hint="eastAsia" w:ascii="仿宋_GB2312" w:eastAsia="仿宋_GB2312"/>
          <w:color w:val="auto"/>
          <w:sz w:val="32"/>
          <w:szCs w:val="32"/>
        </w:rPr>
        <w:t>申报内容为</w:t>
      </w:r>
      <w:r>
        <w:rPr>
          <w:rFonts w:hint="eastAsia" w:ascii="仿宋_GB2312" w:eastAsia="仿宋_GB2312" w:cs="Times New Roman"/>
          <w:color w:val="auto"/>
          <w:sz w:val="32"/>
          <w:szCs w:val="32"/>
          <w:lang w:eastAsia="zh-CN"/>
        </w:rPr>
        <w:t>从事动物</w:t>
      </w:r>
      <w:r>
        <w:rPr>
          <w:rFonts w:hint="eastAsia" w:ascii="仿宋_GB2312" w:eastAsia="仿宋_GB2312" w:cs="Times New Roman"/>
          <w:color w:val="auto"/>
          <w:sz w:val="32"/>
          <w:szCs w:val="32"/>
          <w:lang w:val="en-US" w:eastAsia="zh-CN"/>
        </w:rPr>
        <w:t>美容、</w:t>
      </w:r>
      <w:r>
        <w:rPr>
          <w:rFonts w:hint="eastAsia" w:ascii="仿宋_GB2312" w:eastAsia="仿宋_GB2312" w:cs="Times New Roman"/>
          <w:color w:val="auto"/>
          <w:sz w:val="32"/>
          <w:szCs w:val="32"/>
        </w:rPr>
        <w:t>疾病预防、诊疗、治疗（包括</w:t>
      </w:r>
      <w:r>
        <w:rPr>
          <w:rFonts w:hint="eastAsia" w:ascii="仿宋_GB2312" w:eastAsia="仿宋_GB2312" w:cs="Times New Roman"/>
          <w:color w:val="auto"/>
          <w:sz w:val="32"/>
          <w:szCs w:val="32"/>
          <w:lang w:val="en-US" w:eastAsia="zh-CN"/>
        </w:rPr>
        <w:t>动物</w:t>
      </w:r>
      <w:r>
        <w:rPr>
          <w:rFonts w:hint="eastAsia" w:ascii="仿宋_GB2312" w:eastAsia="仿宋_GB2312" w:cs="Times New Roman"/>
          <w:color w:val="auto"/>
          <w:sz w:val="32"/>
          <w:szCs w:val="32"/>
        </w:rPr>
        <w:t>颅腔、胸腔或腹腔</w:t>
      </w:r>
      <w:r>
        <w:rPr>
          <w:rFonts w:hint="eastAsia" w:ascii="仿宋_GB2312" w:eastAsia="仿宋_GB2312" w:cs="Times New Roman"/>
          <w:color w:val="auto"/>
          <w:sz w:val="32"/>
          <w:szCs w:val="32"/>
          <w:lang w:val="en-US" w:eastAsia="zh-CN"/>
        </w:rPr>
        <w:t>等</w:t>
      </w:r>
      <w:r>
        <w:rPr>
          <w:rFonts w:hint="eastAsia" w:ascii="仿宋_GB2312" w:eastAsia="仿宋_GB2312" w:cs="Times New Roman"/>
          <w:color w:val="auto"/>
          <w:sz w:val="32"/>
          <w:szCs w:val="32"/>
        </w:rPr>
        <w:t>手术）</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lang w:val="en-US" w:eastAsia="zh-CN"/>
        </w:rPr>
        <w:t>接诊最大接待量为1750只/年、美容洗浴最大接待量为1750只/年</w:t>
      </w:r>
      <w:r>
        <w:rPr>
          <w:rFonts w:hint="eastAsia" w:ascii="仿宋_GB2312" w:eastAsia="仿宋_GB2312"/>
          <w:color w:val="auto"/>
          <w:sz w:val="32"/>
          <w:szCs w:val="32"/>
        </w:rPr>
        <w:t>。该项目总建筑面积</w:t>
      </w:r>
      <w:r>
        <w:rPr>
          <w:rFonts w:hint="eastAsia" w:ascii="仿宋_GB2312" w:eastAsia="仿宋_GB2312"/>
          <w:color w:val="auto"/>
          <w:sz w:val="32"/>
          <w:szCs w:val="32"/>
          <w:lang w:val="en-US" w:eastAsia="zh-CN"/>
        </w:rPr>
        <w:t>173.26</w:t>
      </w:r>
      <w:r>
        <w:rPr>
          <w:rFonts w:hint="eastAsia" w:ascii="仿宋_GB2312" w:eastAsia="仿宋_GB2312"/>
          <w:color w:val="auto"/>
          <w:sz w:val="32"/>
          <w:szCs w:val="32"/>
        </w:rPr>
        <w:t>平方米</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租用1栋三层商业裙楼的第一、二层</w:t>
      </w:r>
      <w:r>
        <w:rPr>
          <w:rFonts w:hint="eastAsia" w:ascii="仿宋_GB2312" w:eastAsia="仿宋_GB2312"/>
          <w:color w:val="auto"/>
          <w:sz w:val="32"/>
          <w:szCs w:val="32"/>
        </w:rPr>
        <w:t>；主要设备有高温灭菌锅1台、</w:t>
      </w:r>
      <w:r>
        <w:rPr>
          <w:rFonts w:hint="eastAsia" w:ascii="仿宋_GB2312" w:eastAsia="仿宋_GB2312" w:cs="Times New Roman"/>
          <w:color w:val="auto"/>
          <w:sz w:val="32"/>
          <w:szCs w:val="32"/>
        </w:rPr>
        <w:t>麻醉机1台以及医疗配套各式检查手术仪器一批等</w:t>
      </w:r>
      <w:r>
        <w:rPr>
          <w:rFonts w:hint="eastAsia" w:ascii="仿宋_GB2312" w:eastAsia="仿宋_GB2312"/>
          <w:color w:val="auto"/>
          <w:sz w:val="32"/>
          <w:szCs w:val="32"/>
        </w:rPr>
        <w:t>；员工</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名，内部不安排食宿。</w:t>
      </w:r>
      <w:r>
        <w:rPr>
          <w:rFonts w:hint="eastAsia" w:ascii="仿宋_GB2312" w:eastAsia="仿宋_GB2312" w:cs="Times New Roman"/>
          <w:color w:val="auto"/>
          <w:sz w:val="32"/>
          <w:szCs w:val="32"/>
        </w:rPr>
        <w:t>该项目</w:t>
      </w:r>
      <w:r>
        <w:rPr>
          <w:rFonts w:hint="eastAsia" w:ascii="仿宋_GB2312" w:eastAsia="仿宋_GB2312"/>
          <w:color w:val="auto"/>
          <w:sz w:val="32"/>
          <w:szCs w:val="32"/>
        </w:rPr>
        <w:t>不接收传染性瘟病动物</w:t>
      </w:r>
      <w:r>
        <w:rPr>
          <w:rFonts w:hint="eastAsia" w:ascii="仿宋_GB2312" w:hAnsi="Times New Roman" w:eastAsia="仿宋_GB2312"/>
          <w:color w:val="auto"/>
          <w:sz w:val="32"/>
          <w:szCs w:val="32"/>
        </w:rPr>
        <w:t>；</w:t>
      </w:r>
      <w:r>
        <w:rPr>
          <w:rFonts w:hint="eastAsia" w:ascii="仿宋_GB2312" w:eastAsia="仿宋_GB2312"/>
          <w:color w:val="auto"/>
          <w:sz w:val="32"/>
          <w:szCs w:val="32"/>
        </w:rPr>
        <w:t>涉及的辐射内容不在本次评价范围内，另行单独办理相关环保手续</w:t>
      </w:r>
      <w:r>
        <w:rPr>
          <w:rFonts w:hint="eastAsia" w:ascii="仿宋_GB2312" w:eastAsia="仿宋_GB2312"/>
          <w:color w:val="auto"/>
          <w:sz w:val="32"/>
          <w:szCs w:val="32"/>
          <w:lang w:eastAsia="zh-CN"/>
        </w:rPr>
        <w:t>。</w:t>
      </w:r>
    </w:p>
    <w:p w14:paraId="0B64A3C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按照《报告表》的评价结论，在落实各项环境保护措施后，该项目产生的污染物及不良环境影响能够得到有效控制，从环境保护角度，在拟选址处建设可行。经审查，我局原则同意《报告表》评价结论。该项目应当按照《报告表》所述性质、规模、地点、使用功能和环境保护措施进行建设。</w:t>
      </w:r>
    </w:p>
    <w:p w14:paraId="655CFE1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二、该项目各类污染物排放控制要求如下：</w:t>
      </w:r>
    </w:p>
    <w:p w14:paraId="4A77641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综合废水排放执行广东省《水污染物排放限值》（DB44/26-2001）第二时段三级标准；医疗废水排放执行《医疗机构水污染物排放标准》（GB18466-2005）表2综合医疗机构和其他医疗机构水污染物排放限值（日均值）预处理标准。</w:t>
      </w:r>
      <w:r>
        <w:rPr>
          <w:rFonts w:hint="eastAsia" w:ascii="仿宋_GB2312" w:eastAsia="仿宋_GB2312"/>
          <w:color w:val="auto"/>
          <w:sz w:val="32"/>
          <w:szCs w:val="32"/>
          <w:lang w:val="en-US" w:eastAsia="zh-CN"/>
        </w:rPr>
        <w:t>综合废水</w:t>
      </w:r>
      <w:r>
        <w:rPr>
          <w:rFonts w:hint="eastAsia" w:ascii="仿宋_GB2312" w:eastAsia="仿宋_GB2312"/>
          <w:color w:val="auto"/>
          <w:sz w:val="32"/>
          <w:szCs w:val="32"/>
        </w:rPr>
        <w:t>排放量不超过</w:t>
      </w:r>
      <w:r>
        <w:rPr>
          <w:rFonts w:hint="eastAsia" w:ascii="仿宋_GB2312" w:eastAsia="仿宋_GB2312"/>
          <w:color w:val="auto"/>
          <w:sz w:val="32"/>
          <w:szCs w:val="32"/>
          <w:lang w:val="en-US" w:eastAsia="zh-CN"/>
        </w:rPr>
        <w:t>268.65</w:t>
      </w:r>
      <w:r>
        <w:rPr>
          <w:rFonts w:hint="eastAsia" w:ascii="仿宋_GB2312" w:eastAsia="仿宋_GB2312"/>
          <w:color w:val="auto"/>
          <w:sz w:val="32"/>
          <w:szCs w:val="32"/>
        </w:rPr>
        <w:t>吨/年；</w:t>
      </w:r>
      <w:r>
        <w:rPr>
          <w:rFonts w:hint="eastAsia" w:ascii="仿宋_GB2312" w:eastAsia="仿宋_GB2312"/>
          <w:color w:val="auto"/>
          <w:sz w:val="32"/>
          <w:szCs w:val="32"/>
          <w:lang w:val="en-US" w:eastAsia="zh-CN"/>
        </w:rPr>
        <w:t>医疗废水</w:t>
      </w:r>
      <w:r>
        <w:rPr>
          <w:rFonts w:hint="eastAsia" w:ascii="仿宋_GB2312" w:eastAsia="仿宋_GB2312"/>
          <w:color w:val="auto"/>
          <w:sz w:val="32"/>
          <w:szCs w:val="32"/>
        </w:rPr>
        <w:t>排放量不超过</w:t>
      </w:r>
      <w:r>
        <w:rPr>
          <w:rFonts w:hint="eastAsia" w:ascii="仿宋_GB2312" w:eastAsia="仿宋_GB2312"/>
          <w:color w:val="auto"/>
          <w:sz w:val="32"/>
          <w:szCs w:val="32"/>
          <w:lang w:val="en-US" w:eastAsia="zh-CN"/>
        </w:rPr>
        <w:t>23.63</w:t>
      </w:r>
      <w:r>
        <w:rPr>
          <w:rFonts w:hint="eastAsia" w:ascii="仿宋_GB2312" w:eastAsia="仿宋_GB2312"/>
          <w:color w:val="auto"/>
          <w:sz w:val="32"/>
          <w:szCs w:val="32"/>
        </w:rPr>
        <w:t>吨/年。</w:t>
      </w:r>
    </w:p>
    <w:p w14:paraId="5C2993F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（二）非甲烷总烃排放执行广东省《大气污染物排放限值》（DB44/27-2001）第二时段无组织排放监控浓度限值</w:t>
      </w:r>
      <w:r>
        <w:rPr>
          <w:rFonts w:ascii="仿宋_GB2312" w:eastAsia="仿宋_GB2312"/>
          <w:color w:val="auto"/>
          <w:sz w:val="32"/>
          <w:szCs w:val="32"/>
        </w:rPr>
        <w:t>。</w:t>
      </w:r>
      <w:r>
        <w:rPr>
          <w:rFonts w:hint="eastAsia" w:ascii="仿宋_GB2312" w:eastAsia="仿宋_GB2312"/>
          <w:color w:val="auto"/>
          <w:sz w:val="32"/>
          <w:szCs w:val="32"/>
        </w:rPr>
        <w:t>其他大气污染物排放执行《医疗机构水污染物排放标准》（GB18466-2005）表3与《恶臭污染物排放标准》（GB14554-93）表1的较严值</w:t>
      </w:r>
      <w:r>
        <w:rPr>
          <w:rFonts w:ascii="仿宋_GB2312" w:eastAsia="仿宋_GB2312"/>
          <w:color w:val="auto"/>
          <w:sz w:val="32"/>
          <w:szCs w:val="32"/>
        </w:rPr>
        <w:t>。</w:t>
      </w:r>
    </w:p>
    <w:p w14:paraId="1C45200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（三）边界噪声排放执行《社会生活环境噪声排放标准》（GB22337-2008）2类区限值，即：昼间≤60</w:t>
      </w:r>
      <w:r>
        <w:rPr>
          <w:rFonts w:hint="eastAsia" w:ascii="仿宋_GB2312" w:eastAsia="仿宋_GB2312"/>
          <w:color w:val="auto"/>
          <w:sz w:val="32"/>
          <w:szCs w:val="32"/>
          <w:lang w:val="en-US" w:eastAsia="zh-CN"/>
        </w:rPr>
        <w:t>dB（A）</w:t>
      </w:r>
      <w:r>
        <w:rPr>
          <w:rFonts w:hint="eastAsia" w:ascii="仿宋_GB2312" w:eastAsia="仿宋_GB2312"/>
          <w:color w:val="auto"/>
          <w:sz w:val="32"/>
          <w:szCs w:val="32"/>
        </w:rPr>
        <w:t>，夜间≤50</w:t>
      </w:r>
      <w:r>
        <w:rPr>
          <w:rFonts w:hint="eastAsia" w:ascii="仿宋_GB2312" w:eastAsia="仿宋_GB2312"/>
          <w:color w:val="auto"/>
          <w:sz w:val="32"/>
          <w:szCs w:val="32"/>
          <w:lang w:val="en-US" w:eastAsia="zh-CN"/>
        </w:rPr>
        <w:t>dB（A）</w:t>
      </w:r>
      <w:r>
        <w:rPr>
          <w:rFonts w:hint="eastAsia" w:ascii="仿宋_GB2312" w:eastAsia="仿宋_GB2312"/>
          <w:color w:val="auto"/>
          <w:sz w:val="32"/>
          <w:szCs w:val="32"/>
        </w:rPr>
        <w:t>。</w:t>
      </w:r>
    </w:p>
    <w:p w14:paraId="5D589B1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三、该项目应当认真落实《报告表》提出的各项环境保护措施，重点做好以下工作：</w:t>
      </w:r>
    </w:p>
    <w:p w14:paraId="548C04D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（一）排水系统采用雨污分流。宠物洗浴废水经格栅预处理后与宠物笼及排泄盒清洗废水、生活污水</w:t>
      </w:r>
      <w:r>
        <w:rPr>
          <w:rFonts w:hint="eastAsia" w:ascii="仿宋_GB2312" w:eastAsia="仿宋_GB2312"/>
          <w:color w:val="auto"/>
          <w:sz w:val="32"/>
          <w:szCs w:val="32"/>
          <w:lang w:val="en-US" w:eastAsia="zh-CN"/>
        </w:rPr>
        <w:t>一并</w:t>
      </w:r>
      <w:bookmarkStart w:id="0" w:name="_GoBack"/>
      <w:bookmarkEnd w:id="0"/>
      <w:r>
        <w:rPr>
          <w:rFonts w:hint="eastAsia" w:ascii="仿宋_GB2312" w:eastAsia="仿宋_GB2312"/>
          <w:color w:val="auto"/>
          <w:sz w:val="32"/>
          <w:szCs w:val="32"/>
        </w:rPr>
        <w:t>排入市政集污管网，医疗废水经消毒</w:t>
      </w:r>
      <w:r>
        <w:rPr>
          <w:rFonts w:hint="eastAsia" w:ascii="仿宋_GB2312" w:eastAsia="仿宋_GB2312"/>
          <w:color w:val="auto"/>
          <w:sz w:val="32"/>
          <w:szCs w:val="32"/>
          <w:lang w:val="en-US" w:eastAsia="zh-CN"/>
        </w:rPr>
        <w:t>装置</w:t>
      </w:r>
      <w:r>
        <w:rPr>
          <w:rFonts w:hint="eastAsia" w:ascii="仿宋_GB2312" w:eastAsia="仿宋_GB2312"/>
          <w:color w:val="auto"/>
          <w:sz w:val="32"/>
          <w:szCs w:val="32"/>
        </w:rPr>
        <w:t>处理后排入市政集污管网，送</w:t>
      </w:r>
      <w:r>
        <w:rPr>
          <w:rFonts w:hint="eastAsia" w:ascii="仿宋_GB2312" w:eastAsia="仿宋_GB2312"/>
          <w:color w:val="auto"/>
          <w:sz w:val="32"/>
          <w:szCs w:val="32"/>
          <w:lang w:val="en-US" w:eastAsia="zh-CN"/>
        </w:rPr>
        <w:t>钟村</w:t>
      </w:r>
      <w:r>
        <w:rPr>
          <w:rFonts w:hint="eastAsia" w:ascii="仿宋_GB2312" w:eastAsia="仿宋_GB2312"/>
          <w:color w:val="auto"/>
          <w:sz w:val="32"/>
          <w:szCs w:val="32"/>
        </w:rPr>
        <w:t>净水厂</w:t>
      </w:r>
      <w:r>
        <w:rPr>
          <w:rFonts w:hint="eastAsia" w:ascii="仿宋_GB2312" w:eastAsia="仿宋_GB2312"/>
          <w:color w:val="auto"/>
          <w:sz w:val="32"/>
          <w:szCs w:val="32"/>
          <w:lang w:val="en-US" w:eastAsia="zh-CN"/>
        </w:rPr>
        <w:t>集中</w:t>
      </w:r>
      <w:r>
        <w:rPr>
          <w:rFonts w:hint="eastAsia" w:ascii="仿宋_GB2312" w:eastAsia="仿宋_GB2312"/>
          <w:color w:val="auto"/>
          <w:sz w:val="32"/>
          <w:szCs w:val="32"/>
        </w:rPr>
        <w:t>处</w:t>
      </w:r>
      <w:r>
        <w:rPr>
          <w:rFonts w:hint="eastAsia" w:ascii="仿宋_GB2312" w:eastAsia="仿宋_GB2312" w:cs="Times New Roman"/>
          <w:color w:val="auto"/>
          <w:sz w:val="32"/>
          <w:szCs w:val="32"/>
        </w:rPr>
        <w:t>理。项目设置综合废水排放口1个、医疗废水排放口1个</w:t>
      </w:r>
      <w:r>
        <w:rPr>
          <w:rFonts w:hint="eastAsia" w:ascii="仿宋_GB2312" w:eastAsia="仿宋_GB2312"/>
          <w:color w:val="auto"/>
          <w:sz w:val="32"/>
          <w:szCs w:val="32"/>
        </w:rPr>
        <w:t>。</w:t>
      </w:r>
    </w:p>
    <w:p w14:paraId="3A96B3D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（二）</w:t>
      </w:r>
      <w:r>
        <w:rPr>
          <w:rFonts w:hint="eastAsia" w:ascii="仿宋_GB2312" w:eastAsia="仿宋_GB2312" w:cs="Times New Roman"/>
          <w:color w:val="auto"/>
          <w:sz w:val="32"/>
          <w:szCs w:val="32"/>
          <w:lang w:val="en-US" w:eastAsia="zh-CN"/>
        </w:rPr>
        <w:t>诊室、超声室、手术室、DR室、住院区、医疗废物暂存间、危险废物暂存间、美容区等房间设置紫外线灯消毒，上述房间及中央处置区</w:t>
      </w:r>
      <w:r>
        <w:rPr>
          <w:rFonts w:hint="eastAsia" w:ascii="仿宋_GB2312" w:eastAsia="仿宋_GB2312"/>
          <w:color w:val="auto"/>
          <w:sz w:val="32"/>
          <w:szCs w:val="32"/>
        </w:rPr>
        <w:t>产生的废气收集至活性炭吸附装置处理后</w:t>
      </w:r>
      <w:r>
        <w:rPr>
          <w:rFonts w:hint="eastAsia" w:ascii="仿宋_GB2312" w:eastAsia="仿宋_GB2312" w:cs="Times New Roman"/>
          <w:color w:val="auto"/>
          <w:sz w:val="32"/>
          <w:szCs w:val="32"/>
          <w:lang w:val="en-US" w:eastAsia="zh-CN"/>
        </w:rPr>
        <w:t>引至室外无组织排放</w:t>
      </w:r>
      <w:r>
        <w:rPr>
          <w:rFonts w:hint="eastAsia" w:ascii="仿宋_GB2312" w:eastAsia="仿宋_GB2312" w:cs="Times New Roman"/>
          <w:color w:val="auto"/>
          <w:sz w:val="32"/>
          <w:szCs w:val="32"/>
        </w:rPr>
        <w:t>，项</w:t>
      </w:r>
      <w:r>
        <w:rPr>
          <w:rFonts w:hint="eastAsia" w:ascii="仿宋_GB2312" w:eastAsia="仿宋_GB2312"/>
          <w:color w:val="auto"/>
          <w:sz w:val="32"/>
          <w:szCs w:val="32"/>
        </w:rPr>
        <w:t>目</w:t>
      </w:r>
      <w:r>
        <w:rPr>
          <w:rFonts w:hint="eastAsia" w:ascii="仿宋_GB2312" w:eastAsia="仿宋_GB2312"/>
          <w:color w:val="auto"/>
          <w:sz w:val="32"/>
          <w:szCs w:val="32"/>
          <w:lang w:val="en-US" w:eastAsia="zh-CN"/>
        </w:rPr>
        <w:t>不</w:t>
      </w:r>
      <w:r>
        <w:rPr>
          <w:rFonts w:hint="eastAsia" w:ascii="仿宋_GB2312" w:eastAsia="仿宋_GB2312"/>
          <w:color w:val="auto"/>
          <w:sz w:val="32"/>
          <w:szCs w:val="32"/>
        </w:rPr>
        <w:t>设置废气排放口</w:t>
      </w:r>
      <w:r>
        <w:rPr>
          <w:rFonts w:hint="eastAsia" w:ascii="仿宋_GB2312" w:eastAsia="仿宋_GB2312"/>
          <w:color w:val="auto"/>
          <w:sz w:val="32"/>
          <w:szCs w:val="32"/>
          <w:lang w:eastAsia="zh-CN"/>
        </w:rPr>
        <w:t>。</w:t>
      </w:r>
    </w:p>
    <w:p w14:paraId="148AB73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hAnsi="仿宋_GB2312" w:eastAsia="仿宋_GB2312" w:cs="仿宋_GB2312"/>
          <w:color w:val="auto"/>
          <w:sz w:val="32"/>
          <w:szCs w:val="32"/>
        </w:rPr>
        <w:t>加强</w:t>
      </w:r>
      <w:r>
        <w:rPr>
          <w:rFonts w:hint="eastAsia" w:ascii="仿宋_GB2312" w:hAnsi="仿宋_GB2312" w:eastAsia="仿宋_GB2312" w:cs="仿宋_GB2312"/>
          <w:color w:val="auto"/>
          <w:sz w:val="32"/>
          <w:szCs w:val="32"/>
          <w:lang w:val="en-US" w:eastAsia="zh-CN"/>
        </w:rPr>
        <w:t>项目</w:t>
      </w:r>
      <w:r>
        <w:rPr>
          <w:rFonts w:hint="eastAsia" w:ascii="仿宋_GB2312" w:eastAsia="仿宋_GB2312"/>
          <w:color w:val="auto"/>
          <w:sz w:val="32"/>
          <w:szCs w:val="32"/>
        </w:rPr>
        <w:t>边界</w:t>
      </w:r>
      <w:r>
        <w:rPr>
          <w:rFonts w:hint="eastAsia" w:ascii="仿宋_GB2312" w:hAnsi="仿宋_GB2312" w:eastAsia="仿宋_GB2312" w:cs="仿宋_GB2312"/>
          <w:color w:val="auto"/>
          <w:sz w:val="32"/>
          <w:szCs w:val="32"/>
        </w:rPr>
        <w:t>无组织</w:t>
      </w:r>
      <w:r>
        <w:rPr>
          <w:rFonts w:hint="eastAsia" w:ascii="仿宋_GB2312" w:hAnsi="仿宋_GB2312" w:eastAsia="仿宋_GB2312" w:cs="仿宋_GB2312"/>
          <w:color w:val="auto"/>
          <w:sz w:val="32"/>
          <w:szCs w:val="32"/>
          <w:lang w:eastAsia="zh-CN"/>
        </w:rPr>
        <w:t>排放</w:t>
      </w:r>
      <w:r>
        <w:rPr>
          <w:rFonts w:hint="eastAsia" w:ascii="仿宋_GB2312" w:hAnsi="仿宋_GB2312" w:eastAsia="仿宋_GB2312" w:cs="仿宋_GB2312"/>
          <w:color w:val="auto"/>
          <w:sz w:val="32"/>
          <w:szCs w:val="32"/>
        </w:rPr>
        <w:t>废气的监控，确保</w:t>
      </w:r>
      <w:r>
        <w:rPr>
          <w:rFonts w:hint="eastAsia" w:ascii="仿宋_GB2312" w:hAnsi="仿宋_GB2312" w:eastAsia="仿宋_GB2312" w:cs="仿宋_GB2312"/>
          <w:color w:val="auto"/>
          <w:sz w:val="32"/>
          <w:szCs w:val="32"/>
          <w:lang w:val="en-US" w:eastAsia="zh-CN"/>
        </w:rPr>
        <w:t>项目</w:t>
      </w:r>
      <w:r>
        <w:rPr>
          <w:rFonts w:hint="eastAsia" w:ascii="仿宋_GB2312" w:eastAsia="仿宋_GB2312"/>
          <w:color w:val="auto"/>
          <w:sz w:val="32"/>
          <w:szCs w:val="32"/>
        </w:rPr>
        <w:t>边界</w:t>
      </w:r>
      <w:r>
        <w:rPr>
          <w:rFonts w:hint="eastAsia" w:ascii="仿宋_GB2312" w:hAnsi="仿宋_GB2312" w:eastAsia="仿宋_GB2312" w:cs="仿宋_GB2312"/>
          <w:color w:val="auto"/>
          <w:sz w:val="32"/>
          <w:szCs w:val="32"/>
        </w:rPr>
        <w:t>无组织</w:t>
      </w:r>
      <w:r>
        <w:rPr>
          <w:rFonts w:hint="eastAsia" w:ascii="仿宋_GB2312" w:hAnsi="仿宋_GB2312" w:eastAsia="仿宋_GB2312" w:cs="仿宋_GB2312"/>
          <w:color w:val="auto"/>
          <w:sz w:val="32"/>
          <w:szCs w:val="32"/>
          <w:lang w:eastAsia="zh-CN"/>
        </w:rPr>
        <w:t>排放</w:t>
      </w:r>
      <w:r>
        <w:rPr>
          <w:rFonts w:hint="eastAsia" w:ascii="仿宋_GB2312" w:hAnsi="仿宋_GB2312" w:eastAsia="仿宋_GB2312" w:cs="仿宋_GB2312"/>
          <w:color w:val="auto"/>
          <w:sz w:val="32"/>
          <w:szCs w:val="32"/>
        </w:rPr>
        <w:t>监控点的废气达到相应标准限值的要求，监测超标时应</w:t>
      </w:r>
      <w:r>
        <w:rPr>
          <w:rFonts w:hint="eastAsia" w:ascii="仿宋_GB2312" w:hAnsi="仿宋_GB2312" w:eastAsia="仿宋_GB2312" w:cs="仿宋_GB2312"/>
          <w:color w:val="auto"/>
          <w:sz w:val="32"/>
          <w:szCs w:val="32"/>
          <w:lang w:eastAsia="zh-CN"/>
        </w:rPr>
        <w:t>加强</w:t>
      </w:r>
      <w:r>
        <w:rPr>
          <w:rFonts w:hint="eastAsia" w:ascii="仿宋_GB2312" w:hAnsi="仿宋_GB2312" w:eastAsia="仿宋_GB2312" w:cs="仿宋_GB2312"/>
          <w:color w:val="auto"/>
          <w:sz w:val="32"/>
          <w:szCs w:val="32"/>
        </w:rPr>
        <w:t>对无组织排放废气进行收集、净化处理。</w:t>
      </w:r>
    </w:p>
    <w:p w14:paraId="089C39E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（三）选用低噪声设备，合理布设生产车间，对噪声源采取隔声、减振等措施，定期检修设备。</w:t>
      </w:r>
    </w:p>
    <w:p w14:paraId="75D3641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（四）沾染危险化学品的包装废弃物、废活性</w:t>
      </w:r>
      <w:r>
        <w:rPr>
          <w:rFonts w:hint="eastAsia" w:ascii="仿宋_GB2312" w:eastAsia="仿宋_GB2312" w:cs="Times New Roman"/>
          <w:color w:val="auto"/>
          <w:sz w:val="32"/>
          <w:szCs w:val="32"/>
        </w:rPr>
        <w:t>炭</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rPr>
        <w:t>废紫外线灯管等属于危</w:t>
      </w:r>
      <w:r>
        <w:rPr>
          <w:rFonts w:hint="eastAsia" w:ascii="仿宋_GB2312" w:eastAsia="仿宋_GB2312"/>
          <w:color w:val="auto"/>
          <w:sz w:val="32"/>
          <w:szCs w:val="32"/>
        </w:rPr>
        <w:t>险废物的须设置符合《危险废物贮存污染控制标准》（GB18597-2023）要求的专用贮存场所存放并委托具备危险废物处理资质的机构处理；医疗废物须按照《医疗废物管理条例》等相关法规、标准的要求收集、贮存、运送、委外处置。</w:t>
      </w:r>
    </w:p>
    <w:p w14:paraId="73B05BF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四、该项目的性质、规模、地点、使用功能或者防治污染、防止生态破坏的措施发生重大变动的，你单位应当重新报批环境影响评价文件。</w:t>
      </w:r>
    </w:p>
    <w:p w14:paraId="75E76E2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五、自《报告表》批准之日起超过五年，方决定该项目开工建设的，《报告表》应当在开工建设前报我局重新审核。未经我局重新审核同意的，不得擅自开工建设。</w:t>
      </w:r>
    </w:p>
    <w:p w14:paraId="6FF04D6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六、该项目建设应严格执行配套建设的环境保护设施与主体工程同时设计、同时施工、同时投产使用的环境保护“三同时”制度，具体要求如下：</w:t>
      </w:r>
    </w:p>
    <w:p w14:paraId="085CFB9D">
      <w:pPr>
        <w:keepNext w:val="0"/>
        <w:keepLines w:val="0"/>
        <w:pageBreakBefore w:val="0"/>
        <w:widowControl/>
        <w:tabs>
          <w:tab w:val="left" w:pos="1418"/>
        </w:tabs>
        <w:kinsoku/>
        <w:wordWrap/>
        <w:overflowPunct/>
        <w:topLinePunct w:val="0"/>
        <w:autoSpaceDE/>
        <w:autoSpaceDN/>
        <w:bidi w:val="0"/>
        <w:adjustRightInd/>
        <w:snapToGrid/>
        <w:spacing w:line="560" w:lineRule="exact"/>
        <w:ind w:firstLine="640"/>
        <w:textAlignment w:val="auto"/>
        <w:rPr>
          <w:rFonts w:hint="eastAsia" w:ascii="仿宋_GB2312" w:eastAsia="仿宋_GB2312"/>
          <w:color w:val="auto"/>
          <w:sz w:val="32"/>
          <w:szCs w:val="32"/>
        </w:rPr>
      </w:pPr>
      <w:r>
        <w:rPr>
          <w:rFonts w:hint="eastAsia" w:ascii="仿宋_GB2312" w:eastAsia="仿宋_GB2312"/>
          <w:color w:val="auto"/>
          <w:sz w:val="32"/>
          <w:szCs w:val="32"/>
        </w:rPr>
        <w:t>（一）项目竣工后，你单位应按规定申请取得排污许可证或填报排污登记表，并按照规定的标准、程序和时限，对配套建设的环境保护设施进行验收，编制验收报告，依法向社会公开。</w:t>
      </w:r>
    </w:p>
    <w:p w14:paraId="49DAD14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（二）项目配套建设的环境保护设施经验收合格后，方可投入生产或者使用。</w:t>
      </w:r>
    </w:p>
    <w:p w14:paraId="3564EFE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七、该项目建设和运行过程中如涉及规划、土地利用、建设、水务、消防、安全等问题，应遵照相关法律法规要求到相应的行政主管部门办理有关手续。</w:t>
      </w:r>
    </w:p>
    <w:p w14:paraId="59C5D8D3">
      <w:pPr>
        <w:pStyle w:val="18"/>
        <w:keepNext w:val="0"/>
        <w:keepLines w:val="0"/>
        <w:pageBreakBefore w:val="0"/>
        <w:kinsoku/>
        <w:wordWrap/>
        <w:overflowPunct/>
        <w:topLinePunct w:val="0"/>
        <w:autoSpaceDE/>
        <w:autoSpaceDN/>
        <w:bidi w:val="0"/>
        <w:adjustRightInd/>
        <w:snapToGrid/>
        <w:spacing w:line="560" w:lineRule="exact"/>
        <w:ind w:firstLine="636"/>
        <w:textAlignment w:val="auto"/>
        <w:rPr>
          <w:rFonts w:hint="eastAsia" w:eastAsia="仿宋_GB2312"/>
          <w:color w:val="auto"/>
          <w:sz w:val="32"/>
          <w:szCs w:val="32"/>
        </w:rPr>
      </w:pPr>
      <w:r>
        <w:rPr>
          <w:rFonts w:hint="eastAsia" w:ascii="仿宋_GB2312" w:eastAsia="仿宋_GB2312"/>
          <w:color w:val="auto"/>
          <w:sz w:val="32"/>
          <w:szCs w:val="32"/>
        </w:rPr>
        <w:t>八、</w:t>
      </w:r>
      <w:r>
        <w:rPr>
          <w:rFonts w:hint="eastAsia" w:ascii="仿宋_GB2312" w:hAnsi="仿宋" w:eastAsia="仿宋_GB2312"/>
          <w:color w:val="auto"/>
          <w:sz w:val="32"/>
        </w:rPr>
        <w:t>当事人如不服本决定，可在收到文书之日起60日内向广州市人民政府行政复议机构广州市政府行政复议办公室窗口（地址：广州市越秀区小北路183号金和大厦2楼，电话：020-83555988）提出行政复议申请；或者在收到文书之日起6个月内直接向广州铁路运输法院提起行政诉讼。申请行政复议或提起行政诉讼的，不停止本决定的执行。</w:t>
      </w:r>
    </w:p>
    <w:p w14:paraId="1DEC4323">
      <w:pPr>
        <w:pStyle w:val="18"/>
        <w:keepNext w:val="0"/>
        <w:keepLines w:val="0"/>
        <w:pageBreakBefore w:val="0"/>
        <w:kinsoku/>
        <w:overflowPunct/>
        <w:topLinePunct w:val="0"/>
        <w:autoSpaceDE/>
        <w:autoSpaceDN/>
        <w:bidi w:val="0"/>
        <w:spacing w:line="560" w:lineRule="exact"/>
        <w:textAlignment w:val="auto"/>
        <w:rPr>
          <w:rFonts w:hint="eastAsia" w:ascii="仿宋_GB2312" w:hAnsi="仿宋" w:eastAsia="仿宋_GB2312"/>
          <w:color w:val="auto"/>
          <w:sz w:val="32"/>
        </w:rPr>
      </w:pPr>
    </w:p>
    <w:p w14:paraId="0A04E271">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p>
    <w:p w14:paraId="2799DFF0">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p>
    <w:p w14:paraId="60D15471">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7E90A0C7">
      <w:pPr>
        <w:keepNext w:val="0"/>
        <w:keepLines w:val="0"/>
        <w:pageBreakBefore w:val="0"/>
        <w:kinsoku/>
        <w:overflowPunct/>
        <w:topLinePunct w:val="0"/>
        <w:autoSpaceDE/>
        <w:autoSpaceDN/>
        <w:bidi w:val="0"/>
        <w:spacing w:line="560" w:lineRule="exact"/>
        <w:jc w:val="center"/>
        <w:textAlignment w:val="auto"/>
        <w:rPr>
          <w:rFonts w:ascii="仿宋_GB2312" w:eastAsia="仿宋_GB2312"/>
          <w:color w:val="auto"/>
          <w:sz w:val="32"/>
          <w:szCs w:val="32"/>
        </w:rPr>
      </w:pPr>
      <w:r>
        <w:rPr>
          <w:rFonts w:hint="eastAsia" w:ascii="仿宋_GB2312" w:eastAsia="仿宋_GB2312"/>
          <w:color w:val="auto"/>
          <w:sz w:val="32"/>
          <w:szCs w:val="32"/>
        </w:rPr>
        <w:t xml:space="preserve">                        广州市生态环境局</w:t>
      </w:r>
    </w:p>
    <w:p w14:paraId="7BC6E7C2">
      <w:pPr>
        <w:keepNext w:val="0"/>
        <w:keepLines w:val="0"/>
        <w:pageBreakBefore w:val="0"/>
        <w:kinsoku/>
        <w:overflowPunct/>
        <w:topLinePunct w:val="0"/>
        <w:autoSpaceDE/>
        <w:autoSpaceDN/>
        <w:bidi w:val="0"/>
        <w:spacing w:line="560" w:lineRule="exact"/>
        <w:ind w:right="4" w:rightChars="0" w:firstLine="5120" w:firstLineChars="1600"/>
        <w:textAlignment w:val="auto"/>
        <w:rPr>
          <w:rFonts w:ascii="仿宋_GB2312" w:eastAsia="仿宋_GB2312"/>
          <w:color w:val="auto"/>
          <w:sz w:val="32"/>
          <w:szCs w:val="32"/>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25</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27</w:t>
      </w:r>
      <w:r>
        <w:rPr>
          <w:rFonts w:hint="eastAsia" w:ascii="仿宋_GB2312" w:eastAsia="仿宋_GB2312"/>
          <w:color w:val="auto"/>
          <w:sz w:val="32"/>
          <w:szCs w:val="32"/>
        </w:rPr>
        <w:t>日</w:t>
      </w:r>
    </w:p>
    <w:p w14:paraId="372AA674">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5BAB33CE">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4B5413A7">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326EB5F5">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0CCA8466">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r>
        <w:rPr>
          <w:rFonts w:hint="eastAsia" w:ascii="黑体" w:eastAsia="黑体"/>
          <w:color w:val="auto"/>
          <w:sz w:val="32"/>
          <w:szCs w:val="32"/>
        </w:rPr>
        <w:t>公开方式：</w:t>
      </w:r>
      <w:r>
        <w:rPr>
          <w:rFonts w:hint="eastAsia" w:ascii="仿宋_GB2312" w:eastAsia="仿宋_GB2312"/>
          <w:color w:val="auto"/>
          <w:sz w:val="32"/>
          <w:szCs w:val="32"/>
        </w:rPr>
        <w:t>主动公开</w:t>
      </w:r>
    </w:p>
    <w:p w14:paraId="22184C5B">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6452DAE3">
      <w:pPr>
        <w:keepNext w:val="0"/>
        <w:keepLines w:val="0"/>
        <w:pageBreakBefore w:val="0"/>
        <w:kinsoku/>
        <w:overflowPunct/>
        <w:topLinePunct w:val="0"/>
        <w:autoSpaceDE/>
        <w:autoSpaceDN/>
        <w:bidi w:val="0"/>
        <w:spacing w:line="560" w:lineRule="exact"/>
        <w:ind w:left="1133" w:leftChars="201" w:hanging="711" w:hangingChars="254"/>
        <w:textAlignment w:val="auto"/>
        <w:rPr>
          <w:rFonts w:hint="eastAsia" w:ascii="仿宋_GB2312" w:eastAsia="仿宋_GB2312"/>
          <w:color w:val="auto"/>
          <w:sz w:val="28"/>
          <w:szCs w:val="28"/>
        </w:rPr>
      </w:pPr>
      <w:r>
        <w:rPr>
          <w:rFonts w:hint="eastAsia" w:ascii="仿宋_GB2312" w:eastAsia="仿宋_GB2312"/>
          <w:color w:val="auto"/>
          <w:sz w:val="28"/>
          <w:szCs w:val="28"/>
        </w:rPr>
        <w:t>抄送：广州市生态环境局番禺分局执法</w:t>
      </w:r>
      <w:r>
        <w:rPr>
          <w:rFonts w:hint="eastAsia" w:ascii="仿宋_GB2312" w:eastAsia="仿宋_GB2312"/>
          <w:color w:val="auto"/>
          <w:sz w:val="28"/>
          <w:szCs w:val="28"/>
          <w:lang w:val="en-US" w:eastAsia="zh-CN"/>
        </w:rPr>
        <w:t>一</w:t>
      </w:r>
      <w:r>
        <w:rPr>
          <w:rFonts w:hint="eastAsia" w:ascii="仿宋_GB2312" w:eastAsia="仿宋_GB2312"/>
          <w:color w:val="auto"/>
          <w:sz w:val="28"/>
          <w:szCs w:val="28"/>
        </w:rPr>
        <w:t>科、</w:t>
      </w:r>
      <w:r>
        <w:rPr>
          <w:rFonts w:hint="eastAsia" w:ascii="仿宋_GB2312" w:eastAsia="仿宋_GB2312"/>
          <w:color w:val="auto"/>
          <w:sz w:val="28"/>
          <w:szCs w:val="28"/>
          <w:lang w:eastAsia="zh-CN"/>
        </w:rPr>
        <w:t>番禺</w:t>
      </w:r>
      <w:r>
        <w:rPr>
          <w:rFonts w:hint="eastAsia" w:ascii="仿宋_GB2312" w:eastAsia="仿宋_GB2312"/>
          <w:color w:val="auto"/>
          <w:sz w:val="28"/>
          <w:szCs w:val="28"/>
        </w:rPr>
        <w:t>第</w:t>
      </w:r>
      <w:r>
        <w:rPr>
          <w:rFonts w:hint="eastAsia" w:ascii="仿宋_GB2312" w:eastAsia="仿宋_GB2312"/>
          <w:color w:val="auto"/>
          <w:sz w:val="28"/>
          <w:szCs w:val="28"/>
          <w:lang w:val="en-US" w:eastAsia="zh-CN"/>
        </w:rPr>
        <w:t>二</w:t>
      </w:r>
      <w:r>
        <w:rPr>
          <w:rFonts w:hint="eastAsia" w:ascii="仿宋_GB2312" w:eastAsia="仿宋_GB2312"/>
          <w:color w:val="auto"/>
          <w:sz w:val="28"/>
          <w:szCs w:val="28"/>
        </w:rPr>
        <w:t>环保所，广州市共融环境工程有限公司。</w:t>
      </w:r>
    </w:p>
    <w:sectPr>
      <w:footerReference r:id="rId3" w:type="default"/>
      <w:footerReference r:id="rId4" w:type="even"/>
      <w:pgSz w:w="11906" w:h="16838"/>
      <w:pgMar w:top="1588" w:right="1474" w:bottom="1134" w:left="1588" w:header="851" w:footer="624" w:gutter="0"/>
      <w:cols w:space="425" w:num="1"/>
      <w:titlePg/>
      <w:docGrid w:type="lines" w:linePitch="613"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微软雅黑"/>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82500">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3</w:t>
    </w:r>
    <w:r>
      <w:rPr>
        <w:rStyle w:val="9"/>
        <w:rFonts w:ascii="宋体" w:hAnsi="宋体"/>
        <w:sz w:val="28"/>
        <w:szCs w:val="28"/>
      </w:rPr>
      <w:fldChar w:fldCharType="end"/>
    </w:r>
    <w:r>
      <w:rPr>
        <w:rStyle w:val="9"/>
        <w:rFonts w:hint="eastAsia" w:ascii="宋体" w:hAnsi="宋体"/>
        <w:sz w:val="28"/>
        <w:szCs w:val="28"/>
      </w:rPr>
      <w:t xml:space="preserve"> —</w:t>
    </w:r>
  </w:p>
  <w:p w14:paraId="2C3B46C2">
    <w:pPr>
      <w:pStyle w:val="4"/>
      <w:ind w:right="360" w:firstLine="360"/>
      <w:jc w:val="center"/>
      <w:rPr>
        <w:rFonts w:ascii="Times New Roman" w:hAnsi="Times New Roman"/>
        <w:sz w:val="28"/>
        <w:szCs w:val="28"/>
      </w:rPr>
    </w:pPr>
  </w:p>
  <w:p w14:paraId="1F0202F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CDDBE">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75A86EC9">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HorizontalSpacing w:val="158"/>
  <w:drawingGridVerticalSpacing w:val="61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ZGFmMGVmYWFiODk5YTFiNTc2ZWNlODI1MTcyOTMifQ=="/>
  </w:docVars>
  <w:rsids>
    <w:rsidRoot w:val="000F2DCB"/>
    <w:rsid w:val="00001C85"/>
    <w:rsid w:val="00003EFB"/>
    <w:rsid w:val="00047670"/>
    <w:rsid w:val="00067C13"/>
    <w:rsid w:val="00082A5C"/>
    <w:rsid w:val="000832FD"/>
    <w:rsid w:val="000852F9"/>
    <w:rsid w:val="00090CE7"/>
    <w:rsid w:val="00097289"/>
    <w:rsid w:val="000A03AB"/>
    <w:rsid w:val="000B070F"/>
    <w:rsid w:val="000C18A8"/>
    <w:rsid w:val="000C301C"/>
    <w:rsid w:val="000C3889"/>
    <w:rsid w:val="000C3ADC"/>
    <w:rsid w:val="000C3CB8"/>
    <w:rsid w:val="000D6A43"/>
    <w:rsid w:val="000F2DCB"/>
    <w:rsid w:val="00104C9C"/>
    <w:rsid w:val="0012593F"/>
    <w:rsid w:val="00145974"/>
    <w:rsid w:val="00157FE4"/>
    <w:rsid w:val="00163612"/>
    <w:rsid w:val="00173803"/>
    <w:rsid w:val="00185235"/>
    <w:rsid w:val="001C347F"/>
    <w:rsid w:val="001E17DB"/>
    <w:rsid w:val="001F12B9"/>
    <w:rsid w:val="001F60AA"/>
    <w:rsid w:val="001F7ECF"/>
    <w:rsid w:val="00207F01"/>
    <w:rsid w:val="00212861"/>
    <w:rsid w:val="00212DD9"/>
    <w:rsid w:val="00214473"/>
    <w:rsid w:val="00225893"/>
    <w:rsid w:val="002513F3"/>
    <w:rsid w:val="0027017E"/>
    <w:rsid w:val="0027079B"/>
    <w:rsid w:val="00283EC7"/>
    <w:rsid w:val="002840F5"/>
    <w:rsid w:val="00290A95"/>
    <w:rsid w:val="002915FD"/>
    <w:rsid w:val="002A78A2"/>
    <w:rsid w:val="002B3756"/>
    <w:rsid w:val="002C0C0E"/>
    <w:rsid w:val="002C13BB"/>
    <w:rsid w:val="002D01F1"/>
    <w:rsid w:val="002D6E72"/>
    <w:rsid w:val="002D73CB"/>
    <w:rsid w:val="002F222A"/>
    <w:rsid w:val="003016C4"/>
    <w:rsid w:val="00310275"/>
    <w:rsid w:val="00323D70"/>
    <w:rsid w:val="003275AA"/>
    <w:rsid w:val="00334F3A"/>
    <w:rsid w:val="0035299E"/>
    <w:rsid w:val="003551D8"/>
    <w:rsid w:val="003804CF"/>
    <w:rsid w:val="00396136"/>
    <w:rsid w:val="003A396F"/>
    <w:rsid w:val="003D6927"/>
    <w:rsid w:val="003E6957"/>
    <w:rsid w:val="003F0936"/>
    <w:rsid w:val="003F0E80"/>
    <w:rsid w:val="003F1D2D"/>
    <w:rsid w:val="0042675C"/>
    <w:rsid w:val="004366AD"/>
    <w:rsid w:val="00436E68"/>
    <w:rsid w:val="004422C8"/>
    <w:rsid w:val="00446DB5"/>
    <w:rsid w:val="00464587"/>
    <w:rsid w:val="00466E9D"/>
    <w:rsid w:val="0047490D"/>
    <w:rsid w:val="004A38CF"/>
    <w:rsid w:val="004A62BA"/>
    <w:rsid w:val="004B3994"/>
    <w:rsid w:val="004B3A73"/>
    <w:rsid w:val="004C5EFD"/>
    <w:rsid w:val="004C6230"/>
    <w:rsid w:val="004D0859"/>
    <w:rsid w:val="004D4458"/>
    <w:rsid w:val="004D586D"/>
    <w:rsid w:val="004E13C9"/>
    <w:rsid w:val="004E567A"/>
    <w:rsid w:val="00501F40"/>
    <w:rsid w:val="00511456"/>
    <w:rsid w:val="00521A96"/>
    <w:rsid w:val="00527C59"/>
    <w:rsid w:val="0053095F"/>
    <w:rsid w:val="0053590B"/>
    <w:rsid w:val="00562DAC"/>
    <w:rsid w:val="00564EB8"/>
    <w:rsid w:val="0059052A"/>
    <w:rsid w:val="005A149B"/>
    <w:rsid w:val="005B12AD"/>
    <w:rsid w:val="005B60C8"/>
    <w:rsid w:val="005B6D04"/>
    <w:rsid w:val="005C24D6"/>
    <w:rsid w:val="005C69AB"/>
    <w:rsid w:val="005D060E"/>
    <w:rsid w:val="005E3B4A"/>
    <w:rsid w:val="005E49C1"/>
    <w:rsid w:val="005F76D5"/>
    <w:rsid w:val="0062245C"/>
    <w:rsid w:val="00635EAB"/>
    <w:rsid w:val="00640DE7"/>
    <w:rsid w:val="00641192"/>
    <w:rsid w:val="006576FA"/>
    <w:rsid w:val="00677228"/>
    <w:rsid w:val="00693BD5"/>
    <w:rsid w:val="006A28F5"/>
    <w:rsid w:val="006A6965"/>
    <w:rsid w:val="006B2BAD"/>
    <w:rsid w:val="006D0170"/>
    <w:rsid w:val="006D7C57"/>
    <w:rsid w:val="006E5889"/>
    <w:rsid w:val="006F049D"/>
    <w:rsid w:val="006F15BA"/>
    <w:rsid w:val="006F18AD"/>
    <w:rsid w:val="006F29B5"/>
    <w:rsid w:val="00707832"/>
    <w:rsid w:val="007158E4"/>
    <w:rsid w:val="00716C4E"/>
    <w:rsid w:val="00730C65"/>
    <w:rsid w:val="00740ADC"/>
    <w:rsid w:val="007443DC"/>
    <w:rsid w:val="00750DBF"/>
    <w:rsid w:val="00753DD4"/>
    <w:rsid w:val="00753DDF"/>
    <w:rsid w:val="0077498B"/>
    <w:rsid w:val="007847A3"/>
    <w:rsid w:val="00786866"/>
    <w:rsid w:val="007B29D0"/>
    <w:rsid w:val="007B438D"/>
    <w:rsid w:val="007B5088"/>
    <w:rsid w:val="007C55F7"/>
    <w:rsid w:val="007C5CB3"/>
    <w:rsid w:val="00802F15"/>
    <w:rsid w:val="008170AC"/>
    <w:rsid w:val="008372CA"/>
    <w:rsid w:val="00860EEE"/>
    <w:rsid w:val="00884916"/>
    <w:rsid w:val="008865F4"/>
    <w:rsid w:val="0089220A"/>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A3DB2"/>
    <w:rsid w:val="009B21A4"/>
    <w:rsid w:val="009C5976"/>
    <w:rsid w:val="009C5EB5"/>
    <w:rsid w:val="009C790D"/>
    <w:rsid w:val="009D272F"/>
    <w:rsid w:val="009D34AC"/>
    <w:rsid w:val="009E0D72"/>
    <w:rsid w:val="009E1AD4"/>
    <w:rsid w:val="00A262B0"/>
    <w:rsid w:val="00A36142"/>
    <w:rsid w:val="00A40AFA"/>
    <w:rsid w:val="00A56A9B"/>
    <w:rsid w:val="00AC34E1"/>
    <w:rsid w:val="00AC648A"/>
    <w:rsid w:val="00AC7BAA"/>
    <w:rsid w:val="00AD33EF"/>
    <w:rsid w:val="00AE0762"/>
    <w:rsid w:val="00AE5E03"/>
    <w:rsid w:val="00AF3A2E"/>
    <w:rsid w:val="00AF7F2C"/>
    <w:rsid w:val="00AF7F99"/>
    <w:rsid w:val="00B10676"/>
    <w:rsid w:val="00B15884"/>
    <w:rsid w:val="00B30042"/>
    <w:rsid w:val="00B31FB2"/>
    <w:rsid w:val="00B42B25"/>
    <w:rsid w:val="00B45736"/>
    <w:rsid w:val="00B5742B"/>
    <w:rsid w:val="00B71F4F"/>
    <w:rsid w:val="00B805AF"/>
    <w:rsid w:val="00B837BD"/>
    <w:rsid w:val="00B95160"/>
    <w:rsid w:val="00B95EC7"/>
    <w:rsid w:val="00BA78FA"/>
    <w:rsid w:val="00BB16F4"/>
    <w:rsid w:val="00BB1A3F"/>
    <w:rsid w:val="00BB1C8A"/>
    <w:rsid w:val="00BB73EF"/>
    <w:rsid w:val="00BD014D"/>
    <w:rsid w:val="00C013B9"/>
    <w:rsid w:val="00C046AB"/>
    <w:rsid w:val="00C12A22"/>
    <w:rsid w:val="00C1575A"/>
    <w:rsid w:val="00C2000C"/>
    <w:rsid w:val="00C25D4D"/>
    <w:rsid w:val="00C331EC"/>
    <w:rsid w:val="00C35028"/>
    <w:rsid w:val="00C41EC5"/>
    <w:rsid w:val="00C45C92"/>
    <w:rsid w:val="00C47559"/>
    <w:rsid w:val="00C50129"/>
    <w:rsid w:val="00C577CF"/>
    <w:rsid w:val="00C61143"/>
    <w:rsid w:val="00C61368"/>
    <w:rsid w:val="00C76BD4"/>
    <w:rsid w:val="00C850D2"/>
    <w:rsid w:val="00CC469B"/>
    <w:rsid w:val="00CC70BC"/>
    <w:rsid w:val="00CD225F"/>
    <w:rsid w:val="00CD3097"/>
    <w:rsid w:val="00CD5ECF"/>
    <w:rsid w:val="00CF1B16"/>
    <w:rsid w:val="00D01DA0"/>
    <w:rsid w:val="00D02618"/>
    <w:rsid w:val="00D0455B"/>
    <w:rsid w:val="00D205FC"/>
    <w:rsid w:val="00D37BB0"/>
    <w:rsid w:val="00D44326"/>
    <w:rsid w:val="00D55BFA"/>
    <w:rsid w:val="00D70C73"/>
    <w:rsid w:val="00D74A06"/>
    <w:rsid w:val="00D75AAE"/>
    <w:rsid w:val="00D76AC3"/>
    <w:rsid w:val="00D8050D"/>
    <w:rsid w:val="00D87223"/>
    <w:rsid w:val="00DA096B"/>
    <w:rsid w:val="00DB438D"/>
    <w:rsid w:val="00DD3F0C"/>
    <w:rsid w:val="00DF26FF"/>
    <w:rsid w:val="00DF7771"/>
    <w:rsid w:val="00E06F40"/>
    <w:rsid w:val="00E16205"/>
    <w:rsid w:val="00E23AD5"/>
    <w:rsid w:val="00E44B98"/>
    <w:rsid w:val="00E52C18"/>
    <w:rsid w:val="00E9508B"/>
    <w:rsid w:val="00E95F22"/>
    <w:rsid w:val="00EA1AB8"/>
    <w:rsid w:val="00EB0FC1"/>
    <w:rsid w:val="00EC4EBA"/>
    <w:rsid w:val="00ED3E23"/>
    <w:rsid w:val="00ED426B"/>
    <w:rsid w:val="00ED656B"/>
    <w:rsid w:val="00EE0C36"/>
    <w:rsid w:val="00EE5C65"/>
    <w:rsid w:val="00EE5F9D"/>
    <w:rsid w:val="00F02188"/>
    <w:rsid w:val="00F02F63"/>
    <w:rsid w:val="00F05A97"/>
    <w:rsid w:val="00F1261C"/>
    <w:rsid w:val="00F27B34"/>
    <w:rsid w:val="00F8191D"/>
    <w:rsid w:val="00FA4830"/>
    <w:rsid w:val="00FB1867"/>
    <w:rsid w:val="00FB5B94"/>
    <w:rsid w:val="00FC49F0"/>
    <w:rsid w:val="00FD7864"/>
    <w:rsid w:val="00FF05C9"/>
    <w:rsid w:val="00FF121F"/>
    <w:rsid w:val="015E034F"/>
    <w:rsid w:val="01CC50FF"/>
    <w:rsid w:val="020C3600"/>
    <w:rsid w:val="02A163DC"/>
    <w:rsid w:val="037960C0"/>
    <w:rsid w:val="039E0DF7"/>
    <w:rsid w:val="03EF3B00"/>
    <w:rsid w:val="05444432"/>
    <w:rsid w:val="06E20FAC"/>
    <w:rsid w:val="07A11D12"/>
    <w:rsid w:val="083C20B8"/>
    <w:rsid w:val="08F66DC1"/>
    <w:rsid w:val="0908255E"/>
    <w:rsid w:val="091574A4"/>
    <w:rsid w:val="0A243FB0"/>
    <w:rsid w:val="0AB35E1D"/>
    <w:rsid w:val="0AB6351E"/>
    <w:rsid w:val="0B1F3303"/>
    <w:rsid w:val="0C6F50BD"/>
    <w:rsid w:val="0C7516B2"/>
    <w:rsid w:val="0C807692"/>
    <w:rsid w:val="0D3E2F48"/>
    <w:rsid w:val="0DE36B99"/>
    <w:rsid w:val="0DF82377"/>
    <w:rsid w:val="0E3869E3"/>
    <w:rsid w:val="0E3B3C64"/>
    <w:rsid w:val="0F095A37"/>
    <w:rsid w:val="0F0A6D3C"/>
    <w:rsid w:val="0FD72C0C"/>
    <w:rsid w:val="10200A82"/>
    <w:rsid w:val="103E38B5"/>
    <w:rsid w:val="10A04854"/>
    <w:rsid w:val="10BF38FB"/>
    <w:rsid w:val="10E93D4E"/>
    <w:rsid w:val="115C1445"/>
    <w:rsid w:val="11B62D57"/>
    <w:rsid w:val="12737E91"/>
    <w:rsid w:val="12CB3EE4"/>
    <w:rsid w:val="12DA5DA1"/>
    <w:rsid w:val="12E13E89"/>
    <w:rsid w:val="13B0545B"/>
    <w:rsid w:val="1549557C"/>
    <w:rsid w:val="157D650A"/>
    <w:rsid w:val="15BF2FBD"/>
    <w:rsid w:val="16383B80"/>
    <w:rsid w:val="164A731D"/>
    <w:rsid w:val="177A5491"/>
    <w:rsid w:val="184503DD"/>
    <w:rsid w:val="18EB1E70"/>
    <w:rsid w:val="19AF0CB4"/>
    <w:rsid w:val="19F023A6"/>
    <w:rsid w:val="1AA72145"/>
    <w:rsid w:val="1AF226BF"/>
    <w:rsid w:val="1B6B6A0B"/>
    <w:rsid w:val="1BC528C4"/>
    <w:rsid w:val="1D4266B3"/>
    <w:rsid w:val="1E537B54"/>
    <w:rsid w:val="1EC27FFB"/>
    <w:rsid w:val="1ED47CA2"/>
    <w:rsid w:val="1F4D7EC7"/>
    <w:rsid w:val="20CF4E76"/>
    <w:rsid w:val="21B300DA"/>
    <w:rsid w:val="21BE4041"/>
    <w:rsid w:val="221365B8"/>
    <w:rsid w:val="22A418BF"/>
    <w:rsid w:val="23241352"/>
    <w:rsid w:val="23551A04"/>
    <w:rsid w:val="23D14BD1"/>
    <w:rsid w:val="23EE3A3E"/>
    <w:rsid w:val="241330BC"/>
    <w:rsid w:val="246C2851"/>
    <w:rsid w:val="24C044DA"/>
    <w:rsid w:val="2537321F"/>
    <w:rsid w:val="26850942"/>
    <w:rsid w:val="26A1116C"/>
    <w:rsid w:val="26B164C1"/>
    <w:rsid w:val="26DE4E18"/>
    <w:rsid w:val="27987506"/>
    <w:rsid w:val="288E5F3F"/>
    <w:rsid w:val="28AE5DA0"/>
    <w:rsid w:val="28F22C3A"/>
    <w:rsid w:val="28F770C2"/>
    <w:rsid w:val="2B6910C5"/>
    <w:rsid w:val="2CD5741D"/>
    <w:rsid w:val="2D1139FF"/>
    <w:rsid w:val="2D406ACD"/>
    <w:rsid w:val="2DAB037A"/>
    <w:rsid w:val="2DCC08AF"/>
    <w:rsid w:val="2DD724C3"/>
    <w:rsid w:val="2E3B58C1"/>
    <w:rsid w:val="2E9B7C83"/>
    <w:rsid w:val="2ECA65D4"/>
    <w:rsid w:val="2F2974AD"/>
    <w:rsid w:val="2F33497E"/>
    <w:rsid w:val="30357A24"/>
    <w:rsid w:val="307C5365"/>
    <w:rsid w:val="30A22B85"/>
    <w:rsid w:val="310426C7"/>
    <w:rsid w:val="314C36FF"/>
    <w:rsid w:val="31557E7B"/>
    <w:rsid w:val="315952F5"/>
    <w:rsid w:val="31D611AB"/>
    <w:rsid w:val="321A21C3"/>
    <w:rsid w:val="33365E13"/>
    <w:rsid w:val="3359366F"/>
    <w:rsid w:val="33DD0B38"/>
    <w:rsid w:val="34190864"/>
    <w:rsid w:val="345E10F8"/>
    <w:rsid w:val="34A100EE"/>
    <w:rsid w:val="34A264AC"/>
    <w:rsid w:val="35281E46"/>
    <w:rsid w:val="355D3219"/>
    <w:rsid w:val="35651183"/>
    <w:rsid w:val="35D37D9D"/>
    <w:rsid w:val="366B269C"/>
    <w:rsid w:val="367E6B74"/>
    <w:rsid w:val="36DC47B5"/>
    <w:rsid w:val="381D2D9D"/>
    <w:rsid w:val="38BA2D12"/>
    <w:rsid w:val="38EB77CC"/>
    <w:rsid w:val="39CE0565"/>
    <w:rsid w:val="3A1D0EF5"/>
    <w:rsid w:val="3A9B4436"/>
    <w:rsid w:val="3AA44A54"/>
    <w:rsid w:val="3AE822E0"/>
    <w:rsid w:val="3B617677"/>
    <w:rsid w:val="3B820DE6"/>
    <w:rsid w:val="3BF5596C"/>
    <w:rsid w:val="3C173922"/>
    <w:rsid w:val="3C8B0C00"/>
    <w:rsid w:val="3CC7607D"/>
    <w:rsid w:val="3CCA53AD"/>
    <w:rsid w:val="3CF81873"/>
    <w:rsid w:val="3D1228C0"/>
    <w:rsid w:val="3D243E5F"/>
    <w:rsid w:val="3D903E12"/>
    <w:rsid w:val="3E35171E"/>
    <w:rsid w:val="3EBB2C7C"/>
    <w:rsid w:val="3EEA5570"/>
    <w:rsid w:val="3FD1113F"/>
    <w:rsid w:val="41171C7F"/>
    <w:rsid w:val="418E5F9D"/>
    <w:rsid w:val="42563CB0"/>
    <w:rsid w:val="428E1918"/>
    <w:rsid w:val="429709CE"/>
    <w:rsid w:val="42BF1B92"/>
    <w:rsid w:val="43706133"/>
    <w:rsid w:val="43BC4F2D"/>
    <w:rsid w:val="43D755DA"/>
    <w:rsid w:val="450F1F75"/>
    <w:rsid w:val="453C3F01"/>
    <w:rsid w:val="45520847"/>
    <w:rsid w:val="456C4C74"/>
    <w:rsid w:val="45E73322"/>
    <w:rsid w:val="47043A90"/>
    <w:rsid w:val="473144C3"/>
    <w:rsid w:val="479E040B"/>
    <w:rsid w:val="48955120"/>
    <w:rsid w:val="489B28AD"/>
    <w:rsid w:val="49383A30"/>
    <w:rsid w:val="494A394A"/>
    <w:rsid w:val="49605AEE"/>
    <w:rsid w:val="4AE22D88"/>
    <w:rsid w:val="4B621286"/>
    <w:rsid w:val="4BD777FC"/>
    <w:rsid w:val="4BE36E91"/>
    <w:rsid w:val="4C906FAA"/>
    <w:rsid w:val="4CCB138D"/>
    <w:rsid w:val="4CDB6B18"/>
    <w:rsid w:val="4D1D2609"/>
    <w:rsid w:val="4D651F3F"/>
    <w:rsid w:val="4E305A20"/>
    <w:rsid w:val="4EB11A7C"/>
    <w:rsid w:val="4EE6167D"/>
    <w:rsid w:val="4F275969"/>
    <w:rsid w:val="4F586ABA"/>
    <w:rsid w:val="4F6C2BDB"/>
    <w:rsid w:val="4F9C166D"/>
    <w:rsid w:val="4FB542D4"/>
    <w:rsid w:val="503A452D"/>
    <w:rsid w:val="50D67C2E"/>
    <w:rsid w:val="51F65B81"/>
    <w:rsid w:val="53383B95"/>
    <w:rsid w:val="53406164"/>
    <w:rsid w:val="53774CFF"/>
    <w:rsid w:val="5393682D"/>
    <w:rsid w:val="53DE59A8"/>
    <w:rsid w:val="553426D6"/>
    <w:rsid w:val="553B58E4"/>
    <w:rsid w:val="55AA541C"/>
    <w:rsid w:val="567E16A6"/>
    <w:rsid w:val="5728768E"/>
    <w:rsid w:val="58272CFA"/>
    <w:rsid w:val="58343043"/>
    <w:rsid w:val="58BD5526"/>
    <w:rsid w:val="58D8399B"/>
    <w:rsid w:val="596879A6"/>
    <w:rsid w:val="59F57B8E"/>
    <w:rsid w:val="5A4357D4"/>
    <w:rsid w:val="5A692FE3"/>
    <w:rsid w:val="5A6A0F0A"/>
    <w:rsid w:val="5AE03F27"/>
    <w:rsid w:val="5B7E4A72"/>
    <w:rsid w:val="5BE921DB"/>
    <w:rsid w:val="5C2F46C0"/>
    <w:rsid w:val="5C3F5168"/>
    <w:rsid w:val="5C526387"/>
    <w:rsid w:val="5C9918CB"/>
    <w:rsid w:val="5DFA543E"/>
    <w:rsid w:val="5E811B87"/>
    <w:rsid w:val="5FB86698"/>
    <w:rsid w:val="5FF25578"/>
    <w:rsid w:val="5FF97102"/>
    <w:rsid w:val="609E0F14"/>
    <w:rsid w:val="60C864D5"/>
    <w:rsid w:val="614E41B0"/>
    <w:rsid w:val="61946EA3"/>
    <w:rsid w:val="62973EAF"/>
    <w:rsid w:val="62BE08BB"/>
    <w:rsid w:val="62FD13D4"/>
    <w:rsid w:val="631E222D"/>
    <w:rsid w:val="632F46C6"/>
    <w:rsid w:val="646C7950"/>
    <w:rsid w:val="654F3592"/>
    <w:rsid w:val="662C40AE"/>
    <w:rsid w:val="66D37837"/>
    <w:rsid w:val="670A7A3E"/>
    <w:rsid w:val="67531912"/>
    <w:rsid w:val="679E2C8B"/>
    <w:rsid w:val="67B870B8"/>
    <w:rsid w:val="67E74384"/>
    <w:rsid w:val="69270594"/>
    <w:rsid w:val="69EF3DF1"/>
    <w:rsid w:val="6B05752C"/>
    <w:rsid w:val="6B177A3F"/>
    <w:rsid w:val="6B2F71CC"/>
    <w:rsid w:val="6CEB66C0"/>
    <w:rsid w:val="6D8B22BF"/>
    <w:rsid w:val="70824AD1"/>
    <w:rsid w:val="71784278"/>
    <w:rsid w:val="7218633D"/>
    <w:rsid w:val="73006EB1"/>
    <w:rsid w:val="73417714"/>
    <w:rsid w:val="747D1147"/>
    <w:rsid w:val="758053D5"/>
    <w:rsid w:val="75E91581"/>
    <w:rsid w:val="762C5749"/>
    <w:rsid w:val="76377102"/>
    <w:rsid w:val="765C5FCF"/>
    <w:rsid w:val="769B6E27"/>
    <w:rsid w:val="77027AD0"/>
    <w:rsid w:val="77A5337F"/>
    <w:rsid w:val="77EA6748"/>
    <w:rsid w:val="780A11FC"/>
    <w:rsid w:val="78824C27"/>
    <w:rsid w:val="78A87E00"/>
    <w:rsid w:val="78AE558D"/>
    <w:rsid w:val="79442D41"/>
    <w:rsid w:val="7968243D"/>
    <w:rsid w:val="79D165E9"/>
    <w:rsid w:val="7AAB1B4F"/>
    <w:rsid w:val="7AB236D8"/>
    <w:rsid w:val="7AF244C2"/>
    <w:rsid w:val="7B331FDF"/>
    <w:rsid w:val="7B5B3EF1"/>
    <w:rsid w:val="7BA515D0"/>
    <w:rsid w:val="7C2E2674"/>
    <w:rsid w:val="7CA80310"/>
    <w:rsid w:val="7DFF1847"/>
    <w:rsid w:val="7E33111C"/>
    <w:rsid w:val="7E4F6A23"/>
    <w:rsid w:val="7EC00980"/>
    <w:rsid w:val="7F246769"/>
    <w:rsid w:val="7FEE13F2"/>
    <w:rsid w:val="7FF55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page number"/>
    <w:basedOn w:val="8"/>
    <w:qFormat/>
    <w:uiPriority w:val="0"/>
  </w:style>
  <w:style w:type="character" w:styleId="10">
    <w:name w:val="annotation reference"/>
    <w:basedOn w:val="8"/>
    <w:semiHidden/>
    <w:unhideWhenUsed/>
    <w:qFormat/>
    <w:uiPriority w:val="99"/>
    <w:rPr>
      <w:sz w:val="21"/>
      <w:szCs w:val="21"/>
    </w:rPr>
  </w:style>
  <w:style w:type="character" w:customStyle="1" w:styleId="11">
    <w:name w:val="页眉 Char"/>
    <w:basedOn w:val="8"/>
    <w:link w:val="5"/>
    <w:semiHidden/>
    <w:qFormat/>
    <w:uiPriority w:val="99"/>
    <w:rPr>
      <w:kern w:val="2"/>
      <w:sz w:val="18"/>
      <w:szCs w:val="18"/>
    </w:rPr>
  </w:style>
  <w:style w:type="character" w:customStyle="1" w:styleId="12">
    <w:name w:val="页脚 Char"/>
    <w:basedOn w:val="8"/>
    <w:link w:val="4"/>
    <w:qFormat/>
    <w:uiPriority w:val="99"/>
    <w:rPr>
      <w:kern w:val="2"/>
      <w:sz w:val="18"/>
      <w:szCs w:val="18"/>
    </w:rPr>
  </w:style>
  <w:style w:type="paragraph" w:customStyle="1" w:styleId="13">
    <w:name w:val="Char1"/>
    <w:basedOn w:val="1"/>
    <w:qFormat/>
    <w:uiPriority w:val="0"/>
    <w:pPr>
      <w:tabs>
        <w:tab w:val="left" w:pos="840"/>
      </w:tabs>
      <w:ind w:left="840" w:hanging="420"/>
    </w:pPr>
    <w:rPr>
      <w:rFonts w:ascii="Times New Roman" w:hAnsi="Times New Roman"/>
      <w:sz w:val="24"/>
      <w:szCs w:val="24"/>
    </w:rPr>
  </w:style>
  <w:style w:type="character" w:customStyle="1" w:styleId="14">
    <w:name w:val="批注文字 Char"/>
    <w:basedOn w:val="8"/>
    <w:link w:val="2"/>
    <w:semiHidden/>
    <w:qFormat/>
    <w:uiPriority w:val="99"/>
    <w:rPr>
      <w:kern w:val="2"/>
      <w:sz w:val="21"/>
      <w:szCs w:val="22"/>
    </w:rPr>
  </w:style>
  <w:style w:type="character" w:customStyle="1" w:styleId="15">
    <w:name w:val="批注主题 Char"/>
    <w:basedOn w:val="14"/>
    <w:link w:val="6"/>
    <w:semiHidden/>
    <w:qFormat/>
    <w:uiPriority w:val="99"/>
    <w:rPr>
      <w:b/>
      <w:bCs/>
    </w:rPr>
  </w:style>
  <w:style w:type="character" w:customStyle="1" w:styleId="16">
    <w:name w:val="批注框文本 Char"/>
    <w:basedOn w:val="8"/>
    <w:link w:val="3"/>
    <w:semiHidden/>
    <w:qFormat/>
    <w:uiPriority w:val="99"/>
    <w:rPr>
      <w:kern w:val="2"/>
      <w:sz w:val="18"/>
      <w:szCs w:val="18"/>
    </w:rPr>
  </w:style>
  <w:style w:type="paragraph" w:customStyle="1" w:styleId="17">
    <w:name w:val="Revision"/>
    <w:hidden/>
    <w:semiHidden/>
    <w:qFormat/>
    <w:uiPriority w:val="99"/>
    <w:rPr>
      <w:rFonts w:ascii="Calibri" w:hAnsi="Calibri" w:eastAsia="宋体" w:cs="Times New Roman"/>
      <w:kern w:val="2"/>
      <w:sz w:val="21"/>
      <w:szCs w:val="22"/>
      <w:lang w:val="en-US" w:eastAsia="zh-CN" w:bidi="ar-SA"/>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0880F-0172-4367-9D41-5B93968F3B74}">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【环评批复模板】环评报告表（2017年版）.dot</Template>
  <Company>Bureau of Environment Protection</Company>
  <Pages>4</Pages>
  <Words>2766</Words>
  <Characters>2996</Characters>
  <Lines>19</Lines>
  <Paragraphs>5</Paragraphs>
  <TotalTime>27</TotalTime>
  <ScaleCrop>false</ScaleCrop>
  <LinksUpToDate>false</LinksUpToDate>
  <CharactersWithSpaces>3060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2019-11-22T08:14:00Z</dcterms:created>
  <dc:creator>Panyu EPB</dc:creator>
  <cp:lastModifiedBy>何国威</cp:lastModifiedBy>
  <cp:lastPrinted>2012-12-06T03:13:00Z</cp:lastPrinted>
  <dcterms:modified xsi:type="dcterms:W3CDTF">2025-04-27T08:27:49Z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2052-12.8.2.18606</vt:lpwstr>
  </property>
  <property fmtid="{D5CDD505-2E9C-101B-9397-08002B2CF9AE}" pid="4" name="ICV">
    <vt:lpwstr>7B1C4AD2043649D185BF4A2F74748C72</vt:lpwstr>
  </property>
</Properties>
</file>