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color w:val="000000" w:themeColor="text1"/>
          <w:sz w:val="24"/>
          <w14:textFill>
            <w14:solidFill>
              <w14:schemeClr w14:val="tx1"/>
            </w14:solidFill>
          </w14:textFill>
        </w:rPr>
      </w:pPr>
      <w:bookmarkStart w:id="0" w:name="_Hlk110948188"/>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01pS1gAAAAgBAAAPAAAAAAAAAAEAIAAA&#10;ACIAAABkcnMvZG93bnJldi54bWxQSwECFAAUAAAACACHTuJASUmWkw4CAAAFBAAADgAAAAAAAAAB&#10;ACAAAAAlAQAAZHJzL2Uyb0RvYy54bWxQSwUGAAAAAAYABgBZAQAApQUAAAAA&#10;">
                <v:fill on="f" focussize="0,0"/>
                <v:stroke on="f"/>
                <v:imagedata o:title=""/>
                <o:lock v:ext="edit" aspectratio="f"/>
                <v:textbox inset="0mm,0mm,0mm,0mm">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9o+W/XAAAA&#10;CAEAAA8AAAAAAAAAAQAgAAAAIgAAAGRycy9kb3ducmV2LnhtbFBLAQIUABQAAAAIAIdO4kD4edgC&#10;5QEAAKsDAAAOAAAAAAAAAAEAIAAAACYBAABkcnMvZTJvRG9jLnhtbFBLBQYAAAAABgAGAFkBAAB9&#10;BQAAAAA=&#10;">
                <v:fill on="f" focussize="0,0"/>
                <v:stroke weight="1pt" color="#000000" joinstyle="round"/>
                <v:imagedata o:title=""/>
                <o:lock v:ext="edit" aspectratio="f"/>
              </v:line>
            </w:pict>
          </mc:Fallback>
        </mc:AlternateContent>
      </w:r>
      <w:r>
        <w:rPr>
          <w:color w:val="000000" w:themeColor="text1"/>
          <w14:textFill>
            <w14:solidFill>
              <w14:schemeClr w14:val="tx1"/>
            </w14:solidFill>
          </w14:textFill>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63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VKVTWAAAACAEAAA8AAAAAAAAAAQAgAAAA&#10;IgAAAGRycy9kb3ducmV2LnhtbFBLAQIUABQAAAAIAIdO4kA+Whm9DQIAAAUEAAAOAAAAAAAAAAEA&#10;IAAAACUBAABkcnMvZTJvRG9jLnhtbFBLBQYAAAAABgAGAFkBAACkBQ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12700"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9Tr762AAAAAkBAAAPAAAAAAAAAAEAIAAA&#10;ACIAAABkcnMvZG93bnJldi54bWxQSwECFAAUAAAACACHTuJApe5q+AwCAAAFBAAADgAAAAAAAAAB&#10;ACAAAAAnAQAAZHJzL2Uyb0RvYy54bWxQSwUGAAAAAAYABgBZAQAApQUAAAAA&#10;">
                <v:fill on="f" focussize="0,0"/>
                <v:stroke on="f"/>
                <v:imagedata o:title=""/>
                <o:lock v:ext="edit" aspectratio="f"/>
                <v:textbox inset="0mm,0mm,0mm,0mm">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ascii="宋体" w:hAnsi="宋体"/>
                          <w:spacing w:val="-8"/>
                          <w:sz w:val="16"/>
                          <w:szCs w:val="16"/>
                        </w:rPr>
                      </w:pPr>
                    </w:p>
                  </w:txbxContent>
                </v:textbox>
              </v:shape>
            </w:pict>
          </mc:Fallback>
        </mc:AlternateContent>
      </w:r>
    </w:p>
    <w:p>
      <w:pPr>
        <w:spacing w:line="400" w:lineRule="exact"/>
        <w:ind w:left="6300" w:leftChars="3000" w:right="15" w:rightChars="7" w:firstLine="117" w:firstLineChars="42"/>
        <w:jc w:val="right"/>
        <w:rPr>
          <w:rFonts w:ascii="Times New Roman" w:hAnsi="Times New Roman" w:eastAsia="仿宋_GB2312" w:cs="Times New Roman"/>
          <w:color w:val="000000" w:themeColor="text1"/>
          <w:sz w:val="28"/>
          <w:szCs w:val="28"/>
          <w14:textFill>
            <w14:solidFill>
              <w14:schemeClr w14:val="tx1"/>
            </w14:solidFill>
          </w14:textFill>
        </w:rPr>
      </w:pPr>
      <w:bookmarkStart w:id="1" w:name="_Hlk110948178"/>
      <w:r>
        <w:rPr>
          <w:rFonts w:ascii="Times New Roman" w:hAnsi="Times New Roman" w:eastAsia="仿宋_GB2312" w:cs="Times New Roman"/>
          <w:color w:val="000000" w:themeColor="text1"/>
          <w:sz w:val="28"/>
          <w:szCs w:val="28"/>
          <w14:textFill>
            <w14:solidFill>
              <w14:schemeClr w14:val="tx1"/>
            </w14:solidFill>
          </w14:textFill>
        </w:rPr>
        <w:t>业会专审[20</w:t>
      </w:r>
      <w:r>
        <w:rPr>
          <w:rFonts w:hint="eastAsia" w:ascii="Times New Roman" w:hAnsi="Times New Roman" w:eastAsia="仿宋_GB2312" w:cs="Times New Roman"/>
          <w:color w:val="000000" w:themeColor="text1"/>
          <w:sz w:val="28"/>
          <w:szCs w:val="28"/>
          <w14:textFill>
            <w14:solidFill>
              <w14:schemeClr w14:val="tx1"/>
            </w14:solidFill>
          </w14:textFill>
        </w:rPr>
        <w:t>25</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050</w:t>
      </w:r>
      <w:r>
        <w:rPr>
          <w:rFonts w:ascii="Times New Roman" w:hAnsi="Times New Roman" w:eastAsia="仿宋_GB2312" w:cs="Times New Roman"/>
          <w:color w:val="000000" w:themeColor="text1"/>
          <w:sz w:val="28"/>
          <w:szCs w:val="28"/>
          <w14:textFill>
            <w14:solidFill>
              <w14:schemeClr w14:val="tx1"/>
            </w14:solidFill>
          </w14:textFill>
        </w:rPr>
        <w:t>号</w:t>
      </w:r>
    </w:p>
    <w:bookmarkEnd w:id="0"/>
    <w:bookmarkEnd w:id="1"/>
    <w:p>
      <w:pPr>
        <w:spacing w:line="500" w:lineRule="exact"/>
        <w:ind w:left="6300" w:leftChars="3000" w:right="15" w:rightChars="7" w:firstLine="117" w:firstLineChars="42"/>
        <w:jc w:val="right"/>
        <w:rPr>
          <w:rFonts w:ascii="Times New Roman" w:hAnsi="Times New Roman" w:eastAsia="仿宋_GB2312" w:cs="Times New Roman"/>
          <w:color w:val="000000" w:themeColor="text1"/>
          <w:sz w:val="28"/>
          <w:szCs w:val="28"/>
          <w14:textFill>
            <w14:solidFill>
              <w14:schemeClr w14:val="tx1"/>
            </w14:solidFill>
          </w14:textFill>
        </w:rPr>
      </w:pPr>
    </w:p>
    <w:p>
      <w:pPr>
        <w:spacing w:line="500" w:lineRule="exact"/>
        <w:jc w:val="center"/>
        <w:rPr>
          <w:rFonts w:ascii="Times New Roman" w:hAnsi="Times New Roman" w:eastAsia="宋体" w:cs="Times New Roman"/>
          <w:b/>
          <w:color w:val="000000" w:themeColor="text1"/>
          <w:sz w:val="30"/>
          <w:szCs w:val="30"/>
          <w14:textFill>
            <w14:solidFill>
              <w14:schemeClr w14:val="tx1"/>
            </w14:solidFill>
          </w14:textFill>
        </w:rPr>
      </w:pPr>
      <w:r>
        <w:rPr>
          <w:rFonts w:ascii="Times New Roman" w:hAnsi="Times New Roman" w:eastAsia="宋体" w:cs="Times New Roman"/>
          <w:b/>
          <w:color w:val="000000" w:themeColor="text1"/>
          <w:sz w:val="30"/>
          <w:szCs w:val="30"/>
          <w14:textFill>
            <w14:solidFill>
              <w14:schemeClr w14:val="tx1"/>
            </w14:solidFill>
          </w14:textFill>
        </w:rPr>
        <w:t>关于对广州市番禺区</w:t>
      </w:r>
      <w:r>
        <w:rPr>
          <w:rFonts w:hint="eastAsia" w:ascii="Times New Roman" w:hAnsi="Times New Roman" w:eastAsia="宋体" w:cs="Times New Roman"/>
          <w:b/>
          <w:color w:val="000000" w:themeColor="text1"/>
          <w:sz w:val="30"/>
          <w:szCs w:val="30"/>
          <w14:textFill>
            <w14:solidFill>
              <w14:schemeClr w14:val="tx1"/>
            </w14:solidFill>
          </w14:textFill>
        </w:rPr>
        <w:t>洛浦街</w:t>
      </w:r>
      <w:r>
        <w:rPr>
          <w:rFonts w:ascii="Times New Roman" w:hAnsi="Times New Roman" w:eastAsia="宋体" w:cs="Times New Roman"/>
          <w:b/>
          <w:color w:val="000000" w:themeColor="text1"/>
          <w:sz w:val="30"/>
          <w:szCs w:val="30"/>
          <w14:textFill>
            <w14:solidFill>
              <w14:schemeClr w14:val="tx1"/>
            </w14:solidFill>
          </w14:textFill>
        </w:rPr>
        <w:t>社工服务站</w:t>
      </w:r>
    </w:p>
    <w:p>
      <w:pPr>
        <w:spacing w:line="500" w:lineRule="exact"/>
        <w:jc w:val="center"/>
        <w:rPr>
          <w:rFonts w:ascii="Times New Roman" w:hAnsi="Times New Roman" w:eastAsia="宋体" w:cs="Times New Roman"/>
          <w:b/>
          <w:color w:val="000000" w:themeColor="text1"/>
          <w:sz w:val="30"/>
          <w:szCs w:val="30"/>
          <w14:textFill>
            <w14:solidFill>
              <w14:schemeClr w14:val="tx1"/>
            </w14:solidFill>
          </w14:textFill>
        </w:rPr>
      </w:pPr>
      <w:r>
        <w:rPr>
          <w:rFonts w:hint="eastAsia" w:ascii="Times New Roman" w:hAnsi="Times New Roman" w:eastAsia="宋体" w:cs="Times New Roman"/>
          <w:b/>
          <w:color w:val="000000" w:themeColor="text1"/>
          <w:sz w:val="30"/>
          <w:szCs w:val="30"/>
          <w14:textFill>
            <w14:solidFill>
              <w14:schemeClr w14:val="tx1"/>
            </w14:solidFill>
          </w14:textFill>
        </w:rPr>
        <w:t>2024年8月6日至2025年2月5日</w:t>
      </w:r>
      <w:r>
        <w:rPr>
          <w:rFonts w:ascii="Times New Roman" w:hAnsi="Times New Roman" w:eastAsia="宋体" w:cs="Times New Roman"/>
          <w:b/>
          <w:color w:val="000000" w:themeColor="text1"/>
          <w:sz w:val="30"/>
          <w:szCs w:val="30"/>
          <w14:textFill>
            <w14:solidFill>
              <w14:schemeClr w14:val="tx1"/>
            </w14:solidFill>
          </w14:textFill>
        </w:rPr>
        <w:t>财务管理情况评估报告</w:t>
      </w:r>
    </w:p>
    <w:p>
      <w:pPr>
        <w:spacing w:line="360" w:lineRule="auto"/>
        <w:jc w:val="center"/>
        <w:rPr>
          <w:rFonts w:ascii="仿宋_GB2312" w:eastAsia="仿宋_GB2312"/>
          <w:color w:val="000000" w:themeColor="text1"/>
          <w:sz w:val="28"/>
          <w:szCs w:val="28"/>
          <w14:textFill>
            <w14:solidFill>
              <w14:schemeClr w14:val="tx1"/>
            </w14:solidFill>
          </w14:textFill>
        </w:rPr>
      </w:pPr>
    </w:p>
    <w:p>
      <w:pPr>
        <w:spacing w:line="620" w:lineRule="exact"/>
        <w:ind w:right="-8"/>
        <w:rPr>
          <w:rFonts w:ascii="楷体" w:hAnsi="楷体" w:eastAsia="楷体" w:cs="Times New Roman"/>
          <w:b/>
          <w:color w:val="000000" w:themeColor="text1"/>
          <w:spacing w:val="-10"/>
          <w:sz w:val="28"/>
          <w:szCs w:val="28"/>
          <w14:textFill>
            <w14:solidFill>
              <w14:schemeClr w14:val="tx1"/>
            </w14:solidFill>
          </w14:textFill>
        </w:rPr>
      </w:pPr>
      <w:r>
        <w:rPr>
          <w:rFonts w:hint="eastAsia" w:ascii="楷体" w:hAnsi="楷体" w:eastAsia="楷体" w:cs="Times New Roman"/>
          <w:b/>
          <w:color w:val="000000" w:themeColor="text1"/>
          <w:spacing w:val="-10"/>
          <w:sz w:val="28"/>
          <w:szCs w:val="28"/>
          <w14:textFill>
            <w14:solidFill>
              <w14:schemeClr w14:val="tx1"/>
            </w14:solidFill>
          </w14:textFill>
        </w:rPr>
        <w:t>广州市番禺区社区建设指导中心：</w:t>
      </w:r>
    </w:p>
    <w:p>
      <w:pPr>
        <w:spacing w:line="62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我们接受委托，对广州市番禺区洛浦街社工服务站（以下简称洛浦社工站）2024年8月6日至2025年2月5日财务管理情况进行评估。</w:t>
      </w:r>
      <w:r>
        <w:rPr>
          <w:rFonts w:hint="eastAsia" w:eastAsia="仿宋"/>
          <w:color w:val="000000" w:themeColor="text1"/>
          <w:sz w:val="28"/>
          <w:szCs w:val="28"/>
          <w14:textFill>
            <w14:solidFill>
              <w14:schemeClr w14:val="tx1"/>
            </w14:solidFill>
          </w14:textFill>
        </w:rPr>
        <w:t>提供真实、合法、完整的会计资料和评估相关资料</w:t>
      </w:r>
      <w:r>
        <w:rPr>
          <w:rFonts w:hint="eastAsia" w:ascii="Times New Roman" w:hAnsi="Times New Roman" w:eastAsia="仿宋_GB2312" w:cs="Times New Roman"/>
          <w:color w:val="000000" w:themeColor="text1"/>
          <w:sz w:val="28"/>
          <w:szCs w:val="28"/>
          <w14:textFill>
            <w14:solidFill>
              <w14:schemeClr w14:val="tx1"/>
            </w14:solidFill>
          </w14:textFill>
        </w:rPr>
        <w:t>是洛浦社工站及其承接机构的责任，</w:t>
      </w:r>
      <w:r>
        <w:rPr>
          <w:rFonts w:hint="eastAsia" w:eastAsia="仿宋"/>
          <w:color w:val="000000" w:themeColor="text1"/>
          <w:sz w:val="28"/>
          <w:szCs w:val="28"/>
          <w14:textFill>
            <w14:solidFill>
              <w14:schemeClr w14:val="tx1"/>
            </w14:solidFill>
          </w14:textFill>
        </w:rPr>
        <w:t>我们的责任是依据《中国注册会计师执业准则》、《中华人民共和国会计法》、《会计基础工作规范》、《民间非营利组织会计制度》、</w:t>
      </w:r>
      <w:r>
        <w:rPr>
          <w:rFonts w:ascii="Times New Roman" w:hAnsi="Times New Roman" w:eastAsia="仿宋" w:cs="Times New Roman"/>
          <w:sz w:val="28"/>
          <w:szCs w:val="28"/>
        </w:rPr>
        <w:t>《广州市人民政府办公厅关于印发广州市社工服务站管理办法的通知》（穗府办〔2023〕7号）、《广州市民政局关于印发〈广州市社工服务站管理办法〉有关配套文件的通知》（穗民〔2023〕97号）</w:t>
      </w:r>
      <w:r>
        <w:rPr>
          <w:rFonts w:hint="eastAsia" w:eastAsia="仿宋"/>
          <w:color w:val="000000" w:themeColor="text1"/>
          <w:sz w:val="28"/>
          <w:szCs w:val="28"/>
          <w14:textFill>
            <w14:solidFill>
              <w14:schemeClr w14:val="tx1"/>
            </w14:solidFill>
          </w14:textFill>
        </w:rPr>
        <w:t>及广州市番禺区人民政府洛浦街道办事处与社工服务站承接机构签订的购买服务协议中相关约定，对洛浦社工站的财务管理情况进行审核，并出具财务评估报告</w:t>
      </w:r>
      <w:r>
        <w:rPr>
          <w:rFonts w:hint="eastAsia" w:ascii="Times New Roman" w:hAnsi="Times New Roman" w:eastAsia="仿宋_GB2312" w:cs="Times New Roman"/>
          <w:color w:val="000000" w:themeColor="text1"/>
          <w:sz w:val="28"/>
          <w:szCs w:val="28"/>
          <w14:textFill>
            <w14:solidFill>
              <w14:schemeClr w14:val="tx1"/>
            </w14:solidFill>
          </w14:textFill>
        </w:rPr>
        <w:t>。</w:t>
      </w:r>
    </w:p>
    <w:p>
      <w:pPr>
        <w:spacing w:line="62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按照中国注册会计师职业道德守则，我们独立于洛浦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w:t>
      </w:r>
      <w:r>
        <w:rPr>
          <w:rFonts w:hint="eastAsia" w:ascii="Times New Roman" w:hAnsi="Times New Roman" w:eastAsia="仿宋_GB2312" w:cs="Times New Roman"/>
          <w:color w:val="000000" w:themeColor="text1"/>
          <w:sz w:val="28"/>
          <w:szCs w:val="28"/>
          <w14:textFill>
            <w14:solidFill>
              <w14:schemeClr w14:val="tx1"/>
            </w14:solidFill>
          </w14:textFill>
        </w:rPr>
        <w:t>。现将评估结果报告如下：</w:t>
      </w:r>
    </w:p>
    <w:p>
      <w:pPr>
        <w:spacing w:line="59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一、洛浦社工站基本情况</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承接机构名称：广州市阳光天使社会工作服务中心。</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承接机构法定代表人：</w:t>
      </w:r>
      <w:r>
        <w:rPr>
          <w:rFonts w:ascii="Times New Roman" w:hAnsi="Times New Roman" w:eastAsia="仿宋" w:cs="Times New Roman"/>
          <w:sz w:val="28"/>
          <w:szCs w:val="28"/>
        </w:rPr>
        <w:t>黄佩仪</w:t>
      </w:r>
      <w:r>
        <w:rPr>
          <w:rFonts w:hint="eastAsia" w:ascii="Times New Roman" w:hAnsi="Times New Roman" w:eastAsia="仿宋_GB2312"/>
          <w:color w:val="000000" w:themeColor="text1"/>
          <w:sz w:val="28"/>
          <w:szCs w:val="28"/>
          <w14:textFill>
            <w14:solidFill>
              <w14:schemeClr w14:val="tx1"/>
            </w14:solidFill>
          </w14:textFill>
        </w:rPr>
        <w:t>。</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招标采购周期：</w:t>
      </w:r>
      <w:r>
        <w:rPr>
          <w:rFonts w:hint="eastAsia" w:ascii="Times New Roman" w:hAnsi="Times New Roman" w:eastAsia="仿宋_GB2312" w:cs="Times New Roman"/>
          <w:color w:val="000000" w:themeColor="text1"/>
          <w:sz w:val="28"/>
          <w:szCs w:val="28"/>
          <w14:textFill>
            <w14:solidFill>
              <w14:schemeClr w14:val="tx1"/>
            </w14:solidFill>
          </w14:textFill>
        </w:rPr>
        <w:t>2024年8月6日至2027年8月5日</w:t>
      </w:r>
      <w:r>
        <w:rPr>
          <w:rFonts w:hint="eastAsia" w:ascii="Times New Roman" w:hAnsi="Times New Roman" w:eastAsia="仿宋_GB2312"/>
          <w:color w:val="000000" w:themeColor="text1"/>
          <w:sz w:val="28"/>
          <w:szCs w:val="28"/>
          <w14:textFill>
            <w14:solidFill>
              <w14:schemeClr w14:val="tx1"/>
            </w14:solidFill>
          </w14:textFill>
        </w:rPr>
        <w:t>。</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本次服务协议期限：</w:t>
      </w:r>
      <w:r>
        <w:rPr>
          <w:rFonts w:hint="eastAsia" w:ascii="Times New Roman" w:hAnsi="Times New Roman" w:eastAsia="仿宋_GB2312" w:cs="Times New Roman"/>
          <w:color w:val="000000" w:themeColor="text1"/>
          <w:sz w:val="28"/>
          <w:szCs w:val="28"/>
          <w14:textFill>
            <w14:solidFill>
              <w14:schemeClr w14:val="tx1"/>
            </w14:solidFill>
          </w14:textFill>
        </w:rPr>
        <w:t>2024年8月6日至2025年8月5日</w:t>
      </w:r>
      <w:r>
        <w:rPr>
          <w:rFonts w:hint="eastAsia" w:ascii="Times New Roman" w:hAnsi="Times New Roman" w:eastAsia="仿宋_GB2312"/>
          <w:color w:val="000000" w:themeColor="text1"/>
          <w:sz w:val="28"/>
          <w:szCs w:val="28"/>
          <w14:textFill>
            <w14:solidFill>
              <w14:schemeClr w14:val="tx1"/>
            </w14:solidFill>
          </w14:textFill>
        </w:rPr>
        <w:t>。</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政府购买服务经费：</w:t>
      </w:r>
      <w:r>
        <w:rPr>
          <w:rFonts w:ascii="Times New Roman" w:hAnsi="Times New Roman" w:eastAsia="仿宋_GB2312"/>
          <w:color w:val="000000" w:themeColor="text1"/>
          <w:sz w:val="28"/>
          <w:szCs w:val="28"/>
          <w14:textFill>
            <w14:solidFill>
              <w14:schemeClr w14:val="tx1"/>
            </w14:solidFill>
          </w14:textFill>
        </w:rPr>
        <w:t>本服务</w:t>
      </w:r>
      <w:r>
        <w:rPr>
          <w:rFonts w:hint="eastAsia" w:ascii="Times New Roman" w:hAnsi="Times New Roman" w:eastAsia="仿宋_GB2312"/>
          <w:color w:val="000000" w:themeColor="text1"/>
          <w:sz w:val="28"/>
          <w:szCs w:val="28"/>
          <w14:textFill>
            <w14:solidFill>
              <w14:schemeClr w14:val="tx1"/>
            </w14:solidFill>
          </w14:textFill>
        </w:rPr>
        <w:t>协议</w:t>
      </w:r>
      <w:r>
        <w:rPr>
          <w:rFonts w:ascii="Times New Roman" w:hAnsi="Times New Roman" w:eastAsia="仿宋_GB2312"/>
          <w:color w:val="000000" w:themeColor="text1"/>
          <w:sz w:val="28"/>
          <w:szCs w:val="28"/>
          <w14:textFill>
            <w14:solidFill>
              <w14:schemeClr w14:val="tx1"/>
            </w14:solidFill>
          </w14:textFill>
        </w:rPr>
        <w:t>期限</w:t>
      </w:r>
      <w:r>
        <w:rPr>
          <w:rFonts w:hint="eastAsia" w:ascii="Times New Roman" w:hAnsi="Times New Roman" w:eastAsia="仿宋_GB2312" w:cs="Times New Roman"/>
          <w:color w:val="000000" w:themeColor="text1"/>
          <w:sz w:val="28"/>
          <w:szCs w:val="28"/>
          <w14:textFill>
            <w14:solidFill>
              <w14:schemeClr w14:val="tx1"/>
            </w14:solidFill>
          </w14:textFill>
        </w:rPr>
        <w:t>2024年8月6日至2025年8月5日</w:t>
      </w:r>
      <w:r>
        <w:rPr>
          <w:rFonts w:ascii="Times New Roman" w:hAnsi="Times New Roman" w:eastAsia="仿宋_GB2312"/>
          <w:color w:val="000000" w:themeColor="text1"/>
          <w:sz w:val="28"/>
          <w:szCs w:val="28"/>
          <w14:textFill>
            <w14:solidFill>
              <w14:schemeClr w14:val="tx1"/>
            </w14:solidFill>
          </w14:textFill>
        </w:rPr>
        <w:t>的服务经费总计</w:t>
      </w:r>
      <w:bookmarkStart w:id="2" w:name="_Hlk136986322"/>
      <w:r>
        <w:rPr>
          <w:rFonts w:ascii="Times New Roman" w:hAnsi="Times New Roman" w:eastAsia="仿宋_GB2312"/>
          <w:color w:val="000000" w:themeColor="text1"/>
          <w:sz w:val="28"/>
          <w:szCs w:val="28"/>
          <w14:textFill>
            <w14:solidFill>
              <w14:schemeClr w14:val="tx1"/>
            </w14:solidFill>
          </w14:textFill>
        </w:rPr>
        <w:t>2,400,000.00</w:t>
      </w:r>
      <w:bookmarkEnd w:id="2"/>
      <w:r>
        <w:rPr>
          <w:rFonts w:ascii="Times New Roman" w:hAnsi="Times New Roman" w:eastAsia="仿宋_GB2312"/>
          <w:color w:val="000000" w:themeColor="text1"/>
          <w:sz w:val="28"/>
          <w:szCs w:val="28"/>
          <w14:textFill>
            <w14:solidFill>
              <w14:schemeClr w14:val="tx1"/>
            </w14:solidFill>
          </w14:textFill>
        </w:rPr>
        <w:t>元，其中购买服务合同签订后支付55%即1,320,000.00元；</w:t>
      </w:r>
      <w:r>
        <w:rPr>
          <w:rFonts w:hint="eastAsia" w:ascii="Times New Roman" w:hAnsi="Times New Roman" w:eastAsia="仿宋_GB2312"/>
          <w:color w:val="000000" w:themeColor="text1"/>
          <w:sz w:val="28"/>
          <w:szCs w:val="28"/>
          <w14:textFill>
            <w14:solidFill>
              <w14:schemeClr w14:val="tx1"/>
            </w14:solidFill>
          </w14:textFill>
        </w:rPr>
        <w:t>年度</w:t>
      </w:r>
      <w:r>
        <w:rPr>
          <w:rFonts w:ascii="Times New Roman" w:hAnsi="Times New Roman" w:eastAsia="仿宋_GB2312"/>
          <w:color w:val="000000" w:themeColor="text1"/>
          <w:sz w:val="28"/>
          <w:szCs w:val="28"/>
          <w14:textFill>
            <w14:solidFill>
              <w14:schemeClr w14:val="tx1"/>
            </w14:solidFill>
          </w14:textFill>
        </w:rPr>
        <w:t>中期评估</w:t>
      </w:r>
      <w:r>
        <w:rPr>
          <w:rFonts w:hint="eastAsia" w:ascii="Times New Roman" w:hAnsi="Times New Roman" w:eastAsia="仿宋_GB2312"/>
          <w:color w:val="000000" w:themeColor="text1"/>
          <w:sz w:val="28"/>
          <w:szCs w:val="28"/>
          <w14:textFill>
            <w14:solidFill>
              <w14:schemeClr w14:val="tx1"/>
            </w14:solidFill>
          </w14:textFill>
        </w:rPr>
        <w:t>为</w:t>
      </w:r>
      <w:r>
        <w:rPr>
          <w:rFonts w:ascii="Times New Roman" w:hAnsi="Times New Roman" w:eastAsia="仿宋_GB2312"/>
          <w:color w:val="000000" w:themeColor="text1"/>
          <w:sz w:val="28"/>
          <w:szCs w:val="28"/>
          <w14:textFill>
            <w14:solidFill>
              <w14:schemeClr w14:val="tx1"/>
            </w14:solidFill>
          </w14:textFill>
        </w:rPr>
        <w:t>合格以上</w:t>
      </w:r>
      <w:r>
        <w:rPr>
          <w:rFonts w:hint="eastAsia" w:ascii="Times New Roman" w:hAnsi="Times New Roman" w:eastAsia="仿宋_GB2312"/>
          <w:color w:val="000000" w:themeColor="text1"/>
          <w:sz w:val="28"/>
          <w:szCs w:val="28"/>
          <w14:textFill>
            <w14:solidFill>
              <w14:schemeClr w14:val="tx1"/>
            </w14:solidFill>
          </w14:textFill>
        </w:rPr>
        <w:t>且未违反合同规定的拨</w:t>
      </w:r>
      <w:r>
        <w:rPr>
          <w:rFonts w:ascii="Times New Roman" w:hAnsi="Times New Roman" w:eastAsia="仿宋_GB2312"/>
          <w:color w:val="000000" w:themeColor="text1"/>
          <w:sz w:val="28"/>
          <w:szCs w:val="28"/>
          <w14:textFill>
            <w14:solidFill>
              <w14:schemeClr w14:val="tx1"/>
            </w14:solidFill>
          </w14:textFill>
        </w:rPr>
        <w:t>付40%即960,000.00元；</w:t>
      </w:r>
      <w:r>
        <w:rPr>
          <w:rFonts w:hint="eastAsia" w:ascii="Times New Roman" w:hAnsi="Times New Roman" w:eastAsia="仿宋_GB2312"/>
          <w:color w:val="000000" w:themeColor="text1"/>
          <w:sz w:val="28"/>
          <w:szCs w:val="28"/>
          <w14:textFill>
            <w14:solidFill>
              <w14:schemeClr w14:val="tx1"/>
            </w14:solidFill>
          </w14:textFill>
        </w:rPr>
        <w:t>年度</w:t>
      </w:r>
      <w:r>
        <w:rPr>
          <w:rFonts w:ascii="Times New Roman" w:hAnsi="Times New Roman" w:eastAsia="仿宋_GB2312"/>
          <w:color w:val="000000" w:themeColor="text1"/>
          <w:sz w:val="28"/>
          <w:szCs w:val="28"/>
          <w14:textFill>
            <w14:solidFill>
              <w14:schemeClr w14:val="tx1"/>
            </w14:solidFill>
          </w14:textFill>
        </w:rPr>
        <w:t>末期评估</w:t>
      </w:r>
      <w:r>
        <w:rPr>
          <w:rFonts w:hint="eastAsia" w:ascii="Times New Roman" w:hAnsi="Times New Roman" w:eastAsia="仿宋_GB2312"/>
          <w:color w:val="000000" w:themeColor="text1"/>
          <w:sz w:val="28"/>
          <w:szCs w:val="28"/>
          <w14:textFill>
            <w14:solidFill>
              <w14:schemeClr w14:val="tx1"/>
            </w14:solidFill>
          </w14:textFill>
        </w:rPr>
        <w:t>为合格以上且未违反合同规定的拨付5%</w:t>
      </w:r>
      <w:r>
        <w:rPr>
          <w:rFonts w:ascii="Times New Roman" w:hAnsi="Times New Roman" w:eastAsia="仿宋_GB2312"/>
          <w:color w:val="000000" w:themeColor="text1"/>
          <w:sz w:val="28"/>
          <w:szCs w:val="28"/>
          <w14:textFill>
            <w14:solidFill>
              <w14:schemeClr w14:val="tx1"/>
            </w14:solidFill>
          </w14:textFill>
        </w:rPr>
        <w:t>即120,000.00元。</w:t>
      </w:r>
    </w:p>
    <w:p>
      <w:pPr>
        <w:spacing w:line="61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二、</w:t>
      </w:r>
      <w:bookmarkStart w:id="3" w:name="_Hlk136265867"/>
      <w:r>
        <w:rPr>
          <w:rFonts w:hint="eastAsia" w:ascii="Times New Roman" w:hAnsi="Times New Roman" w:eastAsia="仿宋_GB2312" w:cs="Times New Roman"/>
          <w:b/>
          <w:color w:val="000000" w:themeColor="text1"/>
          <w:sz w:val="28"/>
          <w:szCs w:val="28"/>
          <w14:textFill>
            <w14:solidFill>
              <w14:schemeClr w14:val="tx1"/>
            </w14:solidFill>
          </w14:textFill>
        </w:rPr>
        <w:t>洛浦</w:t>
      </w:r>
      <w:bookmarkEnd w:id="3"/>
      <w:r>
        <w:rPr>
          <w:rFonts w:hint="eastAsia" w:ascii="Times New Roman" w:hAnsi="Times New Roman" w:eastAsia="仿宋_GB2312" w:cs="Times New Roman"/>
          <w:b/>
          <w:color w:val="000000" w:themeColor="text1"/>
          <w:sz w:val="28"/>
          <w:szCs w:val="28"/>
          <w14:textFill>
            <w14:solidFill>
              <w14:schemeClr w14:val="tx1"/>
            </w14:solidFill>
          </w14:textFill>
        </w:rPr>
        <w:t>社工站财务管理制度执行情况</w:t>
      </w:r>
    </w:p>
    <w:p>
      <w:pPr>
        <w:spacing w:line="61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㈠非营利组织会计制度的执行情况</w:t>
      </w:r>
    </w:p>
    <w:p>
      <w:pPr>
        <w:spacing w:line="61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审核，洛浦社工站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61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㈡财务监管、风控制度的执行情况</w:t>
      </w:r>
    </w:p>
    <w:p>
      <w:pPr>
        <w:spacing w:line="61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１</w:t>
      </w:r>
      <w:r>
        <w:rPr>
          <w:rFonts w:ascii="Times New Roman" w:hAnsi="Times New Roman" w:eastAsia="仿宋" w:cs="Times New Roman"/>
          <w:color w:val="000000" w:themeColor="text1"/>
          <w:sz w:val="28"/>
          <w:szCs w:val="28"/>
          <w14:textFill>
            <w14:solidFill>
              <w14:schemeClr w14:val="tx1"/>
            </w14:solidFill>
          </w14:textFill>
        </w:rPr>
        <w:t>、</w:t>
      </w:r>
      <w:bookmarkStart w:id="4" w:name="OLE_LINK2"/>
      <w:r>
        <w:rPr>
          <w:rFonts w:hint="eastAsia" w:ascii="Times New Roman" w:hAnsi="Times New Roman" w:eastAsia="仿宋" w:cs="Times New Roman"/>
          <w:color w:val="000000" w:themeColor="text1"/>
          <w:sz w:val="28"/>
          <w:szCs w:val="28"/>
          <w14:textFill>
            <w14:solidFill>
              <w14:schemeClr w14:val="tx1"/>
            </w14:solidFill>
          </w14:textFill>
        </w:rPr>
        <w:t>承接机构</w:t>
      </w:r>
      <w:r>
        <w:rPr>
          <w:rFonts w:hint="eastAsia" w:ascii="Times New Roman" w:hAnsi="Times New Roman" w:eastAsia="仿宋_GB2312"/>
          <w:color w:val="000000" w:themeColor="text1"/>
          <w:sz w:val="28"/>
          <w:szCs w:val="28"/>
          <w14:textFill>
            <w14:solidFill>
              <w14:schemeClr w14:val="tx1"/>
            </w14:solidFill>
          </w14:textFill>
        </w:rPr>
        <w:t>广州市阳光天使社会工作服务中心</w:t>
      </w:r>
      <w:r>
        <w:rPr>
          <w:rFonts w:hint="eastAsia" w:ascii="仿宋" w:hAnsi="仿宋" w:eastAsia="仿宋"/>
          <w:color w:val="000000" w:themeColor="text1"/>
          <w:sz w:val="28"/>
          <w:szCs w:val="28"/>
          <w14:textFill>
            <w14:solidFill>
              <w14:schemeClr w14:val="tx1"/>
            </w14:solidFill>
          </w14:textFill>
        </w:rPr>
        <w:t>根据自身特点建立了《财务监管、风险防控制度》《岗位职责》《财务报销制度及报销流程》</w:t>
      </w:r>
      <w:r>
        <w:rPr>
          <w:rFonts w:hint="eastAsia" w:eastAsia="仿宋"/>
          <w:color w:val="000000" w:themeColor="text1"/>
          <w:sz w:val="28"/>
          <w:szCs w:val="28"/>
          <w14:textFill>
            <w14:solidFill>
              <w14:schemeClr w14:val="tx1"/>
            </w14:solidFill>
          </w14:textFill>
        </w:rPr>
        <w:t>《物资管理制度》《重大事项报备规定》</w:t>
      </w:r>
      <w:r>
        <w:rPr>
          <w:rFonts w:hint="eastAsia" w:ascii="仿宋" w:hAnsi="仿宋" w:eastAsia="仿宋"/>
          <w:color w:val="000000" w:themeColor="text1"/>
          <w:sz w:val="28"/>
          <w:szCs w:val="28"/>
          <w14:textFill>
            <w14:solidFill>
              <w14:schemeClr w14:val="tx1"/>
            </w14:solidFill>
          </w14:textFill>
        </w:rPr>
        <w:t>等财务监管、风险控制制度，</w:t>
      </w:r>
      <w:bookmarkEnd w:id="4"/>
      <w:r>
        <w:rPr>
          <w:rFonts w:hint="eastAsia" w:ascii="仿宋" w:hAnsi="仿宋" w:eastAsia="仿宋"/>
          <w:color w:val="000000" w:themeColor="text1"/>
          <w:sz w:val="28"/>
          <w:szCs w:val="28"/>
          <w14:textFill>
            <w14:solidFill>
              <w14:schemeClr w14:val="tx1"/>
            </w14:solidFill>
          </w14:textFill>
        </w:rPr>
        <w:t>洛浦社工站在实际工作中按相关规定编制“洛浦预算执行情况表”，在经费报销和物资采购等方面均能执行承接机构制度规定的程序、权限,但部分审批签名不齐，详见本报告第九点存在问题及建议。</w:t>
      </w:r>
    </w:p>
    <w:p>
      <w:pPr>
        <w:spacing w:line="590" w:lineRule="exact"/>
        <w:ind w:firstLine="560" w:firstLineChars="200"/>
        <w:rPr>
          <w:rFonts w:eastAsia="仿宋"/>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２</w:t>
      </w:r>
      <w:r>
        <w:rPr>
          <w:rFonts w:ascii="Times New Roman" w:hAnsi="Times New Roman" w:eastAsia="仿宋" w:cs="Times New Roman"/>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14:textFill>
            <w14:solidFill>
              <w14:schemeClr w14:val="tx1"/>
            </w14:solidFill>
          </w14:textFill>
        </w:rPr>
        <w:t>洛浦</w:t>
      </w:r>
      <w:r>
        <w:rPr>
          <w:rFonts w:hint="eastAsia" w:eastAsia="仿宋"/>
          <w:color w:val="000000" w:themeColor="text1"/>
          <w:sz w:val="28"/>
          <w:szCs w:val="28"/>
          <w14:textFill>
            <w14:solidFill>
              <w14:schemeClr w14:val="tx1"/>
            </w14:solidFill>
          </w14:textFill>
        </w:rPr>
        <w:t>社工站按区域对固定资产进行管理，定期盘点。</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３、承接机构广州市阳光天使社会工作服务中心已按要求编制服务期内洛浦社工站的财务自评报告；中心2023年度财务报表已经广东金铭至正会计师事务所有限公司审计，并取得金铭查字（2024）第0714号无保留意见审计报告；2023年度企业所得税纳税情况已经广东金铭至正会计师事务所有限公司复核，并取得金铭代字（2024）第DL0521号纳税调整报告。截止报告日，中心暂未出具2024年度审计报告及汇算清缴纳税调整报告。</w:t>
      </w:r>
    </w:p>
    <w:p>
      <w:pPr>
        <w:spacing w:line="590" w:lineRule="exact"/>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三、洛浦社工站人员配备情况</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承接机构广州市阳光天使社会工作服务中心严格贯彻不相容职务分离原则，配置财务人员2名，分别担任会计、出纳岗位，负责包括洛浦社工站在内的中心财务工作，其中会计邱强发已取得会计初级专业技术资格证。</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经查阅，会计邱强发和出纳黄秋玲均已完成2024年度会计专业技术人员继续教育学习任务，且相应工资、五险一金等薪金支出在机构作为运营管理费用项目核算，未计入社工人员经费支出，符合要求。</w:t>
      </w:r>
    </w:p>
    <w:p>
      <w:pPr>
        <w:spacing w:line="59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四、洛浦社工站经费支出情况</w:t>
      </w:r>
    </w:p>
    <w:p>
      <w:pPr>
        <w:spacing w:line="600" w:lineRule="exact"/>
        <w:ind w:firstLine="560" w:firstLineChars="200"/>
        <w:rPr>
          <w:rFonts w:eastAsia="仿宋_GB2312"/>
          <w:sz w:val="28"/>
          <w:szCs w:val="28"/>
        </w:rPr>
      </w:pPr>
      <w:r>
        <w:rPr>
          <w:rFonts w:hint="eastAsia" w:ascii="Times New Roman" w:hAnsi="Times New Roman" w:eastAsia="仿宋_GB2312" w:cs="Times New Roman"/>
          <w:color w:val="000000" w:themeColor="text1"/>
          <w:sz w:val="28"/>
          <w:szCs w:val="28"/>
          <w14:textFill>
            <w14:solidFill>
              <w14:schemeClr w14:val="tx1"/>
            </w14:solidFill>
          </w14:textFill>
        </w:rPr>
        <w:t>承接机构广州市番禺区阳光天使社会工作服务中心根据《广州市人民政府办公厅关于印发广州市社工服务站管理办法的通知》（穗府办〔2023〕7号）、《广州市民政局关于印发〈广州市社工服务站管理办法〉有关配套文件的通知》（穗民〔2023〕97号）等相关规定，结合实际情况建立了《财务报销制度及报销流程》，明确了财务经费支出的审核程序及支出权限。制度规定：</w:t>
      </w:r>
      <w:r>
        <w:rPr>
          <w:rFonts w:ascii="Times New Roman" w:hAnsi="Times New Roman" w:eastAsia="仿宋_GB2312" w:cs="Times New Roman"/>
          <w:color w:val="000000" w:themeColor="text1"/>
          <w:sz w:val="28"/>
          <w:szCs w:val="28"/>
          <w14:textFill>
            <w14:solidFill>
              <w14:schemeClr w14:val="tx1"/>
            </w14:solidFill>
          </w14:textFill>
        </w:rPr>
        <w:t xml:space="preserve"> 按规定的审批程序报批，经手人按规定填写《费用报销》——主管项目负责人审核签字——区域服务总监或机构行政总监审核签字——财务复核——总干事或理事（理事会）审批——财务部办理报销。项目主任审批额度为300元（含300元），300元以上至1000元（含1000元）由区域服务总监或机构行政总监审批，1000元以上由总干事或理事（理事会）审批。</w:t>
      </w:r>
      <w:r>
        <w:rPr>
          <w:rFonts w:hint="eastAsia" w:ascii="Times New Roman" w:hAnsi="Times New Roman" w:eastAsia="仿宋_GB2312" w:cs="Times New Roman"/>
          <w:color w:val="000000" w:themeColor="text1"/>
          <w:sz w:val="28"/>
          <w:szCs w:val="28"/>
          <w14:textFill>
            <w14:solidFill>
              <w14:schemeClr w14:val="tx1"/>
            </w14:solidFill>
          </w14:textFill>
        </w:rPr>
        <w:t>本评估期内洛浦社工站</w:t>
      </w:r>
      <w:r>
        <w:rPr>
          <w:rFonts w:hint="eastAsia" w:eastAsia="仿宋_GB2312"/>
          <w:sz w:val="28"/>
          <w:szCs w:val="28"/>
        </w:rPr>
        <w:t>经费支出具体情况如下：</w:t>
      </w:r>
    </w:p>
    <w:p>
      <w:pPr>
        <w:spacing w:line="60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㈠财务支出的合规性</w:t>
      </w:r>
    </w:p>
    <w:p>
      <w:pPr>
        <w:spacing w:line="60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洛浦社工站经费使用的范围、比例基本能按《广州市社工服务站管理办法》有关规定执行。洛浦社工站每年有制定“洛浦预算执行情况表”，明确规划了协议期内的收入和支出预算计划，经费支出预算表基本能符合《民间非营利组织会计制度》和广州市番禺区人民政府洛浦街道办事处与社工服务站承接机构签订的购买服务协议中人员费用、服务质量保障费用和运营管理费用规定的使用范围，活动经费预算表有机构理事会负责人签名确认。</w:t>
      </w:r>
    </w:p>
    <w:p>
      <w:pPr>
        <w:spacing w:line="60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㈡财务支出的合理性</w:t>
      </w:r>
    </w:p>
    <w:p>
      <w:pPr>
        <w:tabs>
          <w:tab w:val="right" w:pos="9354"/>
        </w:tabs>
        <w:spacing w:line="60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经审核，洛浦社工站财务支出的事由、票据、标准基本合理。洛浦社工站有经费预算程序，财务支出根据经费预算计划执行、基本能按预算标准支出，并有财务支出票据。</w:t>
      </w:r>
    </w:p>
    <w:p>
      <w:pPr>
        <w:spacing w:line="60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㈢财务支出审批机制情况</w:t>
      </w:r>
    </w:p>
    <w:p>
      <w:pPr>
        <w:spacing w:line="6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经审核，除本报告第九点“存在问题及建议”提及的问题外，洛浦社工站能按承接机构广州市阳光天使社会工作服务中心财务制度规定的审批权限进行审批。</w:t>
      </w:r>
      <w:r>
        <w:rPr>
          <w:rFonts w:ascii="Times New Roman" w:hAnsi="Times New Roman" w:eastAsia="仿宋_GB2312" w:cs="Times New Roman"/>
          <w:color w:val="000000" w:themeColor="text1"/>
          <w:sz w:val="28"/>
          <w:szCs w:val="28"/>
          <w14:textFill>
            <w14:solidFill>
              <w14:schemeClr w14:val="tx1"/>
            </w14:solidFill>
          </w14:textFill>
        </w:rPr>
        <w:t>经费支出由经办人、证明人、审核人签名。</w:t>
      </w:r>
    </w:p>
    <w:p>
      <w:pPr>
        <w:spacing w:line="60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㈣财务支出监控机制执行情况</w:t>
      </w:r>
    </w:p>
    <w:p>
      <w:pPr>
        <w:spacing w:line="60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审核，承接机构广州市阳光天使社会工作服务中心已建立财务支出管理的监控机制，并在洛浦社工站基本得到规范执行，但仍存在部分支出审批签名不完整、个别费用支出报销要素不全的问题，具体详见本报告第九点“存在问题及建议”。</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１、承接机构广州市阳光天使社会工作服务中心能按规定开设银行基本账户，按规定对洛浦</w:t>
      </w:r>
      <w:r>
        <w:rPr>
          <w:rFonts w:hint="eastAsia" w:eastAsia="仿宋"/>
          <w:color w:val="000000" w:themeColor="text1"/>
          <w:sz w:val="28"/>
          <w:szCs w:val="28"/>
          <w14:textFill>
            <w14:solidFill>
              <w14:schemeClr w14:val="tx1"/>
            </w14:solidFill>
          </w14:textFill>
        </w:rPr>
        <w:t>社工站开设了银行一般账户，日常财务支出采用专户支付和基本户代付后专户转回结合的方式</w:t>
      </w:r>
      <w:r>
        <w:rPr>
          <w:rFonts w:hint="eastAsia" w:ascii="Times New Roman" w:hAnsi="Times New Roman" w:eastAsia="仿宋_GB2312"/>
          <w:color w:val="000000" w:themeColor="text1"/>
          <w:sz w:val="28"/>
          <w:szCs w:val="28"/>
          <w14:textFill>
            <w14:solidFill>
              <w14:schemeClr w14:val="tx1"/>
            </w14:solidFill>
          </w14:textFill>
        </w:rPr>
        <w:t>。</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２、为确保政府购买服务经费用于指定用途，承接机构广州市阳光天使社会工作服务中心有定期向购买方提交洛浦社工站服务经费使用情况报告，对经费预算及使用情况作比对分析。</w:t>
      </w:r>
    </w:p>
    <w:p>
      <w:pPr>
        <w:spacing w:line="61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㈤财务支出票据的完整性、规范性</w:t>
      </w:r>
    </w:p>
    <w:p>
      <w:pPr>
        <w:spacing w:line="610" w:lineRule="exact"/>
        <w:ind w:right="-6" w:rightChars="-3" w:firstLine="536" w:firstLineChars="200"/>
        <w:rPr>
          <w:rFonts w:ascii="Times New Roman" w:hAnsi="Times New Roman" w:eastAsia="仿宋_GB2312"/>
          <w:color w:val="000000" w:themeColor="text1"/>
          <w:spacing w:val="-6"/>
          <w:sz w:val="28"/>
          <w:szCs w:val="28"/>
          <w14:textFill>
            <w14:solidFill>
              <w14:schemeClr w14:val="tx1"/>
            </w14:solidFill>
          </w14:textFill>
        </w:rPr>
      </w:pPr>
      <w:r>
        <w:rPr>
          <w:rFonts w:hint="eastAsia" w:ascii="Times New Roman" w:hAnsi="Times New Roman" w:eastAsia="仿宋_GB2312"/>
          <w:color w:val="000000" w:themeColor="text1"/>
          <w:spacing w:val="-6"/>
          <w:sz w:val="28"/>
          <w:szCs w:val="28"/>
          <w14:textFill>
            <w14:solidFill>
              <w14:schemeClr w14:val="tx1"/>
            </w14:solidFill>
          </w14:textFill>
        </w:rPr>
        <w:t>洛浦社工站财务支出票据、凭证填制较完整，账目设置、票据管理较规范。</w:t>
      </w:r>
    </w:p>
    <w:p>
      <w:pPr>
        <w:spacing w:line="61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五、洛浦社工站会计核算情况</w:t>
      </w:r>
    </w:p>
    <w:p>
      <w:pPr>
        <w:spacing w:line="61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㈠是否设置会计科目，编制完整会计报表</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审核，承接机构广州市阳光天使社会工作服务中心对洛浦社工站会计科目设置合理，所有服务业务均编制了记账凭证、登记了明细分类账簿和总账，核算做到账证、账账、账表相符，编制了会计报表，并依据相关会计制度独立核算。</w:t>
      </w:r>
    </w:p>
    <w:p>
      <w:pPr>
        <w:spacing w:line="61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㈡是否分项目核算</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经审核，承接机构广州市阳光天使社会工作服务中心对承接的洛浦社工站政府购买服务资金的服务经费支出，能按要求做到分项目核算。</w:t>
      </w:r>
    </w:p>
    <w:p>
      <w:pPr>
        <w:spacing w:line="61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㈢是否领域服务经费分开归集</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经审核，承接机构广州市阳光天使社会工作服务中心对承接的洛浦社工站政府购买服务资金的服务经费支出，能按要求做到领域服务经费分开归集。</w:t>
      </w:r>
    </w:p>
    <w:p>
      <w:pPr>
        <w:spacing w:line="61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bookmarkStart w:id="5" w:name="_Hlk110777849"/>
      <w:r>
        <w:rPr>
          <w:rFonts w:hint="eastAsia" w:ascii="Times New Roman" w:hAnsi="Times New Roman" w:eastAsia="仿宋_GB2312" w:cs="Times New Roman"/>
          <w:b/>
          <w:color w:val="000000" w:themeColor="text1"/>
          <w:sz w:val="28"/>
          <w:szCs w:val="28"/>
          <w14:textFill>
            <w14:solidFill>
              <w14:schemeClr w14:val="tx1"/>
            </w14:solidFill>
          </w14:textFill>
        </w:rPr>
        <w:t>六、</w:t>
      </w:r>
      <w:bookmarkEnd w:id="5"/>
      <w:r>
        <w:rPr>
          <w:rFonts w:hint="eastAsia" w:ascii="Times New Roman" w:hAnsi="Times New Roman" w:eastAsia="仿宋_GB2312" w:cs="Times New Roman"/>
          <w:b/>
          <w:color w:val="000000" w:themeColor="text1"/>
          <w:sz w:val="28"/>
          <w:szCs w:val="28"/>
          <w14:textFill>
            <w14:solidFill>
              <w14:schemeClr w14:val="tx1"/>
            </w14:solidFill>
          </w14:textFill>
        </w:rPr>
        <w:t>本评估期服务经费拨入、支出、结余情况</w:t>
      </w:r>
    </w:p>
    <w:p>
      <w:pPr>
        <w:spacing w:line="580" w:lineRule="exact"/>
        <w:ind w:right="-2" w:firstLine="560" w:firstLineChars="200"/>
        <w:outlineLvl w:val="0"/>
        <w:rPr>
          <w:rFonts w:ascii="Times New Roman" w:hAnsi="Times New Roman" w:eastAsia="仿宋_GB2312" w:cs="Times New Roman"/>
          <w:sz w:val="28"/>
          <w:szCs w:val="28"/>
        </w:rPr>
      </w:pPr>
      <w:r>
        <w:rPr>
          <w:rFonts w:hint="eastAsia" w:ascii="Times New Roman" w:hAnsi="Times New Roman" w:eastAsia="仿宋_GB2312" w:cs="Times New Roman"/>
          <w:color w:val="000000" w:themeColor="text1"/>
          <w:sz w:val="28"/>
          <w:szCs w:val="28"/>
          <w14:textFill>
            <w14:solidFill>
              <w14:schemeClr w14:val="tx1"/>
            </w14:solidFill>
          </w14:textFill>
        </w:rPr>
        <w:t>2024年8月6日至2025年2月5日（以下简称本评估期），洛浦</w:t>
      </w:r>
      <w:r>
        <w:rPr>
          <w:rFonts w:ascii="Times New Roman" w:hAnsi="Times New Roman" w:eastAsia="仿宋_GB2312" w:cs="Times New Roman"/>
          <w:color w:val="000000" w:themeColor="text1"/>
          <w:sz w:val="28"/>
          <w:szCs w:val="28"/>
          <w14:textFill>
            <w14:solidFill>
              <w14:schemeClr w14:val="tx1"/>
            </w14:solidFill>
          </w14:textFill>
        </w:rPr>
        <w:t>社工站收到本评估期内政府购买服务经费924,000.00元</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归属于本评估期的服务经费支出累计1,136,061.64元</w:t>
      </w:r>
      <w:bookmarkStart w:id="6" w:name="_Hlk110723269"/>
      <w:r>
        <w:rPr>
          <w:rFonts w:hint="eastAsia" w:ascii="Times New Roman" w:hAnsi="Times New Roman" w:eastAsia="仿宋_GB2312" w:cs="Times New Roman"/>
          <w:color w:val="000000" w:themeColor="text1"/>
          <w:sz w:val="28"/>
          <w:szCs w:val="28"/>
          <w14:textFill>
            <w14:solidFill>
              <w14:schemeClr w14:val="tx1"/>
            </w14:solidFill>
          </w14:textFill>
        </w:rPr>
        <w:t>，均在本评估期内支付。</w:t>
      </w:r>
      <w:r>
        <w:rPr>
          <w:rFonts w:ascii="Times New Roman" w:hAnsi="Times New Roman" w:eastAsia="仿宋_GB2312" w:cs="Times New Roman"/>
          <w:color w:val="000000" w:themeColor="text1"/>
          <w:sz w:val="28"/>
          <w:szCs w:val="28"/>
          <w14:textFill>
            <w14:solidFill>
              <w14:schemeClr w14:val="tx1"/>
            </w14:solidFill>
          </w14:textFill>
        </w:rPr>
        <w:t xml:space="preserve">本评估期结余金额-212,061.64 </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t>元</w:t>
      </w:r>
      <w:bookmarkEnd w:id="6"/>
      <w:r>
        <w:rPr>
          <w:rFonts w:ascii="Times New Roman" w:hAnsi="Times New Roman" w:eastAsia="仿宋" w:cs="Times New Roman"/>
          <w:sz w:val="28"/>
          <w:szCs w:val="28"/>
        </w:rPr>
        <w:t>，占实际拨入经费的</w:t>
      </w:r>
      <w:r>
        <w:rPr>
          <w:rFonts w:ascii="Times New Roman" w:hAnsi="Times New Roman" w:eastAsia="仿宋_GB2312" w:cs="Times New Roman"/>
          <w:color w:val="000000" w:themeColor="text1"/>
          <w:sz w:val="28"/>
          <w:szCs w:val="28"/>
          <w14:textFill>
            <w14:solidFill>
              <w14:schemeClr w14:val="tx1"/>
            </w14:solidFill>
          </w14:textFill>
        </w:rPr>
        <w:t>-22.95%</w:t>
      </w:r>
      <w:r>
        <w:rPr>
          <w:rFonts w:hint="eastAsia" w:ascii="Times New Roman" w:hAnsi="Times New Roman" w:eastAsia="仿宋" w:cs="Times New Roman"/>
          <w:sz w:val="28"/>
          <w:szCs w:val="28"/>
        </w:rPr>
        <w:t>，</w:t>
      </w:r>
      <w:r>
        <w:rPr>
          <w:rFonts w:ascii="Times New Roman" w:hAnsi="Times New Roman" w:eastAsia="仿宋" w:cs="Times New Roman"/>
          <w:sz w:val="28"/>
          <w:szCs w:val="28"/>
        </w:rPr>
        <w:t>具体经费支出情况如下：</w:t>
      </w:r>
    </w:p>
    <w:p>
      <w:pPr>
        <w:spacing w:line="580" w:lineRule="exact"/>
        <w:ind w:firstLine="560" w:firstLineChars="200"/>
        <w:rPr>
          <w:rFonts w:ascii="Times New Roman" w:hAnsi="Times New Roman" w:eastAsia="仿宋" w:cs="Times New Roman"/>
          <w:sz w:val="28"/>
          <w:szCs w:val="28"/>
        </w:rPr>
      </w:pPr>
      <w:r>
        <w:rPr>
          <w:rFonts w:ascii="Times New Roman" w:hAnsi="Times New Roman" w:eastAsia="仿宋_GB2312" w:cs="Times New Roman"/>
          <w:color w:val="000000" w:themeColor="text1"/>
          <w:sz w:val="28"/>
          <w:szCs w:val="28"/>
          <w14:textFill>
            <w14:solidFill>
              <w14:schemeClr w14:val="tx1"/>
            </w14:solidFill>
          </w14:textFill>
        </w:rPr>
        <w:t>㈠用于人员费用支出976,070.04元，</w:t>
      </w:r>
      <w:r>
        <w:rPr>
          <w:rFonts w:ascii="Times New Roman" w:hAnsi="Times New Roman" w:eastAsia="仿宋" w:cs="Times New Roman"/>
          <w:sz w:val="28"/>
          <w:szCs w:val="28"/>
        </w:rPr>
        <w:t>占本协议期应收服务总经费的40.67%</w:t>
      </w:r>
      <w:r>
        <w:rPr>
          <w:rFonts w:hint="eastAsia" w:ascii="Times New Roman" w:hAnsi="Times New Roman" w:eastAsia="仿宋" w:cs="Times New Roman"/>
          <w:sz w:val="28"/>
          <w:szCs w:val="28"/>
        </w:rPr>
        <w:t>，</w:t>
      </w:r>
      <w:r>
        <w:rPr>
          <w:rFonts w:ascii="Times New Roman" w:hAnsi="Times New Roman" w:eastAsia="仿宋" w:cs="Times New Roman"/>
          <w:sz w:val="28"/>
          <w:szCs w:val="28"/>
        </w:rPr>
        <w:t>占本评估期实收服务总经费的105.64%</w:t>
      </w:r>
      <w:r>
        <w:rPr>
          <w:rFonts w:hint="eastAsia" w:ascii="Times New Roman" w:hAnsi="Times New Roman" w:eastAsia="仿宋" w:cs="Times New Roman"/>
          <w:sz w:val="28"/>
          <w:szCs w:val="28"/>
        </w:rPr>
        <w:t>，本期预算执行率</w:t>
      </w:r>
      <w:r>
        <w:rPr>
          <w:rFonts w:ascii="Times New Roman" w:hAnsi="Times New Roman" w:eastAsia="仿宋" w:cs="Times New Roman"/>
          <w:sz w:val="28"/>
          <w:szCs w:val="28"/>
        </w:rPr>
        <w:t>50.84%。其中：</w:t>
      </w:r>
    </w:p>
    <w:p>
      <w:pPr>
        <w:spacing w:line="58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１、工资总额支出817,683.16元；</w:t>
      </w:r>
    </w:p>
    <w:p>
      <w:pPr>
        <w:spacing w:line="58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２、五险金支出142,426.88元；</w:t>
      </w:r>
    </w:p>
    <w:p>
      <w:pPr>
        <w:spacing w:line="58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３、公积金支出15,960.00元</w:t>
      </w:r>
      <w:r>
        <w:rPr>
          <w:rFonts w:hint="eastAsia" w:ascii="Times New Roman" w:hAnsi="Times New Roman" w:eastAsia="仿宋_GB2312" w:cs="Times New Roman"/>
          <w:color w:val="000000" w:themeColor="text1"/>
          <w:sz w:val="28"/>
          <w:szCs w:val="28"/>
          <w14:textFill>
            <w14:solidFill>
              <w14:schemeClr w14:val="tx1"/>
            </w14:solidFill>
          </w14:textFill>
        </w:rPr>
        <w:t>。</w:t>
      </w:r>
    </w:p>
    <w:p>
      <w:pPr>
        <w:spacing w:line="58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㈡用于服务质量保障费用的支出合计70,019.93元，</w:t>
      </w:r>
      <w:r>
        <w:rPr>
          <w:rFonts w:ascii="Times New Roman" w:hAnsi="Times New Roman" w:eastAsia="仿宋" w:cs="Times New Roman"/>
          <w:sz w:val="28"/>
          <w:szCs w:val="28"/>
        </w:rPr>
        <w:t>占本协议期应收服务总经费的2.92%</w:t>
      </w:r>
      <w:r>
        <w:rPr>
          <w:rFonts w:hint="eastAsia" w:ascii="Times New Roman" w:hAnsi="Times New Roman" w:eastAsia="仿宋" w:cs="Times New Roman"/>
          <w:sz w:val="28"/>
          <w:szCs w:val="28"/>
        </w:rPr>
        <w:t>，</w:t>
      </w:r>
      <w:r>
        <w:rPr>
          <w:rFonts w:ascii="Times New Roman" w:hAnsi="Times New Roman" w:eastAsia="仿宋" w:cs="Times New Roman"/>
          <w:sz w:val="28"/>
          <w:szCs w:val="28"/>
        </w:rPr>
        <w:t>占本评估期实收服务总经费的7.58%，</w:t>
      </w:r>
      <w:r>
        <w:rPr>
          <w:rFonts w:hint="eastAsia" w:ascii="Times New Roman" w:hAnsi="Times New Roman" w:eastAsia="仿宋" w:cs="Times New Roman"/>
          <w:sz w:val="28"/>
          <w:szCs w:val="28"/>
        </w:rPr>
        <w:t>本期预算执行率</w:t>
      </w:r>
      <w:r>
        <w:rPr>
          <w:rFonts w:ascii="Times New Roman" w:hAnsi="Times New Roman" w:eastAsia="仿宋" w:cs="Times New Roman"/>
          <w:sz w:val="28"/>
          <w:szCs w:val="28"/>
        </w:rPr>
        <w:t>22.96%</w:t>
      </w:r>
      <w:r>
        <w:rPr>
          <w:rFonts w:hint="eastAsia" w:ascii="Times New Roman" w:hAnsi="Times New Roman" w:eastAsia="仿宋" w:cs="Times New Roman"/>
          <w:sz w:val="28"/>
          <w:szCs w:val="28"/>
        </w:rPr>
        <w:t>，</w:t>
      </w:r>
      <w:r>
        <w:rPr>
          <w:rFonts w:ascii="Times New Roman" w:hAnsi="Times New Roman" w:eastAsia="仿宋" w:cs="Times New Roman"/>
          <w:sz w:val="28"/>
          <w:szCs w:val="28"/>
        </w:rPr>
        <w:t>其中：</w:t>
      </w:r>
    </w:p>
    <w:p>
      <w:pPr>
        <w:spacing w:line="58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１、专业支持的支出</w:t>
      </w:r>
      <w:r>
        <w:rPr>
          <w:rFonts w:hint="eastAsia" w:ascii="Times New Roman" w:hAnsi="Times New Roman" w:eastAsia="仿宋_GB2312" w:cs="Times New Roman"/>
          <w:color w:val="000000" w:themeColor="text1"/>
          <w:sz w:val="28"/>
          <w:szCs w:val="28"/>
          <w14:textFill>
            <w14:solidFill>
              <w14:schemeClr w14:val="tx1"/>
            </w14:solidFill>
          </w14:textFill>
        </w:rPr>
        <w:t>0</w:t>
      </w:r>
      <w:r>
        <w:rPr>
          <w:rFonts w:ascii="Times New Roman" w:hAnsi="Times New Roman" w:eastAsia="仿宋_GB2312" w:cs="Times New Roman"/>
          <w:color w:val="000000" w:themeColor="text1"/>
          <w:sz w:val="28"/>
          <w:szCs w:val="28"/>
          <w14:textFill>
            <w14:solidFill>
              <w14:schemeClr w14:val="tx1"/>
            </w14:solidFill>
          </w14:textFill>
        </w:rPr>
        <w:t>元。</w:t>
      </w:r>
    </w:p>
    <w:p>
      <w:pPr>
        <w:spacing w:line="58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２、用于开展与专业服务和活动的支出</w:t>
      </w:r>
      <w:r>
        <w:rPr>
          <w:rFonts w:ascii="Times New Roman" w:hAnsi="Times New Roman" w:eastAsia="仿宋_GB2312" w:cs="Times New Roman"/>
          <w:color w:val="000000" w:themeColor="text1"/>
          <w:sz w:val="28"/>
          <w:szCs w:val="28"/>
          <w14:textFill>
            <w14:solidFill>
              <w14:schemeClr w14:val="tx1"/>
            </w14:solidFill>
          </w14:textFill>
        </w:rPr>
        <w:t>2,898.38</w:t>
      </w:r>
      <w:r>
        <w:rPr>
          <w:rFonts w:hint="eastAsia" w:ascii="Times New Roman" w:hAnsi="Times New Roman" w:eastAsia="仿宋_GB2312"/>
          <w:color w:val="000000" w:themeColor="text1"/>
          <w:sz w:val="28"/>
          <w:szCs w:val="28"/>
          <w14:textFill>
            <w14:solidFill>
              <w14:schemeClr w14:val="tx1"/>
            </w14:solidFill>
          </w14:textFill>
        </w:rPr>
        <w:t>元，占本评估实收服务总经费的</w:t>
      </w:r>
      <w:r>
        <w:rPr>
          <w:rFonts w:hint="eastAsia" w:ascii="Times New Roman" w:hAnsi="Times New Roman" w:eastAsia="仿宋_GB2312" w:cs="Times New Roman"/>
          <w:color w:val="000000" w:themeColor="text1"/>
          <w:sz w:val="28"/>
          <w:szCs w:val="28"/>
          <w14:textFill>
            <w14:solidFill>
              <w14:schemeClr w14:val="tx1"/>
            </w14:solidFill>
          </w14:textFill>
        </w:rPr>
        <w:t>0.31</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olor w:val="000000" w:themeColor="text1"/>
          <w:sz w:val="28"/>
          <w:szCs w:val="28"/>
          <w14:textFill>
            <w14:solidFill>
              <w14:schemeClr w14:val="tx1"/>
            </w14:solidFill>
          </w14:textFill>
        </w:rPr>
        <w:t>，均为交通费支出；</w:t>
      </w:r>
    </w:p>
    <w:p>
      <w:pPr>
        <w:spacing w:line="580" w:lineRule="exact"/>
        <w:ind w:firstLine="528" w:firstLineChars="200"/>
        <w:rPr>
          <w:rFonts w:ascii="Times New Roman" w:hAnsi="Times New Roman" w:eastAsia="仿宋_GB2312"/>
          <w:color w:val="000000" w:themeColor="text1"/>
          <w:spacing w:val="-8"/>
          <w:sz w:val="28"/>
          <w:szCs w:val="28"/>
          <w14:textFill>
            <w14:solidFill>
              <w14:schemeClr w14:val="tx1"/>
            </w14:solidFill>
          </w14:textFill>
        </w:rPr>
      </w:pPr>
      <w:r>
        <w:rPr>
          <w:rFonts w:hint="eastAsia" w:ascii="Times New Roman" w:hAnsi="Times New Roman" w:eastAsia="仿宋_GB2312"/>
          <w:color w:val="000000" w:themeColor="text1"/>
          <w:spacing w:val="-8"/>
          <w:sz w:val="28"/>
          <w:szCs w:val="28"/>
          <w14:textFill>
            <w14:solidFill>
              <w14:schemeClr w14:val="tx1"/>
            </w14:solidFill>
          </w14:textFill>
        </w:rPr>
        <w:t>３、用于日常办公费用支出</w:t>
      </w:r>
      <w:r>
        <w:rPr>
          <w:rFonts w:ascii="Times New Roman" w:hAnsi="Times New Roman" w:eastAsia="仿宋_GB2312" w:cs="Times New Roman"/>
          <w:color w:val="000000" w:themeColor="text1"/>
          <w:spacing w:val="-8"/>
          <w:sz w:val="28"/>
          <w:szCs w:val="28"/>
          <w14:textFill>
            <w14:solidFill>
              <w14:schemeClr w14:val="tx1"/>
            </w14:solidFill>
          </w14:textFill>
        </w:rPr>
        <w:t>11,681.57</w:t>
      </w:r>
      <w:r>
        <w:rPr>
          <w:rFonts w:hint="eastAsia" w:ascii="Times New Roman" w:hAnsi="Times New Roman" w:eastAsia="仿宋_GB2312"/>
          <w:color w:val="000000" w:themeColor="text1"/>
          <w:spacing w:val="-8"/>
          <w:sz w:val="28"/>
          <w:szCs w:val="28"/>
          <w14:textFill>
            <w14:solidFill>
              <w14:schemeClr w14:val="tx1"/>
            </w14:solidFill>
          </w14:textFill>
        </w:rPr>
        <w:t>元，占本评估期实收服务总经费的</w:t>
      </w:r>
      <w:r>
        <w:rPr>
          <w:rFonts w:ascii="Times New Roman" w:hAnsi="Times New Roman" w:eastAsia="仿宋_GB2312" w:cs="Times New Roman"/>
          <w:color w:val="000000" w:themeColor="text1"/>
          <w:spacing w:val="-8"/>
          <w:sz w:val="28"/>
          <w:szCs w:val="28"/>
          <w14:textFill>
            <w14:solidFill>
              <w14:schemeClr w14:val="tx1"/>
            </w14:solidFill>
          </w14:textFill>
        </w:rPr>
        <w:t>1.26%</w:t>
      </w:r>
      <w:r>
        <w:rPr>
          <w:rFonts w:hint="eastAsia" w:ascii="Times New Roman" w:hAnsi="Times New Roman" w:eastAsia="仿宋_GB2312"/>
          <w:color w:val="000000" w:themeColor="text1"/>
          <w:spacing w:val="-8"/>
          <w:sz w:val="28"/>
          <w:szCs w:val="28"/>
          <w14:textFill>
            <w14:solidFill>
              <w14:schemeClr w14:val="tx1"/>
            </w14:solidFill>
          </w14:textFill>
        </w:rPr>
        <w:t>。</w:t>
      </w:r>
    </w:p>
    <w:p>
      <w:pPr>
        <w:spacing w:line="58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⑴办公费耗材支出</w:t>
      </w:r>
      <w:r>
        <w:rPr>
          <w:rFonts w:ascii="Times New Roman" w:hAnsi="Times New Roman" w:eastAsia="仿宋_GB2312" w:cs="Times New Roman"/>
          <w:color w:val="000000" w:themeColor="text1"/>
          <w:sz w:val="28"/>
          <w:szCs w:val="28"/>
          <w14:textFill>
            <w14:solidFill>
              <w14:schemeClr w14:val="tx1"/>
            </w14:solidFill>
          </w14:textFill>
        </w:rPr>
        <w:t>6,208.47</w:t>
      </w:r>
      <w:r>
        <w:rPr>
          <w:rFonts w:hint="eastAsia" w:ascii="Times New Roman" w:hAnsi="Times New Roman" w:eastAsia="仿宋_GB2312"/>
          <w:color w:val="000000" w:themeColor="text1"/>
          <w:sz w:val="28"/>
          <w:szCs w:val="28"/>
          <w14:textFill>
            <w14:solidFill>
              <w14:schemeClr w14:val="tx1"/>
            </w14:solidFill>
          </w14:textFill>
        </w:rPr>
        <w:t>元；</w:t>
      </w:r>
    </w:p>
    <w:p>
      <w:pPr>
        <w:spacing w:line="58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⑵水电费支出</w:t>
      </w:r>
      <w:r>
        <w:rPr>
          <w:rFonts w:ascii="Times New Roman" w:hAnsi="Times New Roman" w:eastAsia="仿宋_GB2312"/>
          <w:color w:val="000000" w:themeColor="text1"/>
          <w:sz w:val="28"/>
          <w:szCs w:val="28"/>
          <w14:textFill>
            <w14:solidFill>
              <w14:schemeClr w14:val="tx1"/>
            </w14:solidFill>
          </w14:textFill>
        </w:rPr>
        <w:t>2,456.00</w:t>
      </w:r>
      <w:r>
        <w:rPr>
          <w:rFonts w:hint="eastAsia" w:ascii="Times New Roman" w:hAnsi="Times New Roman" w:eastAsia="仿宋_GB2312"/>
          <w:color w:val="000000" w:themeColor="text1"/>
          <w:sz w:val="28"/>
          <w:szCs w:val="28"/>
          <w14:textFill>
            <w14:solidFill>
              <w14:schemeClr w14:val="tx1"/>
            </w14:solidFill>
          </w14:textFill>
        </w:rPr>
        <w:t>元</w:t>
      </w:r>
    </w:p>
    <w:p>
      <w:pPr>
        <w:spacing w:line="58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⑶电话费支出</w:t>
      </w:r>
      <w:r>
        <w:rPr>
          <w:rFonts w:ascii="Times New Roman" w:hAnsi="Times New Roman" w:eastAsia="仿宋_GB2312" w:cs="Times New Roman"/>
          <w:color w:val="000000" w:themeColor="text1"/>
          <w:sz w:val="28"/>
          <w:szCs w:val="28"/>
          <w14:textFill>
            <w14:solidFill>
              <w14:schemeClr w14:val="tx1"/>
            </w14:solidFill>
          </w14:textFill>
        </w:rPr>
        <w:t>2,760.80</w:t>
      </w:r>
      <w:r>
        <w:rPr>
          <w:rFonts w:hint="eastAsia" w:ascii="Times New Roman" w:hAnsi="Times New Roman" w:eastAsia="仿宋_GB2312"/>
          <w:color w:val="000000" w:themeColor="text1"/>
          <w:sz w:val="28"/>
          <w:szCs w:val="28"/>
          <w14:textFill>
            <w14:solidFill>
              <w14:schemeClr w14:val="tx1"/>
            </w14:solidFill>
          </w14:textFill>
        </w:rPr>
        <w:t>元；</w:t>
      </w:r>
    </w:p>
    <w:p>
      <w:pPr>
        <w:spacing w:line="58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⑷银行手续费支出</w:t>
      </w:r>
      <w:r>
        <w:rPr>
          <w:rFonts w:ascii="Times New Roman" w:hAnsi="Times New Roman" w:eastAsia="仿宋_GB2312" w:cs="Times New Roman"/>
          <w:color w:val="000000" w:themeColor="text1"/>
          <w:sz w:val="28"/>
          <w:szCs w:val="28"/>
          <w14:textFill>
            <w14:solidFill>
              <w14:schemeClr w14:val="tx1"/>
            </w14:solidFill>
          </w14:textFill>
        </w:rPr>
        <w:t>256.30</w:t>
      </w:r>
      <w:r>
        <w:rPr>
          <w:rFonts w:hint="eastAsia" w:ascii="Times New Roman" w:hAnsi="Times New Roman" w:eastAsia="仿宋_GB2312"/>
          <w:color w:val="000000" w:themeColor="text1"/>
          <w:sz w:val="28"/>
          <w:szCs w:val="28"/>
          <w14:textFill>
            <w14:solidFill>
              <w14:schemeClr w14:val="tx1"/>
            </w14:solidFill>
          </w14:textFill>
        </w:rPr>
        <w:t>元；</w:t>
      </w:r>
    </w:p>
    <w:p>
      <w:pPr>
        <w:spacing w:line="58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４、用于机构年度相关税费支出</w:t>
      </w:r>
      <w:r>
        <w:rPr>
          <w:rFonts w:ascii="Times New Roman" w:hAnsi="Times New Roman" w:eastAsia="仿宋_GB2312"/>
          <w:color w:val="000000" w:themeColor="text1"/>
          <w:sz w:val="28"/>
          <w:szCs w:val="28"/>
          <w14:textFill>
            <w14:solidFill>
              <w14:schemeClr w14:val="tx1"/>
            </w14:solidFill>
          </w14:textFill>
        </w:rPr>
        <w:t>55,439.98</w:t>
      </w:r>
      <w:r>
        <w:rPr>
          <w:rFonts w:hint="eastAsia" w:ascii="Times New Roman" w:hAnsi="Times New Roman" w:eastAsia="仿宋_GB2312"/>
          <w:color w:val="000000" w:themeColor="text1"/>
          <w:sz w:val="28"/>
          <w:szCs w:val="28"/>
          <w14:textFill>
            <w14:solidFill>
              <w14:schemeClr w14:val="tx1"/>
            </w14:solidFill>
          </w14:textFill>
        </w:rPr>
        <w:t>元，占本评估期实收服务总经费的</w:t>
      </w:r>
      <w:r>
        <w:rPr>
          <w:rFonts w:ascii="Times New Roman" w:hAnsi="Times New Roman" w:eastAsia="仿宋_GB2312"/>
          <w:color w:val="000000" w:themeColor="text1"/>
          <w:sz w:val="28"/>
          <w:szCs w:val="28"/>
          <w14:textFill>
            <w14:solidFill>
              <w14:schemeClr w14:val="tx1"/>
            </w14:solidFill>
          </w14:textFill>
        </w:rPr>
        <w:t>6.00%</w:t>
      </w:r>
      <w:r>
        <w:rPr>
          <w:rFonts w:hint="eastAsia" w:ascii="Times New Roman" w:hAnsi="Times New Roman" w:eastAsia="仿宋_GB2312"/>
          <w:color w:val="000000" w:themeColor="text1"/>
          <w:sz w:val="28"/>
          <w:szCs w:val="28"/>
          <w14:textFill>
            <w14:solidFill>
              <w14:schemeClr w14:val="tx1"/>
            </w14:solidFill>
          </w14:textFill>
        </w:rPr>
        <w:t>。</w:t>
      </w:r>
    </w:p>
    <w:p>
      <w:pPr>
        <w:spacing w:line="58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㈢用于运营管理费用支出</w:t>
      </w:r>
      <w:r>
        <w:rPr>
          <w:rFonts w:ascii="Times New Roman" w:hAnsi="Times New Roman" w:eastAsia="仿宋_GB2312" w:cs="Times New Roman"/>
          <w:color w:val="000000" w:themeColor="text1"/>
          <w:sz w:val="28"/>
          <w:szCs w:val="28"/>
          <w14:textFill>
            <w14:solidFill>
              <w14:schemeClr w14:val="tx1"/>
            </w14:solidFill>
          </w14:textFill>
        </w:rPr>
        <w:t>89,971.67</w:t>
      </w:r>
      <w:r>
        <w:rPr>
          <w:rFonts w:hint="eastAsia" w:ascii="Times New Roman" w:hAnsi="Times New Roman" w:eastAsia="仿宋_GB2312" w:cs="Times New Roman"/>
          <w:color w:val="000000" w:themeColor="text1"/>
          <w:sz w:val="28"/>
          <w:szCs w:val="28"/>
          <w14:textFill>
            <w14:solidFill>
              <w14:schemeClr w14:val="tx1"/>
            </w14:solidFill>
          </w14:textFill>
        </w:rPr>
        <w:t>元，</w:t>
      </w:r>
      <w:r>
        <w:rPr>
          <w:rFonts w:ascii="Times New Roman" w:hAnsi="Times New Roman" w:eastAsia="仿宋" w:cs="Times New Roman"/>
          <w:sz w:val="28"/>
          <w:szCs w:val="28"/>
        </w:rPr>
        <w:t>占本协议期应收服务总经费的3.75%</w:t>
      </w:r>
      <w:r>
        <w:rPr>
          <w:rFonts w:hint="eastAsia" w:ascii="Times New Roman" w:hAnsi="Times New Roman" w:eastAsia="仿宋" w:cs="Times New Roman"/>
          <w:sz w:val="28"/>
          <w:szCs w:val="28"/>
        </w:rPr>
        <w:t>，</w:t>
      </w:r>
      <w:r>
        <w:rPr>
          <w:rFonts w:ascii="Times New Roman" w:hAnsi="Times New Roman" w:eastAsia="仿宋" w:cs="Times New Roman"/>
          <w:sz w:val="28"/>
          <w:szCs w:val="28"/>
        </w:rPr>
        <w:t>占本评估期实收服务总经费的9.74%，</w:t>
      </w:r>
      <w:r>
        <w:rPr>
          <w:rFonts w:hint="eastAsia" w:ascii="Times New Roman" w:hAnsi="Times New Roman" w:eastAsia="仿宋" w:cs="Times New Roman"/>
          <w:sz w:val="28"/>
          <w:szCs w:val="28"/>
        </w:rPr>
        <w:t>本期预算执行率</w:t>
      </w:r>
      <w:r>
        <w:rPr>
          <w:rFonts w:ascii="Times New Roman" w:hAnsi="Times New Roman" w:eastAsia="仿宋" w:cs="Times New Roman"/>
          <w:sz w:val="28"/>
          <w:szCs w:val="28"/>
        </w:rPr>
        <w:t>51.41%</w:t>
      </w:r>
      <w:r>
        <w:rPr>
          <w:rFonts w:hint="eastAsia" w:ascii="Times New Roman" w:hAnsi="Times New Roman" w:eastAsia="仿宋" w:cs="Times New Roman"/>
          <w:sz w:val="28"/>
          <w:szCs w:val="28"/>
        </w:rPr>
        <w:t>，</w:t>
      </w:r>
      <w:r>
        <w:rPr>
          <w:rFonts w:ascii="Times New Roman" w:hAnsi="Times New Roman" w:eastAsia="仿宋" w:cs="Times New Roman"/>
          <w:sz w:val="28"/>
          <w:szCs w:val="28"/>
        </w:rPr>
        <w:t>其中：</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１、中标费支出</w:t>
      </w:r>
      <w:r>
        <w:rPr>
          <w:rFonts w:ascii="Times New Roman" w:hAnsi="Times New Roman" w:eastAsia="仿宋_GB2312"/>
          <w:color w:val="000000" w:themeColor="text1"/>
          <w:sz w:val="28"/>
          <w:szCs w:val="28"/>
          <w14:textFill>
            <w14:solidFill>
              <w14:schemeClr w14:val="tx1"/>
            </w14:solidFill>
          </w14:textFill>
        </w:rPr>
        <w:t>18,778.88</w:t>
      </w:r>
      <w:r>
        <w:rPr>
          <w:rFonts w:hint="eastAsia" w:ascii="Times New Roman" w:hAnsi="Times New Roman" w:eastAsia="仿宋_GB2312"/>
          <w:color w:val="000000" w:themeColor="text1"/>
          <w:sz w:val="28"/>
          <w:szCs w:val="28"/>
          <w14:textFill>
            <w14:solidFill>
              <w14:schemeClr w14:val="tx1"/>
            </w14:solidFill>
          </w14:textFill>
        </w:rPr>
        <w:t>元；</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２、分摊机构人员工资</w:t>
      </w:r>
      <w:r>
        <w:rPr>
          <w:rFonts w:ascii="Times New Roman" w:hAnsi="Times New Roman" w:eastAsia="仿宋_GB2312"/>
          <w:color w:val="000000" w:themeColor="text1"/>
          <w:sz w:val="28"/>
          <w:szCs w:val="28"/>
          <w14:textFill>
            <w14:solidFill>
              <w14:schemeClr w14:val="tx1"/>
            </w14:solidFill>
          </w14:textFill>
        </w:rPr>
        <w:t>41,215.27</w:t>
      </w:r>
      <w:r>
        <w:rPr>
          <w:rFonts w:hint="eastAsia" w:ascii="Times New Roman" w:hAnsi="Times New Roman" w:eastAsia="仿宋_GB2312"/>
          <w:color w:val="000000" w:themeColor="text1"/>
          <w:sz w:val="28"/>
          <w:szCs w:val="28"/>
          <w14:textFill>
            <w14:solidFill>
              <w14:schemeClr w14:val="tx1"/>
            </w14:solidFill>
          </w14:textFill>
        </w:rPr>
        <w:t xml:space="preserve">元； </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３、分摊机构人员社保</w:t>
      </w:r>
      <w:r>
        <w:rPr>
          <w:rFonts w:ascii="Times New Roman" w:hAnsi="Times New Roman" w:eastAsia="仿宋_GB2312"/>
          <w:color w:val="000000" w:themeColor="text1"/>
          <w:sz w:val="28"/>
          <w:szCs w:val="28"/>
          <w14:textFill>
            <w14:solidFill>
              <w14:schemeClr w14:val="tx1"/>
            </w14:solidFill>
          </w14:textFill>
        </w:rPr>
        <w:t>5,329.58</w:t>
      </w:r>
      <w:r>
        <w:rPr>
          <w:rFonts w:hint="eastAsia" w:ascii="Times New Roman" w:hAnsi="Times New Roman" w:eastAsia="仿宋_GB2312"/>
          <w:color w:val="000000" w:themeColor="text1"/>
          <w:sz w:val="28"/>
          <w:szCs w:val="28"/>
          <w14:textFill>
            <w14:solidFill>
              <w14:schemeClr w14:val="tx1"/>
            </w14:solidFill>
          </w14:textFill>
        </w:rPr>
        <w:t>元</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４、分摊机构人员公积金</w:t>
      </w:r>
      <w:r>
        <w:rPr>
          <w:rFonts w:ascii="Times New Roman" w:hAnsi="Times New Roman" w:eastAsia="仿宋_GB2312"/>
          <w:color w:val="000000" w:themeColor="text1"/>
          <w:sz w:val="28"/>
          <w:szCs w:val="28"/>
          <w14:textFill>
            <w14:solidFill>
              <w14:schemeClr w14:val="tx1"/>
            </w14:solidFill>
          </w14:textFill>
        </w:rPr>
        <w:t>483.07</w:t>
      </w:r>
      <w:r>
        <w:rPr>
          <w:rFonts w:hint="eastAsia" w:ascii="Times New Roman" w:hAnsi="Times New Roman" w:eastAsia="仿宋_GB2312"/>
          <w:color w:val="000000" w:themeColor="text1"/>
          <w:sz w:val="28"/>
          <w:szCs w:val="28"/>
          <w14:textFill>
            <w14:solidFill>
              <w14:schemeClr w14:val="tx1"/>
            </w14:solidFill>
          </w14:textFill>
        </w:rPr>
        <w:t xml:space="preserve">元； </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５、分摊机构费用</w:t>
      </w:r>
      <w:r>
        <w:rPr>
          <w:rFonts w:ascii="Times New Roman" w:hAnsi="Times New Roman" w:eastAsia="仿宋_GB2312"/>
          <w:color w:val="000000" w:themeColor="text1"/>
          <w:sz w:val="28"/>
          <w:szCs w:val="28"/>
          <w14:textFill>
            <w14:solidFill>
              <w14:schemeClr w14:val="tx1"/>
            </w14:solidFill>
          </w14:textFill>
        </w:rPr>
        <w:t>23,433.87</w:t>
      </w:r>
      <w:r>
        <w:rPr>
          <w:rFonts w:hint="eastAsia" w:ascii="Times New Roman" w:hAnsi="Times New Roman" w:eastAsia="仿宋_GB2312"/>
          <w:color w:val="000000" w:themeColor="text1"/>
          <w:sz w:val="28"/>
          <w:szCs w:val="28"/>
          <w14:textFill>
            <w14:solidFill>
              <w14:schemeClr w14:val="tx1"/>
            </w14:solidFill>
          </w14:textFill>
        </w:rPr>
        <w:t>元；</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６、社工交流支出</w:t>
      </w:r>
      <w:r>
        <w:rPr>
          <w:rFonts w:ascii="Times New Roman" w:hAnsi="Times New Roman" w:eastAsia="仿宋_GB2312"/>
          <w:color w:val="000000" w:themeColor="text1"/>
          <w:sz w:val="28"/>
          <w:szCs w:val="28"/>
          <w14:textFill>
            <w14:solidFill>
              <w14:schemeClr w14:val="tx1"/>
            </w14:solidFill>
          </w14:textFill>
        </w:rPr>
        <w:t>731.00</w:t>
      </w:r>
      <w:r>
        <w:rPr>
          <w:rFonts w:hint="eastAsia" w:ascii="Times New Roman" w:hAnsi="Times New Roman" w:eastAsia="仿宋_GB2312"/>
          <w:color w:val="000000" w:themeColor="text1"/>
          <w:sz w:val="28"/>
          <w:szCs w:val="28"/>
          <w14:textFill>
            <w14:solidFill>
              <w14:schemeClr w14:val="tx1"/>
            </w14:solidFill>
          </w14:textFill>
        </w:rPr>
        <w:t>元。</w:t>
      </w:r>
    </w:p>
    <w:p>
      <w:pPr>
        <w:spacing w:line="610" w:lineRule="exact"/>
        <w:ind w:right="-569" w:rightChars="-271"/>
        <w:outlineLvl w:val="0"/>
        <w:rPr>
          <w:rFonts w:ascii="Times New Roman" w:hAnsi="Times New Roman" w:eastAsia="仿宋_GB2312" w:cs="Times New Roman"/>
          <w:b/>
          <w:sz w:val="28"/>
          <w:szCs w:val="28"/>
        </w:rPr>
      </w:pPr>
      <w:bookmarkStart w:id="7" w:name="_Hlk160801184"/>
      <w:r>
        <w:rPr>
          <w:rFonts w:ascii="Times New Roman" w:hAnsi="Times New Roman" w:eastAsia="仿宋_GB2312" w:cs="Times New Roman"/>
          <w:b/>
          <w:sz w:val="28"/>
          <w:szCs w:val="28"/>
        </w:rPr>
        <w:t>七、</w:t>
      </w:r>
      <w:r>
        <w:rPr>
          <w:rFonts w:hint="eastAsia" w:eastAsia="仿宋"/>
          <w:b/>
          <w:sz w:val="28"/>
          <w:szCs w:val="28"/>
        </w:rPr>
        <w:t>前期经费收、支、结余变化情况</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截至审计日，协议期2023年8月6日至2024年8月5日的结余资金发生变动，具体情况如下：</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经评估，本评估期内收到该协议期服务经费</w:t>
      </w:r>
      <w:r>
        <w:rPr>
          <w:rFonts w:ascii="Times New Roman" w:hAnsi="Times New Roman" w:eastAsia="仿宋_GB2312" w:cs="Times New Roman"/>
          <w:sz w:val="28"/>
          <w:szCs w:val="28"/>
        </w:rPr>
        <w:t>84,000.00</w:t>
      </w:r>
      <w:r>
        <w:rPr>
          <w:rFonts w:hint="eastAsia" w:ascii="Times New Roman" w:hAnsi="Times New Roman" w:eastAsia="仿宋_GB2312" w:cs="Times New Roman"/>
          <w:sz w:val="28"/>
          <w:szCs w:val="28"/>
        </w:rPr>
        <w:t>元，累计已收到协议期政府采购服务经费</w:t>
      </w:r>
      <w:bookmarkStart w:id="8" w:name="_Hlk136947536"/>
      <w:r>
        <w:rPr>
          <w:rFonts w:ascii="Times New Roman" w:hAnsi="Times New Roman" w:eastAsia="仿宋_GB2312" w:cs="Times New Roman"/>
          <w:sz w:val="28"/>
          <w:szCs w:val="28"/>
        </w:rPr>
        <w:t>2,364,000.00</w:t>
      </w:r>
      <w:r>
        <w:rPr>
          <w:rFonts w:hint="eastAsia" w:ascii="Times New Roman" w:hAnsi="Times New Roman" w:eastAsia="仿宋_GB2312" w:cs="Times New Roman"/>
          <w:sz w:val="28"/>
          <w:szCs w:val="28"/>
        </w:rPr>
        <w:t>元</w:t>
      </w:r>
      <w:bookmarkEnd w:id="8"/>
      <w:r>
        <w:rPr>
          <w:rFonts w:hint="eastAsia" w:ascii="Times New Roman" w:hAnsi="Times New Roman" w:eastAsia="仿宋_GB2312" w:cs="Times New Roman"/>
          <w:sz w:val="28"/>
          <w:szCs w:val="28"/>
        </w:rPr>
        <w:t>。</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2024年</w:t>
      </w:r>
      <w:r>
        <w:rPr>
          <w:rFonts w:ascii="Times New Roman" w:hAnsi="Times New Roman" w:eastAsia="仿宋_GB2312" w:cs="Times New Roman"/>
          <w:sz w:val="28"/>
          <w:szCs w:val="28"/>
        </w:rPr>
        <w:t>9</w:t>
      </w:r>
      <w:r>
        <w:rPr>
          <w:rFonts w:hint="eastAsia" w:ascii="Times New Roman" w:hAnsi="Times New Roman" w:eastAsia="仿宋_GB2312" w:cs="Times New Roman"/>
          <w:sz w:val="28"/>
          <w:szCs w:val="28"/>
        </w:rPr>
        <w:t>月至12月（本评估期内），支付归属于该协议期支出共</w:t>
      </w:r>
      <w:r>
        <w:rPr>
          <w:rFonts w:ascii="Times New Roman" w:hAnsi="Times New Roman" w:eastAsia="仿宋_GB2312" w:cs="Times New Roman"/>
          <w:sz w:val="28"/>
          <w:szCs w:val="28"/>
        </w:rPr>
        <w:t>58,440.00</w:t>
      </w:r>
      <w:r>
        <w:rPr>
          <w:rFonts w:hint="eastAsia" w:ascii="Times New Roman" w:hAnsi="Times New Roman" w:eastAsia="仿宋_GB2312" w:cs="Times New Roman"/>
          <w:sz w:val="28"/>
          <w:szCs w:val="28"/>
        </w:rPr>
        <w:t>元，其中：人员费用支出</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0</w:t>
      </w:r>
      <w:r>
        <w:rPr>
          <w:rFonts w:ascii="Times New Roman" w:hAnsi="Times New Roman" w:eastAsia="仿宋_GB2312" w:cs="Times New Roman"/>
          <w:sz w:val="28"/>
          <w:szCs w:val="28"/>
        </w:rPr>
        <w:t>0.00</w:t>
      </w:r>
      <w:r>
        <w:rPr>
          <w:rFonts w:hint="eastAsia" w:ascii="Times New Roman" w:hAnsi="Times New Roman" w:eastAsia="仿宋_GB2312" w:cs="Times New Roman"/>
          <w:sz w:val="28"/>
          <w:szCs w:val="28"/>
        </w:rPr>
        <w:t>元（发放2023-2024年绩效</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0</w:t>
      </w:r>
      <w:r>
        <w:rPr>
          <w:rFonts w:ascii="Times New Roman" w:hAnsi="Times New Roman" w:eastAsia="仿宋_GB2312" w:cs="Times New Roman"/>
          <w:sz w:val="28"/>
          <w:szCs w:val="28"/>
        </w:rPr>
        <w:t>0.00</w:t>
      </w:r>
      <w:r>
        <w:rPr>
          <w:rFonts w:hint="eastAsia" w:ascii="Times New Roman" w:hAnsi="Times New Roman" w:eastAsia="仿宋_GB2312" w:cs="Times New Roman"/>
          <w:sz w:val="28"/>
          <w:szCs w:val="28"/>
        </w:rPr>
        <w:t>元），运营管理费用支出5,040.00元（该协议期末期服务经费</w:t>
      </w:r>
      <w:r>
        <w:rPr>
          <w:rFonts w:ascii="Times New Roman" w:hAnsi="Times New Roman" w:eastAsia="仿宋_GB2312" w:cs="Times New Roman"/>
          <w:sz w:val="28"/>
          <w:szCs w:val="28"/>
        </w:rPr>
        <w:t>84,000.00</w:t>
      </w:r>
      <w:r>
        <w:rPr>
          <w:rFonts w:hint="eastAsia" w:ascii="Times New Roman" w:hAnsi="Times New Roman" w:eastAsia="仿宋_GB2312" w:cs="Times New Roman"/>
          <w:sz w:val="28"/>
          <w:szCs w:val="28"/>
        </w:rPr>
        <w:t>元产生的税费支出5,040.00元）。</w:t>
      </w:r>
      <w:bookmarkStart w:id="11" w:name="_GoBack"/>
      <w:bookmarkEnd w:id="11"/>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调整后，该协议期累计收到服务经费</w:t>
      </w:r>
      <w:r>
        <w:rPr>
          <w:rFonts w:ascii="Times New Roman" w:hAnsi="Times New Roman" w:eastAsia="仿宋_GB2312" w:cs="Times New Roman"/>
          <w:sz w:val="28"/>
          <w:szCs w:val="28"/>
        </w:rPr>
        <w:t>2,364,000.00</w:t>
      </w:r>
      <w:r>
        <w:rPr>
          <w:rFonts w:hint="eastAsia" w:ascii="Times New Roman" w:hAnsi="Times New Roman" w:eastAsia="仿宋_GB2312" w:cs="Times New Roman"/>
          <w:sz w:val="28"/>
          <w:szCs w:val="28"/>
        </w:rPr>
        <w:t>元，累计支出</w:t>
      </w:r>
      <w:r>
        <w:rPr>
          <w:rFonts w:ascii="Times New Roman" w:hAnsi="Times New Roman" w:eastAsia="仿宋_GB2312" w:cs="Times New Roman"/>
          <w:sz w:val="28"/>
          <w:szCs w:val="28"/>
        </w:rPr>
        <w:t>2,406,182.60</w:t>
      </w:r>
      <w:r>
        <w:rPr>
          <w:rFonts w:hint="eastAsia" w:ascii="Times New Roman" w:hAnsi="Times New Roman" w:eastAsia="仿宋_GB2312" w:cs="Times New Roman"/>
          <w:sz w:val="28"/>
          <w:szCs w:val="28"/>
        </w:rPr>
        <w:t>元，结余资金为</w:t>
      </w:r>
      <w:r>
        <w:rPr>
          <w:rFonts w:ascii="Times New Roman" w:hAnsi="Times New Roman" w:eastAsia="仿宋_GB2312" w:cs="Times New Roman"/>
          <w:sz w:val="28"/>
          <w:szCs w:val="28"/>
        </w:rPr>
        <w:t>-42,182.60</w:t>
      </w:r>
      <w:r>
        <w:rPr>
          <w:rFonts w:hint="eastAsia" w:ascii="Times New Roman" w:hAnsi="Times New Roman" w:eastAsia="仿宋_GB2312" w:cs="Times New Roman"/>
          <w:sz w:val="28"/>
          <w:szCs w:val="28"/>
        </w:rPr>
        <w:t>元</w:t>
      </w:r>
      <w:r>
        <w:rPr>
          <w:rFonts w:ascii="Times New Roman" w:hAnsi="Times New Roman" w:eastAsia="仿宋" w:cs="Times New Roman"/>
          <w:sz w:val="28"/>
          <w:szCs w:val="28"/>
        </w:rPr>
        <w:t>（不含未拨入的36,000.00元）</w:t>
      </w:r>
      <w:r>
        <w:rPr>
          <w:rFonts w:hint="eastAsia" w:ascii="Times New Roman" w:hAnsi="Times New Roman" w:eastAsia="仿宋_GB2312" w:cs="Times New Roman"/>
          <w:sz w:val="28"/>
          <w:szCs w:val="28"/>
        </w:rPr>
        <w:t>。经评估，该协议期</w:t>
      </w:r>
      <w:r>
        <w:rPr>
          <w:rFonts w:hint="eastAsia" w:ascii="Times New Roman" w:hAnsi="Times New Roman" w:eastAsia="仿宋_GB2312"/>
          <w:sz w:val="28"/>
          <w:szCs w:val="28"/>
        </w:rPr>
        <w:t>运营管理费用支出占协议期服务总经费的</w:t>
      </w:r>
      <w:r>
        <w:rPr>
          <w:rFonts w:ascii="Times New Roman" w:hAnsi="Times New Roman" w:eastAsia="仿宋_GB2312"/>
          <w:sz w:val="28"/>
          <w:szCs w:val="28"/>
        </w:rPr>
        <w:t>6.36%</w:t>
      </w:r>
      <w:r>
        <w:rPr>
          <w:rFonts w:hint="eastAsia" w:ascii="Times New Roman" w:hAnsi="Times New Roman" w:eastAsia="仿宋_GB2312"/>
          <w:sz w:val="28"/>
          <w:szCs w:val="28"/>
        </w:rPr>
        <w:t>。</w:t>
      </w:r>
    </w:p>
    <w:bookmarkEnd w:id="7"/>
    <w:p>
      <w:pPr>
        <w:spacing w:line="590" w:lineRule="exact"/>
        <w:ind w:right="-2"/>
        <w:outlineLvl w:val="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八、累计结余情况（201</w:t>
      </w:r>
      <w:r>
        <w:rPr>
          <w:rFonts w:ascii="Times New Roman" w:hAnsi="Times New Roman" w:eastAsia="仿宋_GB2312" w:cs="Times New Roman"/>
          <w:b/>
          <w:color w:val="000000" w:themeColor="text1"/>
          <w:sz w:val="28"/>
          <w:szCs w:val="28"/>
          <w14:textFill>
            <w14:solidFill>
              <w14:schemeClr w14:val="tx1"/>
            </w14:solidFill>
          </w14:textFill>
        </w:rPr>
        <w:t>6</w:t>
      </w:r>
      <w:r>
        <w:rPr>
          <w:rFonts w:hint="eastAsia" w:ascii="Times New Roman" w:hAnsi="Times New Roman" w:eastAsia="仿宋_GB2312" w:cs="Times New Roman"/>
          <w:b/>
          <w:color w:val="000000" w:themeColor="text1"/>
          <w:sz w:val="28"/>
          <w:szCs w:val="28"/>
          <w14:textFill>
            <w14:solidFill>
              <w14:schemeClr w14:val="tx1"/>
            </w14:solidFill>
          </w14:textFill>
        </w:rPr>
        <w:t>年</w:t>
      </w:r>
      <w:r>
        <w:rPr>
          <w:rFonts w:ascii="Times New Roman" w:hAnsi="Times New Roman" w:eastAsia="仿宋_GB2312" w:cs="Times New Roman"/>
          <w:b/>
          <w:color w:val="000000" w:themeColor="text1"/>
          <w:sz w:val="28"/>
          <w:szCs w:val="28"/>
          <w14:textFill>
            <w14:solidFill>
              <w14:schemeClr w14:val="tx1"/>
            </w14:solidFill>
          </w14:textFill>
        </w:rPr>
        <w:t>9</w:t>
      </w:r>
      <w:r>
        <w:rPr>
          <w:rFonts w:hint="eastAsia" w:ascii="Times New Roman" w:hAnsi="Times New Roman" w:eastAsia="仿宋_GB2312" w:cs="Times New Roman"/>
          <w:b/>
          <w:color w:val="000000" w:themeColor="text1"/>
          <w:sz w:val="28"/>
          <w:szCs w:val="28"/>
          <w14:textFill>
            <w14:solidFill>
              <w14:schemeClr w14:val="tx1"/>
            </w14:solidFill>
          </w14:textFill>
        </w:rPr>
        <w:t>月</w:t>
      </w:r>
      <w:r>
        <w:rPr>
          <w:rFonts w:ascii="Times New Roman" w:hAnsi="Times New Roman" w:eastAsia="仿宋_GB2312" w:cs="Times New Roman"/>
          <w:b/>
          <w:color w:val="000000" w:themeColor="text1"/>
          <w:sz w:val="28"/>
          <w:szCs w:val="28"/>
          <w14:textFill>
            <w14:solidFill>
              <w14:schemeClr w14:val="tx1"/>
            </w14:solidFill>
          </w14:textFill>
        </w:rPr>
        <w:t>6</w:t>
      </w:r>
      <w:r>
        <w:rPr>
          <w:rFonts w:hint="eastAsia" w:ascii="Times New Roman" w:hAnsi="Times New Roman" w:eastAsia="仿宋_GB2312" w:cs="Times New Roman"/>
          <w:b/>
          <w:color w:val="000000" w:themeColor="text1"/>
          <w:sz w:val="28"/>
          <w:szCs w:val="28"/>
          <w14:textFill>
            <w14:solidFill>
              <w14:schemeClr w14:val="tx1"/>
            </w14:solidFill>
          </w14:textFill>
        </w:rPr>
        <w:t>日~2025年2月</w:t>
      </w:r>
      <w:r>
        <w:rPr>
          <w:rFonts w:ascii="Times New Roman" w:hAnsi="Times New Roman" w:eastAsia="仿宋_GB2312" w:cs="Times New Roman"/>
          <w:b/>
          <w:color w:val="000000" w:themeColor="text1"/>
          <w:sz w:val="28"/>
          <w:szCs w:val="28"/>
          <w14:textFill>
            <w14:solidFill>
              <w14:schemeClr w14:val="tx1"/>
            </w14:solidFill>
          </w14:textFill>
        </w:rPr>
        <w:t>5</w:t>
      </w:r>
      <w:r>
        <w:rPr>
          <w:rFonts w:hint="eastAsia" w:ascii="Times New Roman" w:hAnsi="Times New Roman" w:eastAsia="仿宋_GB2312" w:cs="Times New Roman"/>
          <w:b/>
          <w:color w:val="000000" w:themeColor="text1"/>
          <w:sz w:val="28"/>
          <w:szCs w:val="28"/>
          <w14:textFill>
            <w14:solidFill>
              <w14:schemeClr w14:val="tx1"/>
            </w14:solidFill>
          </w14:textFill>
        </w:rPr>
        <w:t>日）</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根据“业会专审[2024]245号”财务管理情况评估报告及本次</w:t>
      </w:r>
      <w:r>
        <w:rPr>
          <w:rFonts w:hint="eastAsia" w:ascii="Times New Roman" w:hAnsi="Times New Roman" w:eastAsia="仿宋_GB2312" w:cs="Times New Roman"/>
          <w:color w:val="000000" w:themeColor="text1"/>
          <w:sz w:val="28"/>
          <w:szCs w:val="28"/>
          <w14:textFill>
            <w14:solidFill>
              <w14:schemeClr w14:val="tx1"/>
            </w14:solidFill>
          </w14:textFill>
        </w:rPr>
        <w:t>2024年8月6日至2025年2月5日</w:t>
      </w:r>
      <w:r>
        <w:rPr>
          <w:rFonts w:hint="eastAsia" w:ascii="Times New Roman" w:hAnsi="Times New Roman" w:eastAsia="仿宋_GB2312"/>
          <w:color w:val="000000" w:themeColor="text1"/>
          <w:sz w:val="28"/>
          <w:szCs w:val="28"/>
          <w14:textFill>
            <w14:solidFill>
              <w14:schemeClr w14:val="tx1"/>
            </w14:solidFill>
          </w14:textFill>
        </w:rPr>
        <w:t>财务管理评估情况，</w:t>
      </w:r>
      <w:r>
        <w:rPr>
          <w:rFonts w:hint="eastAsia" w:ascii="Times New Roman" w:hAnsi="Times New Roman" w:eastAsia="仿宋_GB2312" w:cs="Times New Roman"/>
          <w:color w:val="000000" w:themeColor="text1"/>
          <w:sz w:val="28"/>
          <w:szCs w:val="28"/>
          <w14:textFill>
            <w14:solidFill>
              <w14:schemeClr w14:val="tx1"/>
            </w14:solidFill>
          </w14:textFill>
        </w:rPr>
        <w:t>自201</w:t>
      </w:r>
      <w:r>
        <w:rPr>
          <w:rFonts w:ascii="Times New Roman" w:hAnsi="Times New Roman" w:eastAsia="仿宋_GB2312" w:cs="Times New Roman"/>
          <w:color w:val="000000" w:themeColor="text1"/>
          <w:sz w:val="28"/>
          <w:szCs w:val="28"/>
          <w14:textFill>
            <w14:solidFill>
              <w14:schemeClr w14:val="tx1"/>
            </w14:solidFill>
          </w14:textFill>
        </w:rPr>
        <w:t>6</w:t>
      </w:r>
      <w:r>
        <w:rPr>
          <w:rFonts w:hint="eastAsia" w:ascii="Times New Roman" w:hAnsi="Times New Roman" w:eastAsia="仿宋_GB2312" w:cs="Times New Roman"/>
          <w:color w:val="000000" w:themeColor="text1"/>
          <w:sz w:val="28"/>
          <w:szCs w:val="28"/>
          <w14:textFill>
            <w14:solidFill>
              <w14:schemeClr w14:val="tx1"/>
            </w14:solidFill>
          </w14:textFill>
        </w:rPr>
        <w:t>年9月6日至2024年2月</w:t>
      </w:r>
      <w:r>
        <w:rPr>
          <w:rFonts w:ascii="Times New Roman" w:hAnsi="Times New Roman" w:eastAsia="仿宋_GB2312" w:cs="Times New Roman"/>
          <w:color w:val="000000" w:themeColor="text1"/>
          <w:sz w:val="28"/>
          <w:szCs w:val="28"/>
          <w14:textFill>
            <w14:solidFill>
              <w14:schemeClr w14:val="tx1"/>
            </w14:solidFill>
          </w14:textFill>
        </w:rPr>
        <w:t>5</w:t>
      </w:r>
      <w:r>
        <w:rPr>
          <w:rFonts w:hint="eastAsia" w:ascii="Times New Roman" w:hAnsi="Times New Roman" w:eastAsia="仿宋_GB2312" w:cs="Times New Roman"/>
          <w:color w:val="000000" w:themeColor="text1"/>
          <w:sz w:val="28"/>
          <w:szCs w:val="28"/>
          <w14:textFill>
            <w14:solidFill>
              <w14:schemeClr w14:val="tx1"/>
            </w14:solidFill>
          </w14:textFill>
        </w:rPr>
        <w:t>日止，洛浦社工站服务经费累计结余</w:t>
      </w:r>
      <w:r>
        <w:rPr>
          <w:rFonts w:ascii="Times New Roman" w:hAnsi="Times New Roman" w:eastAsia="仿宋_GB2312" w:cs="Times New Roman"/>
          <w:color w:val="000000" w:themeColor="text1"/>
          <w:sz w:val="28"/>
          <w:szCs w:val="28"/>
          <w14:textFill>
            <w14:solidFill>
              <w14:schemeClr w14:val="tx1"/>
            </w14:solidFill>
          </w14:textFill>
        </w:rPr>
        <w:t>-141,477.44</w:t>
      </w:r>
      <w:r>
        <w:rPr>
          <w:rFonts w:hint="eastAsia" w:ascii="Times New Roman" w:hAnsi="Times New Roman" w:eastAsia="仿宋_GB2312" w:cs="Times New Roman"/>
          <w:color w:val="000000" w:themeColor="text1"/>
          <w:sz w:val="28"/>
          <w:szCs w:val="28"/>
          <w14:textFill>
            <w14:solidFill>
              <w14:schemeClr w14:val="tx1"/>
            </w14:solidFill>
          </w14:textFill>
        </w:rPr>
        <w:t>元</w:t>
      </w:r>
      <w:r>
        <w:rPr>
          <w:rFonts w:ascii="Times New Roman" w:hAnsi="Times New Roman" w:eastAsia="仿宋" w:cs="Times New Roman"/>
          <w:sz w:val="28"/>
          <w:szCs w:val="28"/>
        </w:rPr>
        <w:t>（不含未拨入的1,550,600.00元）</w:t>
      </w:r>
      <w:r>
        <w:rPr>
          <w:rFonts w:hint="eastAsia" w:ascii="Times New Roman" w:hAnsi="Times New Roman" w:eastAsia="仿宋_GB2312" w:cs="Times New Roman"/>
          <w:color w:val="000000" w:themeColor="text1"/>
          <w:sz w:val="28"/>
          <w:szCs w:val="28"/>
          <w14:textFill>
            <w14:solidFill>
              <w14:schemeClr w14:val="tx1"/>
            </w14:solidFill>
          </w14:textFill>
        </w:rPr>
        <w:t>。具体每期结余情况如下：</w:t>
      </w:r>
    </w:p>
    <w:p>
      <w:pPr>
        <w:spacing w:line="590" w:lineRule="exact"/>
        <w:ind w:firstLine="528"/>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㈠洛浦社工站</w:t>
      </w:r>
      <w:r>
        <w:rPr>
          <w:rFonts w:ascii="Times New Roman" w:hAnsi="Times New Roman" w:eastAsia="仿宋_GB2312" w:cs="Times New Roman"/>
          <w:color w:val="000000" w:themeColor="text1"/>
          <w:sz w:val="28"/>
          <w:szCs w:val="28"/>
          <w14:textFill>
            <w14:solidFill>
              <w14:schemeClr w14:val="tx1"/>
            </w14:solidFill>
          </w14:textFill>
        </w:rPr>
        <w:t>2</w:t>
      </w:r>
      <w:r>
        <w:rPr>
          <w:rFonts w:hint="eastAsia" w:ascii="Times New Roman" w:hAnsi="Times New Roman" w:eastAsia="仿宋_GB2312" w:cs="Times New Roman"/>
          <w:color w:val="000000" w:themeColor="text1"/>
          <w:sz w:val="28"/>
          <w:szCs w:val="28"/>
          <w14:textFill>
            <w14:solidFill>
              <w14:schemeClr w14:val="tx1"/>
            </w14:solidFill>
          </w14:textFill>
        </w:rPr>
        <w:t>01</w:t>
      </w:r>
      <w:r>
        <w:rPr>
          <w:rFonts w:ascii="Times New Roman" w:hAnsi="Times New Roman" w:eastAsia="仿宋_GB2312" w:cs="Times New Roman"/>
          <w:color w:val="000000" w:themeColor="text1"/>
          <w:sz w:val="28"/>
          <w:szCs w:val="28"/>
          <w14:textFill>
            <w14:solidFill>
              <w14:schemeClr w14:val="tx1"/>
            </w14:solidFill>
          </w14:textFill>
        </w:rPr>
        <w:t>6</w:t>
      </w:r>
      <w:r>
        <w:rPr>
          <w:rFonts w:hint="eastAsia" w:ascii="Times New Roman" w:hAnsi="Times New Roman" w:eastAsia="仿宋_GB2312"/>
          <w:color w:val="000000" w:themeColor="text1"/>
          <w:sz w:val="28"/>
          <w:szCs w:val="28"/>
          <w14:textFill>
            <w14:solidFill>
              <w14:schemeClr w14:val="tx1"/>
            </w14:solidFill>
          </w14:textFill>
        </w:rPr>
        <w:t>年</w:t>
      </w:r>
      <w:r>
        <w:rPr>
          <w:rFonts w:ascii="Times New Roman" w:hAnsi="Times New Roman" w:eastAsia="仿宋_GB2312" w:cs="Times New Roman"/>
          <w:color w:val="000000" w:themeColor="text1"/>
          <w:sz w:val="28"/>
          <w:szCs w:val="28"/>
          <w14:textFill>
            <w14:solidFill>
              <w14:schemeClr w14:val="tx1"/>
            </w14:solidFill>
          </w14:textFill>
        </w:rPr>
        <w:t>9</w:t>
      </w:r>
      <w:r>
        <w:rPr>
          <w:rFonts w:hint="eastAsia" w:ascii="Times New Roman" w:hAnsi="Times New Roman" w:eastAsia="仿宋_GB2312"/>
          <w:color w:val="000000" w:themeColor="text1"/>
          <w:sz w:val="28"/>
          <w:szCs w:val="28"/>
          <w14:textFill>
            <w14:solidFill>
              <w14:schemeClr w14:val="tx1"/>
            </w14:solidFill>
          </w14:textFill>
        </w:rPr>
        <w:t>月</w:t>
      </w:r>
      <w:r>
        <w:rPr>
          <w:rFonts w:ascii="Times New Roman" w:hAnsi="Times New Roman" w:eastAsia="仿宋_GB2312" w:cs="Times New Roman"/>
          <w:color w:val="000000" w:themeColor="text1"/>
          <w:sz w:val="28"/>
          <w:szCs w:val="28"/>
          <w14:textFill>
            <w14:solidFill>
              <w14:schemeClr w14:val="tx1"/>
            </w14:solidFill>
          </w14:textFill>
        </w:rPr>
        <w:t>6</w:t>
      </w:r>
      <w:r>
        <w:rPr>
          <w:rFonts w:hint="eastAsia" w:ascii="Times New Roman" w:hAnsi="Times New Roman" w:eastAsia="仿宋_GB2312"/>
          <w:color w:val="000000" w:themeColor="text1"/>
          <w:sz w:val="28"/>
          <w:szCs w:val="28"/>
          <w14:textFill>
            <w14:solidFill>
              <w14:schemeClr w14:val="tx1"/>
            </w14:solidFill>
          </w14:textFill>
        </w:rPr>
        <w:t>日至</w:t>
      </w:r>
      <w:r>
        <w:rPr>
          <w:rFonts w:hint="eastAsia" w:ascii="Times New Roman" w:hAnsi="Times New Roman" w:eastAsia="仿宋_GB2312" w:cs="Times New Roman"/>
          <w:color w:val="000000" w:themeColor="text1"/>
          <w:sz w:val="28"/>
          <w:szCs w:val="28"/>
          <w14:textFill>
            <w14:solidFill>
              <w14:schemeClr w14:val="tx1"/>
            </w14:solidFill>
          </w14:textFill>
        </w:rPr>
        <w:t>20</w:t>
      </w:r>
      <w:r>
        <w:rPr>
          <w:rFonts w:ascii="Times New Roman" w:hAnsi="Times New Roman" w:eastAsia="仿宋_GB2312" w:cs="Times New Roman"/>
          <w:color w:val="000000" w:themeColor="text1"/>
          <w:sz w:val="28"/>
          <w:szCs w:val="28"/>
          <w14:textFill>
            <w14:solidFill>
              <w14:schemeClr w14:val="tx1"/>
            </w14:solidFill>
          </w14:textFill>
        </w:rPr>
        <w:t>19</w:t>
      </w:r>
      <w:r>
        <w:rPr>
          <w:rFonts w:hint="eastAsia" w:ascii="Times New Roman" w:hAnsi="Times New Roman" w:eastAsia="仿宋_GB2312"/>
          <w:color w:val="000000" w:themeColor="text1"/>
          <w:sz w:val="28"/>
          <w:szCs w:val="28"/>
          <w14:textFill>
            <w14:solidFill>
              <w14:schemeClr w14:val="tx1"/>
            </w14:solidFill>
          </w14:textFill>
        </w:rPr>
        <w:t>年</w:t>
      </w:r>
      <w:r>
        <w:rPr>
          <w:rFonts w:ascii="Times New Roman" w:hAnsi="Times New Roman" w:eastAsia="仿宋_GB2312" w:cs="Times New Roman"/>
          <w:color w:val="000000" w:themeColor="text1"/>
          <w:sz w:val="28"/>
          <w:szCs w:val="28"/>
          <w14:textFill>
            <w14:solidFill>
              <w14:schemeClr w14:val="tx1"/>
            </w14:solidFill>
          </w14:textFill>
        </w:rPr>
        <w:t>9</w:t>
      </w:r>
      <w:r>
        <w:rPr>
          <w:rFonts w:hint="eastAsia" w:ascii="Times New Roman" w:hAnsi="Times New Roman" w:eastAsia="仿宋_GB2312"/>
          <w:color w:val="000000" w:themeColor="text1"/>
          <w:sz w:val="28"/>
          <w:szCs w:val="28"/>
          <w14:textFill>
            <w14:solidFill>
              <w14:schemeClr w14:val="tx1"/>
            </w14:solidFill>
          </w14:textFill>
        </w:rPr>
        <w:t>月</w:t>
      </w:r>
      <w:r>
        <w:rPr>
          <w:rFonts w:ascii="Times New Roman" w:hAnsi="Times New Roman" w:eastAsia="仿宋_GB2312" w:cs="Times New Roman"/>
          <w:color w:val="000000" w:themeColor="text1"/>
          <w:sz w:val="28"/>
          <w:szCs w:val="28"/>
          <w14:textFill>
            <w14:solidFill>
              <w14:schemeClr w14:val="tx1"/>
            </w14:solidFill>
          </w14:textFill>
        </w:rPr>
        <w:t>5</w:t>
      </w:r>
      <w:r>
        <w:rPr>
          <w:rFonts w:hint="eastAsia" w:ascii="Times New Roman" w:hAnsi="Times New Roman" w:eastAsia="仿宋_GB2312"/>
          <w:color w:val="000000" w:themeColor="text1"/>
          <w:sz w:val="28"/>
          <w:szCs w:val="28"/>
          <w14:textFill>
            <w14:solidFill>
              <w14:schemeClr w14:val="tx1"/>
            </w14:solidFill>
          </w14:textFill>
        </w:rPr>
        <w:t>日三年服务周期已结束，结余资金</w:t>
      </w:r>
      <w:r>
        <w:rPr>
          <w:rFonts w:ascii="Times New Roman" w:hAnsi="Times New Roman" w:eastAsia="仿宋_GB2312" w:cs="Times New Roman"/>
          <w:color w:val="000000" w:themeColor="text1"/>
          <w:sz w:val="28"/>
          <w:szCs w:val="28"/>
          <w14:textFill>
            <w14:solidFill>
              <w14:schemeClr w14:val="tx1"/>
            </w14:solidFill>
          </w14:textFill>
        </w:rPr>
        <w:t>452</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045</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30</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㈡</w:t>
      </w:r>
      <w:r>
        <w:rPr>
          <w:rFonts w:hint="eastAsia" w:ascii="Times New Roman" w:hAnsi="Times New Roman" w:eastAsia="仿宋_GB2312" w:cs="Times New Roman"/>
          <w:color w:val="000000" w:themeColor="text1"/>
          <w:sz w:val="28"/>
          <w:szCs w:val="28"/>
          <w14:textFill>
            <w14:solidFill>
              <w14:schemeClr w14:val="tx1"/>
            </w14:solidFill>
          </w14:textFill>
        </w:rPr>
        <w:t>洛浦</w:t>
      </w:r>
      <w:r>
        <w:rPr>
          <w:rFonts w:hint="eastAsia" w:ascii="Times New Roman" w:hAnsi="Times New Roman" w:eastAsia="仿宋_GB2312"/>
          <w:color w:val="000000" w:themeColor="text1"/>
          <w:sz w:val="28"/>
          <w:szCs w:val="28"/>
          <w14:textFill>
            <w14:solidFill>
              <w14:schemeClr w14:val="tx1"/>
            </w14:solidFill>
          </w14:textFill>
        </w:rPr>
        <w:t>社工站2</w:t>
      </w:r>
      <w:r>
        <w:rPr>
          <w:rFonts w:ascii="Times New Roman" w:hAnsi="Times New Roman" w:eastAsia="仿宋_GB2312"/>
          <w:color w:val="000000" w:themeColor="text1"/>
          <w:sz w:val="28"/>
          <w:szCs w:val="28"/>
          <w14:textFill>
            <w14:solidFill>
              <w14:schemeClr w14:val="tx1"/>
            </w14:solidFill>
          </w14:textFill>
        </w:rPr>
        <w:t>019</w:t>
      </w:r>
      <w:r>
        <w:rPr>
          <w:rFonts w:hint="eastAsia" w:ascii="Times New Roman" w:hAnsi="Times New Roman" w:eastAsia="仿宋_GB2312"/>
          <w:color w:val="000000" w:themeColor="text1"/>
          <w:sz w:val="28"/>
          <w:szCs w:val="28"/>
          <w14:textFill>
            <w14:solidFill>
              <w14:schemeClr w14:val="tx1"/>
            </w14:solidFill>
          </w14:textFill>
        </w:rPr>
        <w:t>年9月6日起四年十一个月服务周期已结束，结余资金</w:t>
      </w:r>
      <w:r>
        <w:rPr>
          <w:rFonts w:ascii="Times New Roman" w:hAnsi="Times New Roman" w:eastAsia="仿宋_GB2312" w:cs="Times New Roman"/>
          <w:color w:val="000000" w:themeColor="text1"/>
          <w:sz w:val="28"/>
          <w:szCs w:val="28"/>
          <w14:textFill>
            <w14:solidFill>
              <w14:schemeClr w14:val="tx1"/>
            </w14:solidFill>
          </w14:textFill>
        </w:rPr>
        <w:t>-381,461.10</w:t>
      </w:r>
      <w:r>
        <w:rPr>
          <w:rFonts w:hint="eastAsia" w:ascii="Times New Roman" w:hAnsi="Times New Roman" w:eastAsia="仿宋_GB2312"/>
          <w:color w:val="000000" w:themeColor="text1"/>
          <w:sz w:val="28"/>
          <w:szCs w:val="28"/>
          <w14:textFill>
            <w14:solidFill>
              <w14:schemeClr w14:val="tx1"/>
            </w14:solidFill>
          </w14:textFill>
        </w:rPr>
        <w:t>元，其中：</w:t>
      </w:r>
    </w:p>
    <w:p>
      <w:pPr>
        <w:spacing w:line="590" w:lineRule="exact"/>
        <w:ind w:firstLine="536" w:firstLineChars="200"/>
        <w:rPr>
          <w:rFonts w:ascii="Times New Roman" w:hAnsi="Times New Roman" w:eastAsia="仿宋_GB2312"/>
          <w:color w:val="000000" w:themeColor="text1"/>
          <w:spacing w:val="-6"/>
          <w:sz w:val="28"/>
          <w:szCs w:val="28"/>
          <w14:textFill>
            <w14:solidFill>
              <w14:schemeClr w14:val="tx1"/>
            </w14:solidFill>
          </w14:textFill>
        </w:rPr>
      </w:pPr>
      <w:r>
        <w:rPr>
          <w:rFonts w:hint="eastAsia" w:ascii="Times New Roman" w:hAnsi="Times New Roman" w:eastAsia="仿宋_GB2312"/>
          <w:color w:val="000000" w:themeColor="text1"/>
          <w:spacing w:val="-6"/>
          <w:sz w:val="28"/>
          <w:szCs w:val="28"/>
          <w14:textFill>
            <w14:solidFill>
              <w14:schemeClr w14:val="tx1"/>
            </w14:solidFill>
          </w14:textFill>
        </w:rPr>
        <w:t>第一年协议期</w:t>
      </w:r>
      <w:r>
        <w:rPr>
          <w:rFonts w:hint="eastAsia" w:ascii="Times New Roman" w:hAnsi="Times New Roman" w:eastAsia="仿宋_GB2312" w:cs="Times New Roman"/>
          <w:color w:val="000000" w:themeColor="text1"/>
          <w:spacing w:val="-6"/>
          <w:sz w:val="28"/>
          <w:szCs w:val="28"/>
          <w14:textFill>
            <w14:solidFill>
              <w14:schemeClr w14:val="tx1"/>
            </w14:solidFill>
          </w14:textFill>
        </w:rPr>
        <w:t>20</w:t>
      </w:r>
      <w:r>
        <w:rPr>
          <w:rFonts w:ascii="Times New Roman" w:hAnsi="Times New Roman" w:eastAsia="仿宋_GB2312" w:cs="Times New Roman"/>
          <w:color w:val="000000" w:themeColor="text1"/>
          <w:spacing w:val="-6"/>
          <w:sz w:val="28"/>
          <w:szCs w:val="28"/>
          <w14:textFill>
            <w14:solidFill>
              <w14:schemeClr w14:val="tx1"/>
            </w14:solidFill>
          </w14:textFill>
        </w:rPr>
        <w:t>19</w:t>
      </w:r>
      <w:r>
        <w:rPr>
          <w:rFonts w:hint="eastAsia" w:ascii="Times New Roman" w:hAnsi="Times New Roman" w:eastAsia="仿宋_GB2312"/>
          <w:color w:val="000000" w:themeColor="text1"/>
          <w:spacing w:val="-6"/>
          <w:sz w:val="28"/>
          <w:szCs w:val="28"/>
          <w14:textFill>
            <w14:solidFill>
              <w14:schemeClr w14:val="tx1"/>
            </w14:solidFill>
          </w14:textFill>
        </w:rPr>
        <w:t>年</w:t>
      </w:r>
      <w:r>
        <w:rPr>
          <w:rFonts w:ascii="Times New Roman" w:hAnsi="Times New Roman" w:eastAsia="仿宋_GB2312" w:cs="Times New Roman"/>
          <w:color w:val="000000" w:themeColor="text1"/>
          <w:spacing w:val="-6"/>
          <w:sz w:val="28"/>
          <w:szCs w:val="28"/>
          <w14:textFill>
            <w14:solidFill>
              <w14:schemeClr w14:val="tx1"/>
            </w14:solidFill>
          </w14:textFill>
        </w:rPr>
        <w:t>9</w:t>
      </w:r>
      <w:r>
        <w:rPr>
          <w:rFonts w:hint="eastAsia" w:ascii="Times New Roman" w:hAnsi="Times New Roman" w:eastAsia="仿宋_GB2312"/>
          <w:color w:val="000000" w:themeColor="text1"/>
          <w:spacing w:val="-6"/>
          <w:sz w:val="28"/>
          <w:szCs w:val="28"/>
          <w14:textFill>
            <w14:solidFill>
              <w14:schemeClr w14:val="tx1"/>
            </w14:solidFill>
          </w14:textFill>
        </w:rPr>
        <w:t>月</w:t>
      </w:r>
      <w:r>
        <w:rPr>
          <w:rFonts w:ascii="Times New Roman" w:hAnsi="Times New Roman" w:eastAsia="仿宋_GB2312" w:cs="Times New Roman"/>
          <w:color w:val="000000" w:themeColor="text1"/>
          <w:spacing w:val="-6"/>
          <w:sz w:val="28"/>
          <w:szCs w:val="28"/>
          <w14:textFill>
            <w14:solidFill>
              <w14:schemeClr w14:val="tx1"/>
            </w14:solidFill>
          </w14:textFill>
        </w:rPr>
        <w:t>6</w:t>
      </w:r>
      <w:r>
        <w:rPr>
          <w:rFonts w:hint="eastAsia" w:ascii="Times New Roman" w:hAnsi="Times New Roman" w:eastAsia="仿宋_GB2312"/>
          <w:color w:val="000000" w:themeColor="text1"/>
          <w:spacing w:val="-6"/>
          <w:sz w:val="28"/>
          <w:szCs w:val="28"/>
          <w14:textFill>
            <w14:solidFill>
              <w14:schemeClr w14:val="tx1"/>
            </w14:solidFill>
          </w14:textFill>
        </w:rPr>
        <w:t>日至</w:t>
      </w:r>
      <w:r>
        <w:rPr>
          <w:rFonts w:hint="eastAsia" w:ascii="Times New Roman" w:hAnsi="Times New Roman" w:eastAsia="仿宋_GB2312" w:cs="Times New Roman"/>
          <w:color w:val="000000" w:themeColor="text1"/>
          <w:spacing w:val="-6"/>
          <w:sz w:val="28"/>
          <w:szCs w:val="28"/>
          <w14:textFill>
            <w14:solidFill>
              <w14:schemeClr w14:val="tx1"/>
            </w14:solidFill>
          </w14:textFill>
        </w:rPr>
        <w:t>20</w:t>
      </w:r>
      <w:r>
        <w:rPr>
          <w:rFonts w:ascii="Times New Roman" w:hAnsi="Times New Roman" w:eastAsia="仿宋_GB2312" w:cs="Times New Roman"/>
          <w:color w:val="000000" w:themeColor="text1"/>
          <w:spacing w:val="-6"/>
          <w:sz w:val="28"/>
          <w:szCs w:val="28"/>
          <w14:textFill>
            <w14:solidFill>
              <w14:schemeClr w14:val="tx1"/>
            </w14:solidFill>
          </w14:textFill>
        </w:rPr>
        <w:t>20</w:t>
      </w:r>
      <w:r>
        <w:rPr>
          <w:rFonts w:hint="eastAsia" w:ascii="Times New Roman" w:hAnsi="Times New Roman" w:eastAsia="仿宋_GB2312"/>
          <w:color w:val="000000" w:themeColor="text1"/>
          <w:spacing w:val="-6"/>
          <w:sz w:val="28"/>
          <w:szCs w:val="28"/>
          <w14:textFill>
            <w14:solidFill>
              <w14:schemeClr w14:val="tx1"/>
            </w14:solidFill>
          </w14:textFill>
        </w:rPr>
        <w:t>年</w:t>
      </w:r>
      <w:r>
        <w:rPr>
          <w:rFonts w:ascii="Times New Roman" w:hAnsi="Times New Roman" w:eastAsia="仿宋_GB2312" w:cs="Times New Roman"/>
          <w:color w:val="000000" w:themeColor="text1"/>
          <w:spacing w:val="-6"/>
          <w:sz w:val="28"/>
          <w:szCs w:val="28"/>
          <w14:textFill>
            <w14:solidFill>
              <w14:schemeClr w14:val="tx1"/>
            </w14:solidFill>
          </w14:textFill>
        </w:rPr>
        <w:t>8</w:t>
      </w:r>
      <w:r>
        <w:rPr>
          <w:rFonts w:hint="eastAsia" w:ascii="Times New Roman" w:hAnsi="Times New Roman" w:eastAsia="仿宋_GB2312"/>
          <w:color w:val="000000" w:themeColor="text1"/>
          <w:spacing w:val="-6"/>
          <w:sz w:val="28"/>
          <w:szCs w:val="28"/>
          <w14:textFill>
            <w14:solidFill>
              <w14:schemeClr w14:val="tx1"/>
            </w14:solidFill>
          </w14:textFill>
        </w:rPr>
        <w:t>月</w:t>
      </w:r>
      <w:r>
        <w:rPr>
          <w:rFonts w:ascii="Times New Roman" w:hAnsi="Times New Roman" w:eastAsia="仿宋_GB2312" w:cs="Times New Roman"/>
          <w:color w:val="000000" w:themeColor="text1"/>
          <w:spacing w:val="-6"/>
          <w:sz w:val="28"/>
          <w:szCs w:val="28"/>
          <w14:textFill>
            <w14:solidFill>
              <w14:schemeClr w14:val="tx1"/>
            </w14:solidFill>
          </w14:textFill>
        </w:rPr>
        <w:t>5</w:t>
      </w:r>
      <w:r>
        <w:rPr>
          <w:rFonts w:hint="eastAsia" w:ascii="Times New Roman" w:hAnsi="Times New Roman" w:eastAsia="仿宋_GB2312"/>
          <w:color w:val="000000" w:themeColor="text1"/>
          <w:spacing w:val="-6"/>
          <w:sz w:val="28"/>
          <w:szCs w:val="28"/>
          <w14:textFill>
            <w14:solidFill>
              <w14:schemeClr w14:val="tx1"/>
            </w14:solidFill>
          </w14:textFill>
        </w:rPr>
        <w:t>日，结余资金</w:t>
      </w:r>
      <w:r>
        <w:rPr>
          <w:rFonts w:hint="eastAsia" w:ascii="Times New Roman" w:hAnsi="Times New Roman" w:eastAsia="仿宋_GB2312" w:cs="Times New Roman"/>
          <w:color w:val="000000" w:themeColor="text1"/>
          <w:spacing w:val="-6"/>
          <w:sz w:val="28"/>
          <w:szCs w:val="28"/>
          <w14:textFill>
            <w14:solidFill>
              <w14:schemeClr w14:val="tx1"/>
            </w14:solidFill>
          </w14:textFill>
        </w:rPr>
        <w:t>-</w:t>
      </w:r>
      <w:r>
        <w:rPr>
          <w:rFonts w:ascii="Times New Roman" w:hAnsi="Times New Roman" w:eastAsia="仿宋_GB2312" w:cs="Times New Roman"/>
          <w:color w:val="000000" w:themeColor="text1"/>
          <w:spacing w:val="-6"/>
          <w:sz w:val="28"/>
          <w:szCs w:val="28"/>
          <w14:textFill>
            <w14:solidFill>
              <w14:schemeClr w14:val="tx1"/>
            </w14:solidFill>
          </w14:textFill>
        </w:rPr>
        <w:t>346</w:t>
      </w:r>
      <w:r>
        <w:rPr>
          <w:rFonts w:hint="eastAsia" w:ascii="Times New Roman" w:hAnsi="Times New Roman" w:eastAsia="仿宋_GB2312" w:cs="Times New Roman"/>
          <w:color w:val="000000" w:themeColor="text1"/>
          <w:spacing w:val="-6"/>
          <w:sz w:val="28"/>
          <w:szCs w:val="28"/>
          <w14:textFill>
            <w14:solidFill>
              <w14:schemeClr w14:val="tx1"/>
            </w14:solidFill>
          </w14:textFill>
        </w:rPr>
        <w:t>,</w:t>
      </w:r>
      <w:r>
        <w:rPr>
          <w:rFonts w:ascii="Times New Roman" w:hAnsi="Times New Roman" w:eastAsia="仿宋_GB2312" w:cs="Times New Roman"/>
          <w:color w:val="000000" w:themeColor="text1"/>
          <w:spacing w:val="-6"/>
          <w:sz w:val="28"/>
          <w:szCs w:val="28"/>
          <w14:textFill>
            <w14:solidFill>
              <w14:schemeClr w14:val="tx1"/>
            </w14:solidFill>
          </w14:textFill>
        </w:rPr>
        <w:t>261</w:t>
      </w:r>
      <w:r>
        <w:rPr>
          <w:rFonts w:hint="eastAsia" w:ascii="Times New Roman" w:hAnsi="Times New Roman" w:eastAsia="仿宋_GB2312" w:cs="Times New Roman"/>
          <w:color w:val="000000" w:themeColor="text1"/>
          <w:spacing w:val="-6"/>
          <w:sz w:val="28"/>
          <w:szCs w:val="28"/>
          <w14:textFill>
            <w14:solidFill>
              <w14:schemeClr w14:val="tx1"/>
            </w14:solidFill>
          </w14:textFill>
        </w:rPr>
        <w:t>.</w:t>
      </w:r>
      <w:r>
        <w:rPr>
          <w:rFonts w:ascii="Times New Roman" w:hAnsi="Times New Roman" w:eastAsia="仿宋_GB2312" w:cs="Times New Roman"/>
          <w:color w:val="000000" w:themeColor="text1"/>
          <w:spacing w:val="-6"/>
          <w:sz w:val="28"/>
          <w:szCs w:val="28"/>
          <w14:textFill>
            <w14:solidFill>
              <w14:schemeClr w14:val="tx1"/>
            </w14:solidFill>
          </w14:textFill>
        </w:rPr>
        <w:t>18</w:t>
      </w:r>
      <w:r>
        <w:rPr>
          <w:rFonts w:hint="eastAsia" w:ascii="Times New Roman" w:hAnsi="Times New Roman" w:eastAsia="仿宋_GB2312"/>
          <w:color w:val="000000" w:themeColor="text1"/>
          <w:spacing w:val="-6"/>
          <w:sz w:val="28"/>
          <w:szCs w:val="28"/>
          <w14:textFill>
            <w14:solidFill>
              <w14:schemeClr w14:val="tx1"/>
            </w14:solidFill>
          </w14:textFill>
        </w:rPr>
        <w:t>元。</w:t>
      </w:r>
    </w:p>
    <w:p>
      <w:pPr>
        <w:spacing w:line="590" w:lineRule="exact"/>
        <w:ind w:firstLine="536" w:firstLineChars="200"/>
        <w:rPr>
          <w:rFonts w:ascii="Times New Roman" w:hAnsi="Times New Roman" w:eastAsia="仿宋_GB2312"/>
          <w:color w:val="000000" w:themeColor="text1"/>
          <w:spacing w:val="-6"/>
          <w:sz w:val="28"/>
          <w:szCs w:val="28"/>
          <w14:textFill>
            <w14:solidFill>
              <w14:schemeClr w14:val="tx1"/>
            </w14:solidFill>
          </w14:textFill>
        </w:rPr>
      </w:pPr>
      <w:r>
        <w:rPr>
          <w:rFonts w:hint="eastAsia" w:ascii="Times New Roman" w:hAnsi="Times New Roman" w:eastAsia="仿宋_GB2312"/>
          <w:color w:val="000000" w:themeColor="text1"/>
          <w:spacing w:val="-6"/>
          <w:sz w:val="28"/>
          <w:szCs w:val="28"/>
          <w14:textFill>
            <w14:solidFill>
              <w14:schemeClr w14:val="tx1"/>
            </w14:solidFill>
          </w14:textFill>
        </w:rPr>
        <w:t>第二年协议期</w:t>
      </w:r>
      <w:r>
        <w:rPr>
          <w:rFonts w:hint="eastAsia" w:ascii="Times New Roman" w:hAnsi="Times New Roman" w:eastAsia="仿宋_GB2312" w:cs="Times New Roman"/>
          <w:color w:val="000000" w:themeColor="text1"/>
          <w:spacing w:val="-6"/>
          <w:sz w:val="28"/>
          <w:szCs w:val="28"/>
          <w14:textFill>
            <w14:solidFill>
              <w14:schemeClr w14:val="tx1"/>
            </w14:solidFill>
          </w14:textFill>
        </w:rPr>
        <w:t>2020</w:t>
      </w:r>
      <w:r>
        <w:rPr>
          <w:rFonts w:hint="eastAsia" w:ascii="Times New Roman" w:hAnsi="Times New Roman" w:eastAsia="仿宋_GB2312"/>
          <w:color w:val="000000" w:themeColor="text1"/>
          <w:spacing w:val="-6"/>
          <w:sz w:val="28"/>
          <w:szCs w:val="28"/>
          <w14:textFill>
            <w14:solidFill>
              <w14:schemeClr w14:val="tx1"/>
            </w14:solidFill>
          </w14:textFill>
        </w:rPr>
        <w:t>年</w:t>
      </w:r>
      <w:r>
        <w:rPr>
          <w:rFonts w:ascii="Times New Roman" w:hAnsi="Times New Roman" w:eastAsia="仿宋_GB2312" w:cs="Times New Roman"/>
          <w:color w:val="000000" w:themeColor="text1"/>
          <w:spacing w:val="-6"/>
          <w:sz w:val="28"/>
          <w:szCs w:val="28"/>
          <w14:textFill>
            <w14:solidFill>
              <w14:schemeClr w14:val="tx1"/>
            </w14:solidFill>
          </w14:textFill>
        </w:rPr>
        <w:t>8</w:t>
      </w:r>
      <w:r>
        <w:rPr>
          <w:rFonts w:hint="eastAsia" w:ascii="Times New Roman" w:hAnsi="Times New Roman" w:eastAsia="仿宋_GB2312"/>
          <w:color w:val="000000" w:themeColor="text1"/>
          <w:spacing w:val="-6"/>
          <w:sz w:val="28"/>
          <w:szCs w:val="28"/>
          <w14:textFill>
            <w14:solidFill>
              <w14:schemeClr w14:val="tx1"/>
            </w14:solidFill>
          </w14:textFill>
        </w:rPr>
        <w:t>月</w:t>
      </w:r>
      <w:r>
        <w:rPr>
          <w:rFonts w:ascii="Times New Roman" w:hAnsi="Times New Roman" w:eastAsia="仿宋_GB2312" w:cs="Times New Roman"/>
          <w:color w:val="000000" w:themeColor="text1"/>
          <w:spacing w:val="-6"/>
          <w:sz w:val="28"/>
          <w:szCs w:val="28"/>
          <w14:textFill>
            <w14:solidFill>
              <w14:schemeClr w14:val="tx1"/>
            </w14:solidFill>
          </w14:textFill>
        </w:rPr>
        <w:t>6</w:t>
      </w:r>
      <w:r>
        <w:rPr>
          <w:rFonts w:hint="eastAsia" w:ascii="Times New Roman" w:hAnsi="Times New Roman" w:eastAsia="仿宋_GB2312"/>
          <w:color w:val="000000" w:themeColor="text1"/>
          <w:spacing w:val="-6"/>
          <w:sz w:val="28"/>
          <w:szCs w:val="28"/>
          <w14:textFill>
            <w14:solidFill>
              <w14:schemeClr w14:val="tx1"/>
            </w14:solidFill>
          </w14:textFill>
        </w:rPr>
        <w:t>日至</w:t>
      </w:r>
      <w:r>
        <w:rPr>
          <w:rFonts w:hint="eastAsia" w:ascii="Times New Roman" w:hAnsi="Times New Roman" w:eastAsia="仿宋_GB2312" w:cs="Times New Roman"/>
          <w:color w:val="000000" w:themeColor="text1"/>
          <w:spacing w:val="-6"/>
          <w:sz w:val="28"/>
          <w:szCs w:val="28"/>
          <w14:textFill>
            <w14:solidFill>
              <w14:schemeClr w14:val="tx1"/>
            </w14:solidFill>
          </w14:textFill>
        </w:rPr>
        <w:t>202</w:t>
      </w:r>
      <w:r>
        <w:rPr>
          <w:rFonts w:ascii="Times New Roman" w:hAnsi="Times New Roman" w:eastAsia="仿宋_GB2312" w:cs="Times New Roman"/>
          <w:color w:val="000000" w:themeColor="text1"/>
          <w:spacing w:val="-6"/>
          <w:sz w:val="28"/>
          <w:szCs w:val="28"/>
          <w14:textFill>
            <w14:solidFill>
              <w14:schemeClr w14:val="tx1"/>
            </w14:solidFill>
          </w14:textFill>
        </w:rPr>
        <w:t>1</w:t>
      </w:r>
      <w:r>
        <w:rPr>
          <w:rFonts w:hint="eastAsia" w:ascii="Times New Roman" w:hAnsi="Times New Roman" w:eastAsia="仿宋_GB2312"/>
          <w:color w:val="000000" w:themeColor="text1"/>
          <w:spacing w:val="-6"/>
          <w:sz w:val="28"/>
          <w:szCs w:val="28"/>
          <w14:textFill>
            <w14:solidFill>
              <w14:schemeClr w14:val="tx1"/>
            </w14:solidFill>
          </w14:textFill>
        </w:rPr>
        <w:t>年</w:t>
      </w:r>
      <w:r>
        <w:rPr>
          <w:rFonts w:ascii="Times New Roman" w:hAnsi="Times New Roman" w:eastAsia="仿宋_GB2312" w:cs="Times New Roman"/>
          <w:color w:val="000000" w:themeColor="text1"/>
          <w:spacing w:val="-6"/>
          <w:sz w:val="28"/>
          <w:szCs w:val="28"/>
          <w14:textFill>
            <w14:solidFill>
              <w14:schemeClr w14:val="tx1"/>
            </w14:solidFill>
          </w14:textFill>
        </w:rPr>
        <w:t>8</w:t>
      </w:r>
      <w:r>
        <w:rPr>
          <w:rFonts w:hint="eastAsia" w:ascii="Times New Roman" w:hAnsi="Times New Roman" w:eastAsia="仿宋_GB2312"/>
          <w:color w:val="000000" w:themeColor="text1"/>
          <w:spacing w:val="-6"/>
          <w:sz w:val="28"/>
          <w:szCs w:val="28"/>
          <w14:textFill>
            <w14:solidFill>
              <w14:schemeClr w14:val="tx1"/>
            </w14:solidFill>
          </w14:textFill>
        </w:rPr>
        <w:t>月</w:t>
      </w:r>
      <w:r>
        <w:rPr>
          <w:rFonts w:ascii="Times New Roman" w:hAnsi="Times New Roman" w:eastAsia="仿宋_GB2312" w:cs="Times New Roman"/>
          <w:color w:val="000000" w:themeColor="text1"/>
          <w:spacing w:val="-6"/>
          <w:sz w:val="28"/>
          <w:szCs w:val="28"/>
          <w14:textFill>
            <w14:solidFill>
              <w14:schemeClr w14:val="tx1"/>
            </w14:solidFill>
          </w14:textFill>
        </w:rPr>
        <w:t>5</w:t>
      </w:r>
      <w:r>
        <w:rPr>
          <w:rFonts w:hint="eastAsia" w:ascii="Times New Roman" w:hAnsi="Times New Roman" w:eastAsia="仿宋_GB2312"/>
          <w:color w:val="000000" w:themeColor="text1"/>
          <w:spacing w:val="-6"/>
          <w:sz w:val="28"/>
          <w:szCs w:val="28"/>
          <w14:textFill>
            <w14:solidFill>
              <w14:schemeClr w14:val="tx1"/>
            </w14:solidFill>
          </w14:textFill>
        </w:rPr>
        <w:t>日，结余资金</w:t>
      </w:r>
      <w:r>
        <w:rPr>
          <w:rFonts w:ascii="Times New Roman" w:hAnsi="Times New Roman" w:eastAsia="仿宋_GB2312" w:cs="Times New Roman"/>
          <w:color w:val="000000" w:themeColor="text1"/>
          <w:spacing w:val="-6"/>
          <w:sz w:val="28"/>
          <w:szCs w:val="28"/>
          <w14:textFill>
            <w14:solidFill>
              <w14:schemeClr w14:val="tx1"/>
            </w14:solidFill>
          </w14:textFill>
        </w:rPr>
        <w:t>-74,805.57</w:t>
      </w:r>
      <w:r>
        <w:rPr>
          <w:rFonts w:hint="eastAsia" w:ascii="Times New Roman" w:hAnsi="Times New Roman" w:eastAsia="仿宋_GB2312"/>
          <w:color w:val="000000" w:themeColor="text1"/>
          <w:spacing w:val="-6"/>
          <w:sz w:val="28"/>
          <w:szCs w:val="28"/>
          <w14:textFill>
            <w14:solidFill>
              <w14:schemeClr w14:val="tx1"/>
            </w14:solidFill>
          </w14:textFill>
        </w:rPr>
        <w:t>元。</w:t>
      </w:r>
    </w:p>
    <w:p>
      <w:pPr>
        <w:spacing w:line="590" w:lineRule="exact"/>
        <w:ind w:firstLine="536" w:firstLineChars="200"/>
        <w:rPr>
          <w:rFonts w:ascii="Times New Roman" w:hAnsi="Times New Roman" w:eastAsia="仿宋_GB2312"/>
          <w:color w:val="000000" w:themeColor="text1"/>
          <w:spacing w:val="-6"/>
          <w:sz w:val="28"/>
          <w:szCs w:val="28"/>
          <w14:textFill>
            <w14:solidFill>
              <w14:schemeClr w14:val="tx1"/>
            </w14:solidFill>
          </w14:textFill>
        </w:rPr>
      </w:pPr>
      <w:r>
        <w:rPr>
          <w:rFonts w:hint="eastAsia" w:ascii="Times New Roman" w:hAnsi="Times New Roman" w:eastAsia="仿宋_GB2312"/>
          <w:color w:val="000000" w:themeColor="text1"/>
          <w:spacing w:val="-6"/>
          <w:sz w:val="28"/>
          <w:szCs w:val="28"/>
          <w14:textFill>
            <w14:solidFill>
              <w14:schemeClr w14:val="tx1"/>
            </w14:solidFill>
          </w14:textFill>
        </w:rPr>
        <w:t>第三年协议期</w:t>
      </w:r>
      <w:r>
        <w:rPr>
          <w:rFonts w:hint="eastAsia" w:ascii="Times New Roman" w:hAnsi="Times New Roman" w:eastAsia="仿宋_GB2312" w:cs="Times New Roman"/>
          <w:color w:val="000000" w:themeColor="text1"/>
          <w:spacing w:val="-6"/>
          <w:sz w:val="28"/>
          <w:szCs w:val="28"/>
          <w14:textFill>
            <w14:solidFill>
              <w14:schemeClr w14:val="tx1"/>
            </w14:solidFill>
          </w14:textFill>
        </w:rPr>
        <w:t>2021</w:t>
      </w:r>
      <w:r>
        <w:rPr>
          <w:rFonts w:hint="eastAsia" w:ascii="Times New Roman" w:hAnsi="Times New Roman" w:eastAsia="仿宋_GB2312"/>
          <w:color w:val="000000" w:themeColor="text1"/>
          <w:spacing w:val="-6"/>
          <w:sz w:val="28"/>
          <w:szCs w:val="28"/>
          <w14:textFill>
            <w14:solidFill>
              <w14:schemeClr w14:val="tx1"/>
            </w14:solidFill>
          </w14:textFill>
        </w:rPr>
        <w:t>年</w:t>
      </w:r>
      <w:r>
        <w:rPr>
          <w:rFonts w:ascii="Times New Roman" w:hAnsi="Times New Roman" w:eastAsia="仿宋_GB2312" w:cs="Times New Roman"/>
          <w:color w:val="000000" w:themeColor="text1"/>
          <w:spacing w:val="-6"/>
          <w:sz w:val="28"/>
          <w:szCs w:val="28"/>
          <w14:textFill>
            <w14:solidFill>
              <w14:schemeClr w14:val="tx1"/>
            </w14:solidFill>
          </w14:textFill>
        </w:rPr>
        <w:t>8</w:t>
      </w:r>
      <w:r>
        <w:rPr>
          <w:rFonts w:hint="eastAsia" w:ascii="Times New Roman" w:hAnsi="Times New Roman" w:eastAsia="仿宋_GB2312"/>
          <w:color w:val="000000" w:themeColor="text1"/>
          <w:spacing w:val="-6"/>
          <w:sz w:val="28"/>
          <w:szCs w:val="28"/>
          <w14:textFill>
            <w14:solidFill>
              <w14:schemeClr w14:val="tx1"/>
            </w14:solidFill>
          </w14:textFill>
        </w:rPr>
        <w:t>月</w:t>
      </w:r>
      <w:r>
        <w:rPr>
          <w:rFonts w:ascii="Times New Roman" w:hAnsi="Times New Roman" w:eastAsia="仿宋_GB2312" w:cs="Times New Roman"/>
          <w:color w:val="000000" w:themeColor="text1"/>
          <w:spacing w:val="-6"/>
          <w:sz w:val="28"/>
          <w:szCs w:val="28"/>
          <w14:textFill>
            <w14:solidFill>
              <w14:schemeClr w14:val="tx1"/>
            </w14:solidFill>
          </w14:textFill>
        </w:rPr>
        <w:t>6</w:t>
      </w:r>
      <w:r>
        <w:rPr>
          <w:rFonts w:hint="eastAsia" w:ascii="Times New Roman" w:hAnsi="Times New Roman" w:eastAsia="仿宋_GB2312"/>
          <w:color w:val="000000" w:themeColor="text1"/>
          <w:spacing w:val="-6"/>
          <w:sz w:val="28"/>
          <w:szCs w:val="28"/>
          <w14:textFill>
            <w14:solidFill>
              <w14:schemeClr w14:val="tx1"/>
            </w14:solidFill>
          </w14:textFill>
        </w:rPr>
        <w:t>日至</w:t>
      </w:r>
      <w:r>
        <w:rPr>
          <w:rFonts w:hint="eastAsia" w:ascii="Times New Roman" w:hAnsi="Times New Roman" w:eastAsia="仿宋_GB2312" w:cs="Times New Roman"/>
          <w:color w:val="000000" w:themeColor="text1"/>
          <w:spacing w:val="-6"/>
          <w:sz w:val="28"/>
          <w:szCs w:val="28"/>
          <w14:textFill>
            <w14:solidFill>
              <w14:schemeClr w14:val="tx1"/>
            </w14:solidFill>
          </w14:textFill>
        </w:rPr>
        <w:t>2022</w:t>
      </w:r>
      <w:r>
        <w:rPr>
          <w:rFonts w:hint="eastAsia" w:ascii="Times New Roman" w:hAnsi="Times New Roman" w:eastAsia="仿宋_GB2312"/>
          <w:color w:val="000000" w:themeColor="text1"/>
          <w:spacing w:val="-6"/>
          <w:sz w:val="28"/>
          <w:szCs w:val="28"/>
          <w14:textFill>
            <w14:solidFill>
              <w14:schemeClr w14:val="tx1"/>
            </w14:solidFill>
          </w14:textFill>
        </w:rPr>
        <w:t>年</w:t>
      </w:r>
      <w:r>
        <w:rPr>
          <w:rFonts w:ascii="Times New Roman" w:hAnsi="Times New Roman" w:eastAsia="仿宋_GB2312" w:cs="Times New Roman"/>
          <w:color w:val="000000" w:themeColor="text1"/>
          <w:spacing w:val="-6"/>
          <w:sz w:val="28"/>
          <w:szCs w:val="28"/>
          <w14:textFill>
            <w14:solidFill>
              <w14:schemeClr w14:val="tx1"/>
            </w14:solidFill>
          </w14:textFill>
        </w:rPr>
        <w:t>8</w:t>
      </w:r>
      <w:r>
        <w:rPr>
          <w:rFonts w:hint="eastAsia" w:ascii="Times New Roman" w:hAnsi="Times New Roman" w:eastAsia="仿宋_GB2312"/>
          <w:color w:val="000000" w:themeColor="text1"/>
          <w:spacing w:val="-6"/>
          <w:sz w:val="28"/>
          <w:szCs w:val="28"/>
          <w14:textFill>
            <w14:solidFill>
              <w14:schemeClr w14:val="tx1"/>
            </w14:solidFill>
          </w14:textFill>
        </w:rPr>
        <w:t>月</w:t>
      </w:r>
      <w:r>
        <w:rPr>
          <w:rFonts w:ascii="Times New Roman" w:hAnsi="Times New Roman" w:eastAsia="仿宋_GB2312" w:cs="Times New Roman"/>
          <w:color w:val="000000" w:themeColor="text1"/>
          <w:spacing w:val="-6"/>
          <w:sz w:val="28"/>
          <w:szCs w:val="28"/>
          <w14:textFill>
            <w14:solidFill>
              <w14:schemeClr w14:val="tx1"/>
            </w14:solidFill>
          </w14:textFill>
        </w:rPr>
        <w:t>5</w:t>
      </w:r>
      <w:r>
        <w:rPr>
          <w:rFonts w:hint="eastAsia" w:ascii="Times New Roman" w:hAnsi="Times New Roman" w:eastAsia="仿宋_GB2312"/>
          <w:color w:val="000000" w:themeColor="text1"/>
          <w:spacing w:val="-6"/>
          <w:sz w:val="28"/>
          <w:szCs w:val="28"/>
          <w14:textFill>
            <w14:solidFill>
              <w14:schemeClr w14:val="tx1"/>
            </w14:solidFill>
          </w14:textFill>
        </w:rPr>
        <w:t>日，结余资金</w:t>
      </w:r>
      <w:r>
        <w:rPr>
          <w:rFonts w:ascii="Times New Roman" w:hAnsi="Times New Roman" w:eastAsia="仿宋_GB2312"/>
          <w:color w:val="000000" w:themeColor="text1"/>
          <w:spacing w:val="-6"/>
          <w:sz w:val="28"/>
          <w:szCs w:val="28"/>
          <w14:textFill>
            <w14:solidFill>
              <w14:schemeClr w14:val="tx1"/>
            </w14:solidFill>
          </w14:textFill>
        </w:rPr>
        <w:t>69,027.70</w:t>
      </w:r>
      <w:r>
        <w:rPr>
          <w:rFonts w:hint="eastAsia" w:ascii="Times New Roman" w:hAnsi="Times New Roman" w:eastAsia="仿宋_GB2312"/>
          <w:color w:val="000000" w:themeColor="text1"/>
          <w:spacing w:val="-6"/>
          <w:sz w:val="28"/>
          <w:szCs w:val="28"/>
          <w14:textFill>
            <w14:solidFill>
              <w14:schemeClr w14:val="tx1"/>
            </w14:solidFill>
          </w14:textFill>
        </w:rPr>
        <w:t>元。</w:t>
      </w:r>
    </w:p>
    <w:p>
      <w:pPr>
        <w:spacing w:line="590" w:lineRule="exact"/>
        <w:ind w:firstLine="536" w:firstLineChars="200"/>
        <w:rPr>
          <w:rFonts w:ascii="Times New Roman" w:hAnsi="Times New Roman" w:eastAsia="仿宋" w:cs="Times New Roman"/>
          <w:spacing w:val="-6"/>
          <w:sz w:val="28"/>
          <w:szCs w:val="28"/>
        </w:rPr>
      </w:pPr>
      <w:r>
        <w:rPr>
          <w:rFonts w:ascii="Times New Roman" w:hAnsi="Times New Roman" w:eastAsia="仿宋" w:cs="Times New Roman"/>
          <w:spacing w:val="-6"/>
          <w:sz w:val="28"/>
          <w:szCs w:val="28"/>
        </w:rPr>
        <w:t>第</w:t>
      </w:r>
      <w:r>
        <w:rPr>
          <w:rFonts w:hint="eastAsia" w:ascii="Times New Roman" w:hAnsi="Times New Roman" w:eastAsia="仿宋" w:cs="Times New Roman"/>
          <w:spacing w:val="-6"/>
          <w:sz w:val="28"/>
          <w:szCs w:val="28"/>
        </w:rPr>
        <w:t>四</w:t>
      </w:r>
      <w:r>
        <w:rPr>
          <w:rFonts w:ascii="Times New Roman" w:hAnsi="Times New Roman" w:eastAsia="仿宋" w:cs="Times New Roman"/>
          <w:spacing w:val="-6"/>
          <w:sz w:val="28"/>
          <w:szCs w:val="28"/>
        </w:rPr>
        <w:t>年协议期2022年</w:t>
      </w:r>
      <w:r>
        <w:rPr>
          <w:rFonts w:hint="eastAsia" w:ascii="Times New Roman" w:hAnsi="Times New Roman" w:eastAsia="仿宋" w:cs="Times New Roman"/>
          <w:spacing w:val="-6"/>
          <w:sz w:val="28"/>
          <w:szCs w:val="28"/>
        </w:rPr>
        <w:t>8</w:t>
      </w:r>
      <w:r>
        <w:rPr>
          <w:rFonts w:ascii="Times New Roman" w:hAnsi="Times New Roman" w:eastAsia="仿宋" w:cs="Times New Roman"/>
          <w:spacing w:val="-6"/>
          <w:sz w:val="28"/>
          <w:szCs w:val="28"/>
        </w:rPr>
        <w:t>月</w:t>
      </w:r>
      <w:r>
        <w:rPr>
          <w:rFonts w:hint="eastAsia" w:ascii="Times New Roman" w:hAnsi="Times New Roman" w:eastAsia="仿宋" w:cs="Times New Roman"/>
          <w:spacing w:val="-6"/>
          <w:sz w:val="28"/>
          <w:szCs w:val="28"/>
        </w:rPr>
        <w:t>6</w:t>
      </w:r>
      <w:r>
        <w:rPr>
          <w:rFonts w:ascii="Times New Roman" w:hAnsi="Times New Roman" w:eastAsia="仿宋" w:cs="Times New Roman"/>
          <w:spacing w:val="-6"/>
          <w:sz w:val="28"/>
          <w:szCs w:val="28"/>
        </w:rPr>
        <w:t>日至2023年8月</w:t>
      </w:r>
      <w:r>
        <w:rPr>
          <w:rFonts w:hint="eastAsia" w:ascii="Times New Roman" w:hAnsi="Times New Roman" w:eastAsia="仿宋" w:cs="Times New Roman"/>
          <w:spacing w:val="-6"/>
          <w:sz w:val="28"/>
          <w:szCs w:val="28"/>
        </w:rPr>
        <w:t>5</w:t>
      </w:r>
      <w:r>
        <w:rPr>
          <w:rFonts w:ascii="Times New Roman" w:hAnsi="Times New Roman" w:eastAsia="仿宋" w:cs="Times New Roman"/>
          <w:spacing w:val="-6"/>
          <w:sz w:val="28"/>
          <w:szCs w:val="28"/>
        </w:rPr>
        <w:t>日，结余资金12,760.55元。</w:t>
      </w:r>
    </w:p>
    <w:p>
      <w:pPr>
        <w:spacing w:line="590" w:lineRule="exact"/>
        <w:ind w:firstLine="536" w:firstLineChars="200"/>
        <w:rPr>
          <w:rFonts w:ascii="Times New Roman" w:hAnsi="Times New Roman" w:eastAsia="仿宋" w:cs="Times New Roman"/>
          <w:spacing w:val="-6"/>
          <w:sz w:val="28"/>
          <w:szCs w:val="28"/>
        </w:rPr>
      </w:pPr>
      <w:r>
        <w:rPr>
          <w:rFonts w:hint="eastAsia" w:ascii="Times New Roman" w:hAnsi="Times New Roman" w:eastAsia="仿宋" w:cs="Times New Roman"/>
          <w:spacing w:val="-6"/>
          <w:sz w:val="28"/>
          <w:szCs w:val="28"/>
        </w:rPr>
        <w:t>第五年协议期</w:t>
      </w:r>
      <w:r>
        <w:rPr>
          <w:rFonts w:ascii="Times New Roman" w:hAnsi="Times New Roman" w:eastAsia="仿宋" w:cs="Times New Roman"/>
          <w:spacing w:val="-6"/>
          <w:sz w:val="28"/>
          <w:szCs w:val="28"/>
        </w:rPr>
        <w:t>202</w:t>
      </w:r>
      <w:r>
        <w:rPr>
          <w:rFonts w:hint="eastAsia" w:ascii="Times New Roman" w:hAnsi="Times New Roman" w:eastAsia="仿宋" w:cs="Times New Roman"/>
          <w:spacing w:val="-6"/>
          <w:sz w:val="28"/>
          <w:szCs w:val="28"/>
        </w:rPr>
        <w:t>3</w:t>
      </w:r>
      <w:r>
        <w:rPr>
          <w:rFonts w:ascii="Times New Roman" w:hAnsi="Times New Roman" w:eastAsia="仿宋" w:cs="Times New Roman"/>
          <w:spacing w:val="-6"/>
          <w:sz w:val="28"/>
          <w:szCs w:val="28"/>
        </w:rPr>
        <w:t>年</w:t>
      </w:r>
      <w:r>
        <w:rPr>
          <w:rFonts w:hint="eastAsia" w:ascii="Times New Roman" w:hAnsi="Times New Roman" w:eastAsia="仿宋" w:cs="Times New Roman"/>
          <w:spacing w:val="-6"/>
          <w:sz w:val="28"/>
          <w:szCs w:val="28"/>
        </w:rPr>
        <w:t>8</w:t>
      </w:r>
      <w:r>
        <w:rPr>
          <w:rFonts w:ascii="Times New Roman" w:hAnsi="Times New Roman" w:eastAsia="仿宋" w:cs="Times New Roman"/>
          <w:spacing w:val="-6"/>
          <w:sz w:val="28"/>
          <w:szCs w:val="28"/>
        </w:rPr>
        <w:t>月6日至2024年8月5日</w:t>
      </w:r>
      <w:r>
        <w:rPr>
          <w:rFonts w:hint="eastAsia" w:ascii="Times New Roman" w:hAnsi="Times New Roman" w:eastAsia="仿宋" w:cs="Times New Roman"/>
          <w:spacing w:val="-6"/>
          <w:sz w:val="28"/>
          <w:szCs w:val="28"/>
        </w:rPr>
        <w:t>，结余资金</w:t>
      </w:r>
      <w:r>
        <w:rPr>
          <w:rFonts w:ascii="Times New Roman" w:hAnsi="Times New Roman" w:eastAsia="仿宋" w:cs="Times New Roman"/>
          <w:spacing w:val="-6"/>
          <w:sz w:val="28"/>
          <w:szCs w:val="28"/>
        </w:rPr>
        <w:t>-42,182.60</w:t>
      </w:r>
      <w:r>
        <w:rPr>
          <w:rFonts w:hint="eastAsia" w:ascii="Times New Roman" w:hAnsi="Times New Roman" w:eastAsia="仿宋" w:cs="Times New Roman"/>
          <w:spacing w:val="-6"/>
          <w:sz w:val="28"/>
          <w:szCs w:val="28"/>
        </w:rPr>
        <w:t>元。</w:t>
      </w:r>
    </w:p>
    <w:p>
      <w:pPr>
        <w:spacing w:line="59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㈢2024年8月6日至2027年8月5日为洛浦社工站三年服务周期，其中：</w:t>
      </w:r>
    </w:p>
    <w:p>
      <w:pPr>
        <w:spacing w:line="59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本评估期</w:t>
      </w:r>
      <w:r>
        <w:rPr>
          <w:rFonts w:ascii="Times New Roman" w:hAnsi="Times New Roman" w:eastAsia="仿宋" w:cs="Times New Roman"/>
          <w:sz w:val="28"/>
          <w:szCs w:val="28"/>
        </w:rPr>
        <w:t>2024年8月6日至2025年2月5日</w:t>
      </w:r>
      <w:r>
        <w:rPr>
          <w:rFonts w:hint="eastAsia" w:ascii="Times New Roman" w:hAnsi="Times New Roman" w:eastAsia="仿宋" w:cs="Times New Roman"/>
          <w:sz w:val="28"/>
          <w:szCs w:val="28"/>
        </w:rPr>
        <w:t>，结余资金</w:t>
      </w:r>
      <w:r>
        <w:rPr>
          <w:rFonts w:ascii="Times New Roman" w:hAnsi="Times New Roman" w:eastAsia="仿宋" w:cs="Times New Roman"/>
          <w:sz w:val="28"/>
          <w:szCs w:val="28"/>
        </w:rPr>
        <w:t>-212,061.64</w:t>
      </w:r>
      <w:r>
        <w:rPr>
          <w:rFonts w:hint="eastAsia" w:ascii="Times New Roman" w:hAnsi="Times New Roman" w:eastAsia="仿宋" w:cs="Times New Roman"/>
          <w:sz w:val="28"/>
          <w:szCs w:val="28"/>
        </w:rPr>
        <w:t>元。</w:t>
      </w:r>
    </w:p>
    <w:p>
      <w:pPr>
        <w:spacing w:line="590" w:lineRule="exact"/>
        <w:ind w:firstLine="562"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九、存在问题及建议</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㈠本评估期存在问题及建议</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bookmarkStart w:id="9" w:name="_Hlk196239508"/>
      <w:bookmarkStart w:id="10" w:name="_Hlk110792493"/>
      <w:r>
        <w:rPr>
          <w:rFonts w:hint="eastAsia" w:ascii="Times New Roman" w:hAnsi="Times New Roman" w:eastAsia="仿宋_GB2312"/>
          <w:color w:val="000000" w:themeColor="text1"/>
          <w:sz w:val="28"/>
          <w:szCs w:val="28"/>
          <w14:textFill>
            <w14:solidFill>
              <w14:schemeClr w14:val="tx1"/>
            </w14:solidFill>
          </w14:textFill>
        </w:rPr>
        <w:t>根据承接机构制定的《财务报销制度及报销流程》：“……</w:t>
      </w:r>
      <w:r>
        <w:rPr>
          <w:rFonts w:ascii="Times New Roman" w:hAnsi="Times New Roman" w:eastAsia="仿宋_GB2312" w:cs="Times New Roman"/>
          <w:sz w:val="28"/>
          <w:szCs w:val="28"/>
        </w:rPr>
        <w:t>300元以上至1000元（含1000元）由区域服务总监或机构行政总监审批</w:t>
      </w: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s="Times New Roman"/>
          <w:sz w:val="28"/>
          <w:szCs w:val="28"/>
        </w:rPr>
        <w:t>，</w:t>
      </w:r>
      <w:r>
        <w:rPr>
          <w:rFonts w:hint="eastAsia" w:ascii="Times New Roman" w:hAnsi="Times New Roman" w:eastAsia="仿宋_GB2312"/>
          <w:color w:val="000000" w:themeColor="text1"/>
          <w:sz w:val="28"/>
          <w:szCs w:val="28"/>
          <w14:textFill>
            <w14:solidFill>
              <w14:schemeClr w14:val="tx1"/>
            </w14:solidFill>
          </w14:textFill>
        </w:rPr>
        <w:t>审核发现，承接机构部分支出未按上述制度执行，</w:t>
      </w:r>
      <w:bookmarkEnd w:id="9"/>
      <w:r>
        <w:rPr>
          <w:rFonts w:hint="eastAsia" w:ascii="Times New Roman" w:hAnsi="Times New Roman" w:eastAsia="仿宋_GB2312"/>
          <w:color w:val="000000" w:themeColor="text1"/>
          <w:sz w:val="28"/>
          <w:szCs w:val="28"/>
          <w14:textFill>
            <w14:solidFill>
              <w14:schemeClr w14:val="tx1"/>
            </w14:solidFill>
          </w14:textFill>
        </w:rPr>
        <w:t>如2</w:t>
      </w:r>
      <w:r>
        <w:rPr>
          <w:rFonts w:ascii="Times New Roman" w:hAnsi="Times New Roman" w:eastAsia="仿宋_GB2312"/>
          <w:color w:val="000000" w:themeColor="text1"/>
          <w:sz w:val="28"/>
          <w:szCs w:val="28"/>
          <w14:textFill>
            <w14:solidFill>
              <w14:schemeClr w14:val="tx1"/>
            </w14:solidFill>
          </w14:textFill>
        </w:rPr>
        <w:t>0</w:t>
      </w:r>
      <w:r>
        <w:rPr>
          <w:rFonts w:hint="eastAsia" w:ascii="Times New Roman" w:hAnsi="Times New Roman" w:eastAsia="仿宋_GB2312"/>
          <w:color w:val="000000" w:themeColor="text1"/>
          <w:sz w:val="28"/>
          <w:szCs w:val="28"/>
          <w14:textFill>
            <w14:solidFill>
              <w14:schemeClr w14:val="tx1"/>
            </w14:solidFill>
          </w14:textFill>
        </w:rPr>
        <w:t>24年8月138号凭证，支付复印机租金1</w:t>
      </w:r>
      <w:r>
        <w:rPr>
          <w:rFonts w:ascii="Times New Roman" w:hAnsi="Times New Roman" w:eastAsia="仿宋_GB2312"/>
          <w:color w:val="000000" w:themeColor="text1"/>
          <w:sz w:val="28"/>
          <w:szCs w:val="28"/>
          <w14:textFill>
            <w14:solidFill>
              <w14:schemeClr w14:val="tx1"/>
            </w14:solidFill>
          </w14:textFill>
        </w:rPr>
        <w:t>,</w:t>
      </w:r>
      <w:r>
        <w:rPr>
          <w:rFonts w:hint="eastAsia" w:ascii="Times New Roman" w:hAnsi="Times New Roman" w:eastAsia="仿宋_GB2312"/>
          <w:color w:val="000000" w:themeColor="text1"/>
          <w:sz w:val="28"/>
          <w:szCs w:val="28"/>
          <w14:textFill>
            <w14:solidFill>
              <w14:schemeClr w14:val="tx1"/>
            </w14:solidFill>
          </w14:textFill>
        </w:rPr>
        <w:t>9</w:t>
      </w:r>
      <w:r>
        <w:rPr>
          <w:rFonts w:ascii="Times New Roman" w:hAnsi="Times New Roman" w:eastAsia="仿宋_GB2312"/>
          <w:color w:val="000000" w:themeColor="text1"/>
          <w:sz w:val="28"/>
          <w:szCs w:val="28"/>
          <w14:textFill>
            <w14:solidFill>
              <w14:schemeClr w14:val="tx1"/>
            </w14:solidFill>
          </w14:textFill>
        </w:rPr>
        <w:t>00.00</w:t>
      </w:r>
      <w:r>
        <w:rPr>
          <w:rFonts w:hint="eastAsia" w:ascii="Times New Roman" w:hAnsi="Times New Roman" w:eastAsia="仿宋_GB2312"/>
          <w:color w:val="000000" w:themeColor="text1"/>
          <w:sz w:val="28"/>
          <w:szCs w:val="28"/>
          <w14:textFill>
            <w14:solidFill>
              <w14:schemeClr w14:val="tx1"/>
            </w14:solidFill>
          </w14:textFill>
        </w:rPr>
        <w:t>元，后附物品采购申请表区域总监/行政总监、总干事/理事会未签字审批；建议严格执行承接机构制定的《财务报销制度及报销流程》中的审批程序，对审批程序不规范的费用支出，不予报销。</w:t>
      </w:r>
    </w:p>
    <w:bookmarkEnd w:id="10"/>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㈡上期问题整改情况</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根据“业会专审[</w:t>
      </w:r>
      <w:r>
        <w:rPr>
          <w:rFonts w:ascii="Times New Roman" w:hAnsi="Times New Roman" w:eastAsia="仿宋_GB2312"/>
          <w:color w:val="000000" w:themeColor="text1"/>
          <w:sz w:val="28"/>
          <w:szCs w:val="28"/>
          <w14:textFill>
            <w14:solidFill>
              <w14:schemeClr w14:val="tx1"/>
            </w14:solidFill>
          </w14:textFill>
        </w:rPr>
        <w:t>202</w:t>
      </w:r>
      <w:r>
        <w:rPr>
          <w:rFonts w:hint="eastAsia" w:ascii="Times New Roman" w:hAnsi="Times New Roman" w:eastAsia="仿宋_GB2312"/>
          <w:color w:val="000000" w:themeColor="text1"/>
          <w:sz w:val="28"/>
          <w:szCs w:val="28"/>
          <w14:textFill>
            <w14:solidFill>
              <w14:schemeClr w14:val="tx1"/>
            </w14:solidFill>
          </w14:textFill>
        </w:rPr>
        <w:t>4</w:t>
      </w:r>
      <w:r>
        <w:rPr>
          <w:rFonts w:ascii="Times New Roman" w:hAnsi="Times New Roman" w:eastAsia="仿宋_GB2312"/>
          <w:color w:val="000000" w:themeColor="text1"/>
          <w:sz w:val="28"/>
          <w:szCs w:val="28"/>
          <w14:textFill>
            <w14:solidFill>
              <w14:schemeClr w14:val="tx1"/>
            </w14:solidFill>
          </w14:textFill>
        </w:rPr>
        <w:t>]</w:t>
      </w:r>
      <w:r>
        <w:rPr>
          <w:rFonts w:hint="eastAsia" w:ascii="Times New Roman" w:hAnsi="Times New Roman" w:eastAsia="仿宋_GB2312"/>
          <w:color w:val="000000" w:themeColor="text1"/>
          <w:sz w:val="28"/>
          <w:szCs w:val="28"/>
          <w14:textFill>
            <w14:solidFill>
              <w14:schemeClr w14:val="tx1"/>
            </w14:solidFill>
          </w14:textFill>
        </w:rPr>
        <w:t>245号”财务管理情况评估报告，上一评估期（2024年2月6日至2024年8月</w:t>
      </w:r>
      <w:r>
        <w:rPr>
          <w:rFonts w:ascii="Times New Roman" w:hAnsi="Times New Roman" w:eastAsia="仿宋_GB2312"/>
          <w:color w:val="000000" w:themeColor="text1"/>
          <w:sz w:val="28"/>
          <w:szCs w:val="28"/>
          <w14:textFill>
            <w14:solidFill>
              <w14:schemeClr w14:val="tx1"/>
            </w14:solidFill>
          </w14:textFill>
        </w:rPr>
        <w:t>5</w:t>
      </w:r>
      <w:r>
        <w:rPr>
          <w:rFonts w:hint="eastAsia" w:ascii="Times New Roman" w:hAnsi="Times New Roman" w:eastAsia="仿宋_GB2312"/>
          <w:color w:val="000000" w:themeColor="text1"/>
          <w:sz w:val="28"/>
          <w:szCs w:val="28"/>
          <w14:textFill>
            <w14:solidFill>
              <w14:schemeClr w14:val="tx1"/>
            </w14:solidFill>
          </w14:textFill>
        </w:rPr>
        <w:t>日）存在“部分费用支出未严格按照承接机构广州市阳光天使社会工作服务中心制定的《财务报销制度及报销流程》进行审批”的情况，如2024年6月101号凭证支付复印机租金1,100.00元，，</w:t>
      </w:r>
      <w:r>
        <w:rPr>
          <w:rFonts w:hint="eastAsia" w:eastAsia="仿宋_GB2312"/>
          <w:color w:val="000000" w:themeColor="text1"/>
          <w:sz w:val="28"/>
          <w:szCs w:val="28"/>
          <w14:textFill>
            <w14:solidFill>
              <w14:schemeClr w14:val="tx1"/>
            </w14:solidFill>
          </w14:textFill>
        </w:rPr>
        <w:t>经审核，本评估期内洛浦社工站已对上期问题进行整改，但在审核发现本评估期内仍存在同类问题。</w:t>
      </w:r>
    </w:p>
    <w:p>
      <w:pPr>
        <w:spacing w:line="60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十、评估结论</w:t>
      </w:r>
    </w:p>
    <w:p>
      <w:pPr>
        <w:spacing w:line="60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经上述审核，我们认为广州市番禺区</w:t>
      </w:r>
      <w:r>
        <w:rPr>
          <w:rFonts w:hint="eastAsia" w:ascii="Times New Roman" w:hAnsi="Times New Roman" w:eastAsia="仿宋_GB2312" w:cs="Times New Roman"/>
          <w:color w:val="000000" w:themeColor="text1"/>
          <w:sz w:val="28"/>
          <w:szCs w:val="28"/>
          <w14:textFill>
            <w14:solidFill>
              <w14:schemeClr w14:val="tx1"/>
            </w14:solidFill>
          </w14:textFill>
        </w:rPr>
        <w:t>洛浦</w:t>
      </w:r>
      <w:r>
        <w:rPr>
          <w:rFonts w:hint="eastAsia" w:ascii="Times New Roman" w:hAnsi="Times New Roman" w:eastAsia="仿宋_GB2312"/>
          <w:color w:val="000000" w:themeColor="text1"/>
          <w:sz w:val="28"/>
          <w:szCs w:val="28"/>
          <w14:textFill>
            <w14:solidFill>
              <w14:schemeClr w14:val="tx1"/>
            </w14:solidFill>
          </w14:textFill>
        </w:rPr>
        <w:t>街社工服务站本次财务评估等级为：合格。</w:t>
      </w:r>
    </w:p>
    <w:p>
      <w:pPr>
        <w:spacing w:line="60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十一、其他事项</w:t>
      </w:r>
    </w:p>
    <w:p>
      <w:pPr>
        <w:spacing w:line="600" w:lineRule="exact"/>
        <w:ind w:firstLine="560" w:firstLineChars="200"/>
        <w:rPr>
          <w:rFonts w:ascii="仿宋" w:hAnsi="仿宋"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本报告仅供本次</w:t>
      </w:r>
      <w:r>
        <w:rPr>
          <w:rFonts w:hint="eastAsia" w:eastAsia="仿宋"/>
          <w:color w:val="000000" w:themeColor="text1"/>
          <w:sz w:val="28"/>
          <w:szCs w:val="28"/>
          <w14:textFill>
            <w14:solidFill>
              <w14:schemeClr w14:val="tx1"/>
            </w14:solidFill>
          </w14:textFill>
        </w:rPr>
        <w:t>委托</w:t>
      </w:r>
      <w:r>
        <w:rPr>
          <w:rFonts w:eastAsia="仿宋"/>
          <w:color w:val="000000" w:themeColor="text1"/>
          <w:sz w:val="28"/>
          <w:szCs w:val="28"/>
          <w14:textFill>
            <w14:solidFill>
              <w14:schemeClr w14:val="tx1"/>
            </w14:solidFill>
          </w14:textFill>
        </w:rPr>
        <w:t>目的，即</w:t>
      </w:r>
      <w:r>
        <w:rPr>
          <w:rFonts w:hint="eastAsia" w:eastAsia="仿宋"/>
          <w:color w:val="000000" w:themeColor="text1"/>
          <w:sz w:val="28"/>
          <w:szCs w:val="28"/>
          <w14:textFill>
            <w14:solidFill>
              <w14:schemeClr w14:val="tx1"/>
            </w14:solidFill>
          </w14:textFill>
        </w:rPr>
        <w:t>对</w:t>
      </w:r>
      <w:r>
        <w:rPr>
          <w:rFonts w:hint="eastAsia" w:ascii="Times New Roman" w:hAnsi="Times New Roman" w:eastAsia="仿宋_GB2312" w:cs="Times New Roman"/>
          <w:color w:val="000000" w:themeColor="text1"/>
          <w:sz w:val="28"/>
          <w:szCs w:val="28"/>
          <w14:textFill>
            <w14:solidFill>
              <w14:schemeClr w14:val="tx1"/>
            </w14:solidFill>
          </w14:textFill>
        </w:rPr>
        <w:t>洛浦</w:t>
      </w:r>
      <w:r>
        <w:rPr>
          <w:rFonts w:hint="eastAsia" w:eastAsia="仿宋"/>
          <w:color w:val="000000" w:themeColor="text1"/>
          <w:sz w:val="28"/>
          <w:szCs w:val="28"/>
          <w14:textFill>
            <w14:solidFill>
              <w14:schemeClr w14:val="tx1"/>
            </w14:solidFill>
          </w14:textFill>
        </w:rPr>
        <w:t>社工站财务评估</w:t>
      </w:r>
      <w:r>
        <w:rPr>
          <w:rFonts w:eastAsia="仿宋"/>
          <w:color w:val="000000" w:themeColor="text1"/>
          <w:sz w:val="28"/>
          <w:szCs w:val="28"/>
          <w14:textFill>
            <w14:solidFill>
              <w14:schemeClr w14:val="tx1"/>
            </w14:solidFill>
          </w14:textFill>
        </w:rPr>
        <w:t>使用，本事务所及本注册会计师不对运用本报告于其他目的造成的经济后果负责。</w:t>
      </w:r>
    </w:p>
    <w:p>
      <w:pPr>
        <w:spacing w:line="600" w:lineRule="exact"/>
        <w:rPr>
          <w:rFonts w:ascii="Times New Roman" w:hAnsi="Times New Roman" w:eastAsia="仿宋_GB2312"/>
          <w:b/>
          <w:bCs/>
          <w:color w:val="000000" w:themeColor="text1"/>
          <w:sz w:val="28"/>
          <w:szCs w:val="28"/>
          <w14:textFill>
            <w14:solidFill>
              <w14:schemeClr w14:val="tx1"/>
            </w14:solidFill>
          </w14:textFill>
        </w:rPr>
      </w:pPr>
    </w:p>
    <w:p>
      <w:pPr>
        <w:spacing w:line="590" w:lineRule="exact"/>
        <w:rPr>
          <w:rFonts w:ascii="Times New Roman" w:hAnsi="Times New Roman" w:eastAsia="仿宋_GB2312"/>
          <w:color w:val="000000" w:themeColor="text1"/>
          <w:sz w:val="28"/>
          <w:szCs w:val="28"/>
          <w14:textFill>
            <w14:solidFill>
              <w14:schemeClr w14:val="tx1"/>
            </w14:solidFill>
          </w14:textFill>
        </w:rPr>
      </w:pPr>
    </w:p>
    <w:p>
      <w:pPr>
        <w:spacing w:line="590" w:lineRule="exact"/>
        <w:rPr>
          <w:rFonts w:ascii="Times New Roman" w:hAnsi="Times New Roman" w:eastAsia="仿宋_GB2312"/>
          <w:color w:val="000000" w:themeColor="text1"/>
          <w:sz w:val="28"/>
          <w:szCs w:val="28"/>
          <w14:textFill>
            <w14:solidFill>
              <w14:schemeClr w14:val="tx1"/>
            </w14:solidFill>
          </w14:textFill>
        </w:rPr>
      </w:pPr>
    </w:p>
    <w:p>
      <w:pPr>
        <w:spacing w:line="600" w:lineRule="exact"/>
        <w:rPr>
          <w:rFonts w:ascii="Times New Roman" w:hAnsi="Times New Roman" w:eastAsia="仿宋_GB2312"/>
          <w:color w:val="000000" w:themeColor="text1"/>
          <w:sz w:val="28"/>
          <w:szCs w:val="28"/>
          <w14:textFill>
            <w14:solidFill>
              <w14:schemeClr w14:val="tx1"/>
            </w14:solidFill>
          </w14:textFill>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c>
          <w:tcPr>
            <w:tcW w:w="4482" w:type="dxa"/>
          </w:tcPr>
          <w:p>
            <w:pPr>
              <w:spacing w:line="320" w:lineRule="exact"/>
              <w:jc w:val="center"/>
              <w:rPr>
                <w:rFonts w:ascii="华文新魏" w:eastAsia="华文新魏"/>
                <w:b/>
                <w:color w:val="000000" w:themeColor="text1"/>
                <w:sz w:val="30"/>
                <w14:textFill>
                  <w14:solidFill>
                    <w14:schemeClr w14:val="tx1"/>
                  </w14:solidFill>
                </w14:textFill>
              </w:rPr>
            </w:pPr>
            <w:r>
              <w:rPr>
                <w:rFonts w:hint="eastAsia" w:ascii="华文新魏" w:eastAsia="华文新魏"/>
                <w:b/>
                <w:color w:val="000000" w:themeColor="text1"/>
                <w:sz w:val="30"/>
                <w14:textFill>
                  <w14:solidFill>
                    <w14:schemeClr w14:val="tx1"/>
                  </w14:solidFill>
                </w14:textFill>
              </w:rPr>
              <w:t>广州业勤会计师事务所有限公司</w:t>
            </w:r>
          </w:p>
          <w:p>
            <w:pPr>
              <w:spacing w:line="320" w:lineRule="exact"/>
              <w:rPr>
                <w:rFonts w:ascii="华文新魏" w:eastAsia="华文新魏"/>
                <w:b/>
                <w:color w:val="000000" w:themeColor="text1"/>
                <w:sz w:val="30"/>
                <w14:textFill>
                  <w14:solidFill>
                    <w14:schemeClr w14:val="tx1"/>
                  </w14:solidFill>
                </w14:textFill>
              </w:rPr>
            </w:pPr>
          </w:p>
          <w:p>
            <w:pPr>
              <w:spacing w:line="320" w:lineRule="exact"/>
              <w:jc w:val="center"/>
              <w:rPr>
                <w:rFonts w:ascii="华文新魏" w:eastAsia="华文新魏"/>
                <w:b/>
                <w:color w:val="000000" w:themeColor="text1"/>
                <w:sz w:val="30"/>
                <w14:textFill>
                  <w14:solidFill>
                    <w14:schemeClr w14:val="tx1"/>
                  </w14:solidFill>
                </w14:textFill>
              </w:rPr>
            </w:pPr>
            <w:r>
              <w:rPr>
                <w:rFonts w:hint="eastAsia" w:ascii="华文新魏" w:eastAsia="华文新魏"/>
                <w:b/>
                <w:color w:val="000000" w:themeColor="text1"/>
                <w:sz w:val="28"/>
                <w14:textFill>
                  <w14:solidFill>
                    <w14:schemeClr w14:val="tx1"/>
                  </w14:solidFill>
                </w14:textFill>
              </w:rPr>
              <w:t>广州·番禺</w:t>
            </w:r>
          </w:p>
          <w:p>
            <w:pPr>
              <w:spacing w:line="320" w:lineRule="exact"/>
              <w:rPr>
                <w:rFonts w:ascii="华文新魏" w:eastAsia="华文新魏"/>
                <w:b/>
                <w:color w:val="000000" w:themeColor="text1"/>
                <w:sz w:val="30"/>
                <w14:textFill>
                  <w14:solidFill>
                    <w14:schemeClr w14:val="tx1"/>
                  </w14:solidFill>
                </w14:textFill>
              </w:rPr>
            </w:pPr>
          </w:p>
          <w:p>
            <w:pPr>
              <w:spacing w:line="320" w:lineRule="exact"/>
              <w:ind w:right="-6"/>
              <w:jc w:val="center"/>
              <w:rPr>
                <w:rFonts w:ascii="华文新魏" w:eastAsia="华文新魏"/>
                <w:color w:val="000000" w:themeColor="text1"/>
                <w:sz w:val="28"/>
                <w:szCs w:val="28"/>
                <w14:textFill>
                  <w14:solidFill>
                    <w14:schemeClr w14:val="tx1"/>
                  </w14:solidFill>
                </w14:textFill>
              </w:rPr>
            </w:pPr>
            <w:r>
              <w:rPr>
                <w:rFonts w:hint="eastAsia" w:ascii="华文新魏" w:eastAsia="华文新魏"/>
                <w:b/>
                <w:color w:val="000000" w:themeColor="text1"/>
                <w:sz w:val="28"/>
                <w14:textFill>
                  <w14:solidFill>
                    <w14:schemeClr w14:val="tx1"/>
                  </w14:solidFill>
                </w14:textFill>
              </w:rPr>
              <w:t>二○二五年四月二十三日</w:t>
            </w:r>
          </w:p>
        </w:tc>
        <w:tc>
          <w:tcPr>
            <w:tcW w:w="246" w:type="dxa"/>
          </w:tcPr>
          <w:p>
            <w:pPr>
              <w:spacing w:line="560" w:lineRule="exact"/>
              <w:ind w:right="-6"/>
              <w:rPr>
                <w:rFonts w:ascii="华文新魏" w:eastAsia="华文新魏"/>
                <w:color w:val="000000" w:themeColor="text1"/>
                <w:sz w:val="28"/>
                <w:szCs w:val="28"/>
                <w14:textFill>
                  <w14:solidFill>
                    <w14:schemeClr w14:val="tx1"/>
                  </w14:solidFill>
                </w14:textFill>
              </w:rPr>
            </w:pPr>
          </w:p>
        </w:tc>
        <w:tc>
          <w:tcPr>
            <w:tcW w:w="4618" w:type="dxa"/>
          </w:tcPr>
          <w:p>
            <w:pPr>
              <w:spacing w:line="320" w:lineRule="exact"/>
              <w:rPr>
                <w:rFonts w:ascii="宋体" w:hAnsi="宋体"/>
                <w:b/>
                <w:color w:val="000000" w:themeColor="text1"/>
                <w:sz w:val="30"/>
                <w14:textFill>
                  <w14:solidFill>
                    <w14:schemeClr w14:val="tx1"/>
                  </w14:solidFill>
                </w14:textFill>
              </w:rPr>
            </w:pPr>
            <w:r>
              <w:rPr>
                <w:rFonts w:hint="eastAsia" w:ascii="华文新魏" w:eastAsia="华文新魏"/>
                <w:b/>
                <w:color w:val="000000" w:themeColor="text1"/>
                <w:sz w:val="28"/>
                <w14:textFill>
                  <w14:solidFill>
                    <w14:schemeClr w14:val="tx1"/>
                  </w14:solidFill>
                </w14:textFill>
              </w:rPr>
              <w:t>中国注册会计师</w:t>
            </w:r>
            <w:r>
              <w:rPr>
                <w:rFonts w:hint="eastAsia" w:ascii="宋体" w:hAnsi="宋体"/>
                <w:b/>
                <w:color w:val="000000" w:themeColor="text1"/>
                <w:sz w:val="30"/>
                <w14:textFill>
                  <w14:solidFill>
                    <w14:schemeClr w14:val="tx1"/>
                  </w14:solidFill>
                </w14:textFill>
              </w:rPr>
              <w:t>：</w:t>
            </w:r>
          </w:p>
          <w:p>
            <w:pPr>
              <w:spacing w:line="320" w:lineRule="exact"/>
              <w:ind w:left="3513" w:hanging="3512"/>
              <w:rPr>
                <w:rFonts w:ascii="华文新魏" w:eastAsia="华文新魏"/>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w:t>
            </w:r>
            <w:r>
              <w:rPr>
                <w:rFonts w:hint="eastAsia" w:ascii="华文新魏" w:eastAsia="华文新魏"/>
                <w:b/>
                <w:color w:val="000000" w:themeColor="text1"/>
                <w:sz w:val="28"/>
                <w:szCs w:val="28"/>
                <w14:textFill>
                  <w14:solidFill>
                    <w14:schemeClr w14:val="tx1"/>
                  </w14:solidFill>
                </w14:textFill>
              </w:rPr>
              <w:t>项目负责人</w:t>
            </w:r>
            <w:r>
              <w:rPr>
                <w:rFonts w:hint="eastAsia" w:ascii="仿宋" w:hAnsi="仿宋" w:eastAsia="仿宋"/>
                <w:b/>
                <w:color w:val="000000" w:themeColor="text1"/>
                <w:sz w:val="28"/>
                <w:szCs w:val="28"/>
                <w14:textFill>
                  <w14:solidFill>
                    <w14:schemeClr w14:val="tx1"/>
                  </w14:solidFill>
                </w14:textFill>
              </w:rPr>
              <w:t>）</w:t>
            </w:r>
          </w:p>
          <w:p>
            <w:pPr>
              <w:spacing w:line="320" w:lineRule="exact"/>
              <w:ind w:left="3513" w:hanging="3512"/>
              <w:rPr>
                <w:rFonts w:ascii="华文新魏" w:eastAsia="华文新魏"/>
                <w:b/>
                <w:color w:val="000000" w:themeColor="text1"/>
                <w:sz w:val="30"/>
                <w14:textFill>
                  <w14:solidFill>
                    <w14:schemeClr w14:val="tx1"/>
                  </w14:solidFill>
                </w14:textFill>
              </w:rPr>
            </w:pPr>
          </w:p>
          <w:p>
            <w:pPr>
              <w:spacing w:line="320" w:lineRule="exact"/>
              <w:ind w:left="84"/>
              <w:rPr>
                <w:rFonts w:ascii="华文新魏" w:eastAsia="华文新魏"/>
                <w:b/>
                <w:color w:val="000000" w:themeColor="text1"/>
                <w:sz w:val="30"/>
                <w14:textFill>
                  <w14:solidFill>
                    <w14:schemeClr w14:val="tx1"/>
                  </w14:solidFill>
                </w14:textFill>
              </w:rPr>
            </w:pPr>
          </w:p>
          <w:p>
            <w:pPr>
              <w:spacing w:line="320" w:lineRule="exact"/>
              <w:ind w:right="-6"/>
              <w:rPr>
                <w:rFonts w:ascii="华文新魏" w:eastAsia="华文新魏"/>
                <w:color w:val="000000" w:themeColor="text1"/>
                <w:sz w:val="28"/>
                <w:szCs w:val="28"/>
                <w14:textFill>
                  <w14:solidFill>
                    <w14:schemeClr w14:val="tx1"/>
                  </w14:solidFill>
                </w14:textFill>
              </w:rPr>
            </w:pPr>
            <w:r>
              <w:rPr>
                <w:rFonts w:hint="eastAsia" w:ascii="华文新魏" w:eastAsia="华文新魏"/>
                <w:b/>
                <w:color w:val="000000" w:themeColor="text1"/>
                <w:sz w:val="28"/>
                <w14:textFill>
                  <w14:solidFill>
                    <w14:schemeClr w14:val="tx1"/>
                  </w14:solidFill>
                </w14:textFill>
              </w:rPr>
              <w:t>中国注册会计师</w:t>
            </w:r>
            <w:r>
              <w:rPr>
                <w:rFonts w:hint="eastAsia" w:ascii="宋体" w:hAnsi="宋体"/>
                <w:b/>
                <w:color w:val="000000" w:themeColor="text1"/>
                <w:sz w:val="30"/>
                <w14:textFill>
                  <w14:solidFill>
                    <w14:schemeClr w14:val="tx1"/>
                  </w14:solidFill>
                </w14:textFill>
              </w:rPr>
              <w:t>：</w:t>
            </w:r>
          </w:p>
        </w:tc>
      </w:tr>
    </w:tbl>
    <w:p>
      <w:pPr>
        <w:spacing w:line="20" w:lineRule="exact"/>
        <w:rPr>
          <w:rFonts w:ascii="Times New Roman" w:hAnsi="Times New Roman" w:eastAsia="仿宋_GB2312"/>
          <w:color w:val="000000" w:themeColor="text1"/>
          <w:sz w:val="28"/>
          <w:szCs w:val="28"/>
          <w14:textFill>
            <w14:solidFill>
              <w14:schemeClr w14:val="tx1"/>
            </w14:solidFill>
          </w14:textFill>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2991162"/>
      <w:docPartObj>
        <w:docPartGallery w:val="autotext"/>
      </w:docPartObj>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6008"/>
    <w:rsid w:val="000127E7"/>
    <w:rsid w:val="00016BEC"/>
    <w:rsid w:val="00031879"/>
    <w:rsid w:val="00042818"/>
    <w:rsid w:val="000463BD"/>
    <w:rsid w:val="00051193"/>
    <w:rsid w:val="00060208"/>
    <w:rsid w:val="00061F36"/>
    <w:rsid w:val="000909F2"/>
    <w:rsid w:val="00092A58"/>
    <w:rsid w:val="000938EF"/>
    <w:rsid w:val="00094A36"/>
    <w:rsid w:val="000955CD"/>
    <w:rsid w:val="00095F3D"/>
    <w:rsid w:val="000A276A"/>
    <w:rsid w:val="000A330F"/>
    <w:rsid w:val="000A4627"/>
    <w:rsid w:val="000A65F4"/>
    <w:rsid w:val="000C1F1B"/>
    <w:rsid w:val="000C7546"/>
    <w:rsid w:val="000D1FDB"/>
    <w:rsid w:val="000D4295"/>
    <w:rsid w:val="000D4523"/>
    <w:rsid w:val="000D4C35"/>
    <w:rsid w:val="000D5C5E"/>
    <w:rsid w:val="000F322D"/>
    <w:rsid w:val="000F3492"/>
    <w:rsid w:val="000F45B6"/>
    <w:rsid w:val="000F5699"/>
    <w:rsid w:val="0012230B"/>
    <w:rsid w:val="00126AD9"/>
    <w:rsid w:val="0013380D"/>
    <w:rsid w:val="001363B7"/>
    <w:rsid w:val="001442B4"/>
    <w:rsid w:val="00144686"/>
    <w:rsid w:val="00146E59"/>
    <w:rsid w:val="00154457"/>
    <w:rsid w:val="00157670"/>
    <w:rsid w:val="00184100"/>
    <w:rsid w:val="00193221"/>
    <w:rsid w:val="0019566A"/>
    <w:rsid w:val="001A28F1"/>
    <w:rsid w:val="001A2D06"/>
    <w:rsid w:val="001A4760"/>
    <w:rsid w:val="001B33C3"/>
    <w:rsid w:val="001B4A1D"/>
    <w:rsid w:val="001C151B"/>
    <w:rsid w:val="001E1963"/>
    <w:rsid w:val="001E1F85"/>
    <w:rsid w:val="001E41F8"/>
    <w:rsid w:val="001F252F"/>
    <w:rsid w:val="0022690C"/>
    <w:rsid w:val="0023004E"/>
    <w:rsid w:val="00231692"/>
    <w:rsid w:val="002330F4"/>
    <w:rsid w:val="00234F33"/>
    <w:rsid w:val="002431C6"/>
    <w:rsid w:val="00246F25"/>
    <w:rsid w:val="00250DA4"/>
    <w:rsid w:val="002557D3"/>
    <w:rsid w:val="00260FCC"/>
    <w:rsid w:val="00273BCE"/>
    <w:rsid w:val="00276C81"/>
    <w:rsid w:val="00285604"/>
    <w:rsid w:val="00286EAF"/>
    <w:rsid w:val="00286FC6"/>
    <w:rsid w:val="00287338"/>
    <w:rsid w:val="00287778"/>
    <w:rsid w:val="0029376A"/>
    <w:rsid w:val="002A6087"/>
    <w:rsid w:val="002B3745"/>
    <w:rsid w:val="002D313E"/>
    <w:rsid w:val="002D612F"/>
    <w:rsid w:val="002E3398"/>
    <w:rsid w:val="002E4330"/>
    <w:rsid w:val="002E73F3"/>
    <w:rsid w:val="002F1550"/>
    <w:rsid w:val="002F4C38"/>
    <w:rsid w:val="002F5421"/>
    <w:rsid w:val="0030183E"/>
    <w:rsid w:val="00317E65"/>
    <w:rsid w:val="00320E35"/>
    <w:rsid w:val="00331E74"/>
    <w:rsid w:val="0033395A"/>
    <w:rsid w:val="00334D67"/>
    <w:rsid w:val="00336FF8"/>
    <w:rsid w:val="003416FA"/>
    <w:rsid w:val="00341D2A"/>
    <w:rsid w:val="00341EFE"/>
    <w:rsid w:val="00352F61"/>
    <w:rsid w:val="003542A6"/>
    <w:rsid w:val="003543C3"/>
    <w:rsid w:val="00354454"/>
    <w:rsid w:val="003607E2"/>
    <w:rsid w:val="00362BFE"/>
    <w:rsid w:val="00377534"/>
    <w:rsid w:val="00377B7E"/>
    <w:rsid w:val="00391C32"/>
    <w:rsid w:val="003A2E84"/>
    <w:rsid w:val="003A5624"/>
    <w:rsid w:val="003A57F0"/>
    <w:rsid w:val="003A719E"/>
    <w:rsid w:val="003B4E86"/>
    <w:rsid w:val="003B78E3"/>
    <w:rsid w:val="003D0B93"/>
    <w:rsid w:val="003D1325"/>
    <w:rsid w:val="003E5EE9"/>
    <w:rsid w:val="003F059B"/>
    <w:rsid w:val="003F5935"/>
    <w:rsid w:val="003F7ED0"/>
    <w:rsid w:val="00400669"/>
    <w:rsid w:val="00400901"/>
    <w:rsid w:val="00411B53"/>
    <w:rsid w:val="00415036"/>
    <w:rsid w:val="004165DF"/>
    <w:rsid w:val="00423016"/>
    <w:rsid w:val="0044049C"/>
    <w:rsid w:val="00443DA4"/>
    <w:rsid w:val="00446BB1"/>
    <w:rsid w:val="00452358"/>
    <w:rsid w:val="00456A81"/>
    <w:rsid w:val="00460B1D"/>
    <w:rsid w:val="004734E0"/>
    <w:rsid w:val="0047423C"/>
    <w:rsid w:val="00480B95"/>
    <w:rsid w:val="00482038"/>
    <w:rsid w:val="00483467"/>
    <w:rsid w:val="00484941"/>
    <w:rsid w:val="00496BBF"/>
    <w:rsid w:val="00496E45"/>
    <w:rsid w:val="004A3527"/>
    <w:rsid w:val="004A6185"/>
    <w:rsid w:val="004B1AB7"/>
    <w:rsid w:val="004B28C9"/>
    <w:rsid w:val="004B4FAD"/>
    <w:rsid w:val="004B5731"/>
    <w:rsid w:val="004B5997"/>
    <w:rsid w:val="004B6FBD"/>
    <w:rsid w:val="004C47F4"/>
    <w:rsid w:val="004D1C44"/>
    <w:rsid w:val="004D7334"/>
    <w:rsid w:val="004E1C31"/>
    <w:rsid w:val="004E56AB"/>
    <w:rsid w:val="004F3592"/>
    <w:rsid w:val="00503F71"/>
    <w:rsid w:val="00504BFB"/>
    <w:rsid w:val="00523022"/>
    <w:rsid w:val="00532A5C"/>
    <w:rsid w:val="00533D6A"/>
    <w:rsid w:val="00545CED"/>
    <w:rsid w:val="00547619"/>
    <w:rsid w:val="00547EB3"/>
    <w:rsid w:val="0055103A"/>
    <w:rsid w:val="00554F74"/>
    <w:rsid w:val="0055681D"/>
    <w:rsid w:val="00563E00"/>
    <w:rsid w:val="0056512D"/>
    <w:rsid w:val="00565F6D"/>
    <w:rsid w:val="0058362F"/>
    <w:rsid w:val="005877A9"/>
    <w:rsid w:val="005913CA"/>
    <w:rsid w:val="00591E59"/>
    <w:rsid w:val="005A269B"/>
    <w:rsid w:val="005A763A"/>
    <w:rsid w:val="005B7240"/>
    <w:rsid w:val="005B7B86"/>
    <w:rsid w:val="005E1DA9"/>
    <w:rsid w:val="005E5706"/>
    <w:rsid w:val="005F3232"/>
    <w:rsid w:val="005F711C"/>
    <w:rsid w:val="00601DC3"/>
    <w:rsid w:val="00601F26"/>
    <w:rsid w:val="00601F31"/>
    <w:rsid w:val="00614D7C"/>
    <w:rsid w:val="00615FF6"/>
    <w:rsid w:val="00617799"/>
    <w:rsid w:val="006210D5"/>
    <w:rsid w:val="00621A8E"/>
    <w:rsid w:val="0062796A"/>
    <w:rsid w:val="00635406"/>
    <w:rsid w:val="0063783F"/>
    <w:rsid w:val="006417FE"/>
    <w:rsid w:val="00642E9F"/>
    <w:rsid w:val="00651B02"/>
    <w:rsid w:val="006578AD"/>
    <w:rsid w:val="0067594B"/>
    <w:rsid w:val="00676913"/>
    <w:rsid w:val="0068098A"/>
    <w:rsid w:val="00681763"/>
    <w:rsid w:val="006855F6"/>
    <w:rsid w:val="0069023C"/>
    <w:rsid w:val="006905BE"/>
    <w:rsid w:val="006912FD"/>
    <w:rsid w:val="00691A52"/>
    <w:rsid w:val="006A1666"/>
    <w:rsid w:val="006B0BCE"/>
    <w:rsid w:val="006B2680"/>
    <w:rsid w:val="006B5914"/>
    <w:rsid w:val="006B6F92"/>
    <w:rsid w:val="006C004B"/>
    <w:rsid w:val="006C3281"/>
    <w:rsid w:val="006C4341"/>
    <w:rsid w:val="006C6A90"/>
    <w:rsid w:val="006D11E7"/>
    <w:rsid w:val="006E5A25"/>
    <w:rsid w:val="006F4A4A"/>
    <w:rsid w:val="00700432"/>
    <w:rsid w:val="00710A61"/>
    <w:rsid w:val="00731553"/>
    <w:rsid w:val="00733271"/>
    <w:rsid w:val="007378CC"/>
    <w:rsid w:val="0074347B"/>
    <w:rsid w:val="00745E94"/>
    <w:rsid w:val="007523A1"/>
    <w:rsid w:val="00762387"/>
    <w:rsid w:val="00764304"/>
    <w:rsid w:val="00765B90"/>
    <w:rsid w:val="00775C78"/>
    <w:rsid w:val="0078067F"/>
    <w:rsid w:val="007810A4"/>
    <w:rsid w:val="00782148"/>
    <w:rsid w:val="00787618"/>
    <w:rsid w:val="007A3E16"/>
    <w:rsid w:val="007A3FAE"/>
    <w:rsid w:val="007C48F5"/>
    <w:rsid w:val="007F13F1"/>
    <w:rsid w:val="007F22F6"/>
    <w:rsid w:val="007F327E"/>
    <w:rsid w:val="00804801"/>
    <w:rsid w:val="00811B3D"/>
    <w:rsid w:val="00822785"/>
    <w:rsid w:val="008300B1"/>
    <w:rsid w:val="00844A89"/>
    <w:rsid w:val="00844E3F"/>
    <w:rsid w:val="0084730C"/>
    <w:rsid w:val="008475DC"/>
    <w:rsid w:val="00851E10"/>
    <w:rsid w:val="00852D37"/>
    <w:rsid w:val="00853CA6"/>
    <w:rsid w:val="00857818"/>
    <w:rsid w:val="0086728C"/>
    <w:rsid w:val="00882D7C"/>
    <w:rsid w:val="00894463"/>
    <w:rsid w:val="00895125"/>
    <w:rsid w:val="0089731E"/>
    <w:rsid w:val="008B3CFD"/>
    <w:rsid w:val="008C21DE"/>
    <w:rsid w:val="008C5155"/>
    <w:rsid w:val="008D48E3"/>
    <w:rsid w:val="008E6710"/>
    <w:rsid w:val="008E6764"/>
    <w:rsid w:val="008F1C12"/>
    <w:rsid w:val="008F7F24"/>
    <w:rsid w:val="009005D9"/>
    <w:rsid w:val="009023AD"/>
    <w:rsid w:val="0092093D"/>
    <w:rsid w:val="00921766"/>
    <w:rsid w:val="009467FF"/>
    <w:rsid w:val="00954916"/>
    <w:rsid w:val="009565FC"/>
    <w:rsid w:val="00960861"/>
    <w:rsid w:val="009652C2"/>
    <w:rsid w:val="00982B92"/>
    <w:rsid w:val="00987CCD"/>
    <w:rsid w:val="00991AB4"/>
    <w:rsid w:val="00991DF0"/>
    <w:rsid w:val="00994B3E"/>
    <w:rsid w:val="00997BCF"/>
    <w:rsid w:val="009A2B26"/>
    <w:rsid w:val="009B530B"/>
    <w:rsid w:val="009B577D"/>
    <w:rsid w:val="009C0EC3"/>
    <w:rsid w:val="009C3790"/>
    <w:rsid w:val="009C46FA"/>
    <w:rsid w:val="009C4CBD"/>
    <w:rsid w:val="009D09E0"/>
    <w:rsid w:val="009D4991"/>
    <w:rsid w:val="009D6187"/>
    <w:rsid w:val="009D7AB7"/>
    <w:rsid w:val="009E2A19"/>
    <w:rsid w:val="009E549B"/>
    <w:rsid w:val="009E7DC5"/>
    <w:rsid w:val="00A01452"/>
    <w:rsid w:val="00A02B32"/>
    <w:rsid w:val="00A14FDB"/>
    <w:rsid w:val="00A20B14"/>
    <w:rsid w:val="00A220D6"/>
    <w:rsid w:val="00A256FC"/>
    <w:rsid w:val="00A305EE"/>
    <w:rsid w:val="00A3454C"/>
    <w:rsid w:val="00A34711"/>
    <w:rsid w:val="00A34F1E"/>
    <w:rsid w:val="00A4370E"/>
    <w:rsid w:val="00A566C9"/>
    <w:rsid w:val="00A5710F"/>
    <w:rsid w:val="00A6210F"/>
    <w:rsid w:val="00A63004"/>
    <w:rsid w:val="00A65397"/>
    <w:rsid w:val="00A66ABE"/>
    <w:rsid w:val="00A71E6D"/>
    <w:rsid w:val="00A72418"/>
    <w:rsid w:val="00A8485A"/>
    <w:rsid w:val="00A87045"/>
    <w:rsid w:val="00A9121C"/>
    <w:rsid w:val="00A91284"/>
    <w:rsid w:val="00A95D8B"/>
    <w:rsid w:val="00AD6E2A"/>
    <w:rsid w:val="00AE0555"/>
    <w:rsid w:val="00AF0415"/>
    <w:rsid w:val="00AF0658"/>
    <w:rsid w:val="00AF0920"/>
    <w:rsid w:val="00AF2327"/>
    <w:rsid w:val="00AF3A3F"/>
    <w:rsid w:val="00B04038"/>
    <w:rsid w:val="00B05A4A"/>
    <w:rsid w:val="00B1024F"/>
    <w:rsid w:val="00B154A5"/>
    <w:rsid w:val="00B20C0F"/>
    <w:rsid w:val="00B22940"/>
    <w:rsid w:val="00B2337A"/>
    <w:rsid w:val="00B305B4"/>
    <w:rsid w:val="00B312F5"/>
    <w:rsid w:val="00B338F9"/>
    <w:rsid w:val="00B33E67"/>
    <w:rsid w:val="00B4011B"/>
    <w:rsid w:val="00B414B5"/>
    <w:rsid w:val="00B4549A"/>
    <w:rsid w:val="00B501F6"/>
    <w:rsid w:val="00B50E7C"/>
    <w:rsid w:val="00B5226A"/>
    <w:rsid w:val="00B66EF3"/>
    <w:rsid w:val="00B97F02"/>
    <w:rsid w:val="00BA26F3"/>
    <w:rsid w:val="00BA31D2"/>
    <w:rsid w:val="00BA788A"/>
    <w:rsid w:val="00BB532E"/>
    <w:rsid w:val="00BC76F2"/>
    <w:rsid w:val="00BC7ED9"/>
    <w:rsid w:val="00BD7E9A"/>
    <w:rsid w:val="00BF0E10"/>
    <w:rsid w:val="00BF18D5"/>
    <w:rsid w:val="00BF70AC"/>
    <w:rsid w:val="00C00CB8"/>
    <w:rsid w:val="00C02DA9"/>
    <w:rsid w:val="00C07937"/>
    <w:rsid w:val="00C13D80"/>
    <w:rsid w:val="00C175CA"/>
    <w:rsid w:val="00C2045C"/>
    <w:rsid w:val="00C20A6F"/>
    <w:rsid w:val="00C35565"/>
    <w:rsid w:val="00C35F75"/>
    <w:rsid w:val="00C53D86"/>
    <w:rsid w:val="00C54B04"/>
    <w:rsid w:val="00C6133E"/>
    <w:rsid w:val="00C6356D"/>
    <w:rsid w:val="00C71FAB"/>
    <w:rsid w:val="00C766F9"/>
    <w:rsid w:val="00C81C71"/>
    <w:rsid w:val="00CA5107"/>
    <w:rsid w:val="00CA56C5"/>
    <w:rsid w:val="00CB1E47"/>
    <w:rsid w:val="00CB2317"/>
    <w:rsid w:val="00CB372D"/>
    <w:rsid w:val="00CB42C3"/>
    <w:rsid w:val="00CC11F0"/>
    <w:rsid w:val="00CC1F35"/>
    <w:rsid w:val="00CC27C8"/>
    <w:rsid w:val="00CC299C"/>
    <w:rsid w:val="00CC3599"/>
    <w:rsid w:val="00CC504D"/>
    <w:rsid w:val="00CD17BC"/>
    <w:rsid w:val="00CD3041"/>
    <w:rsid w:val="00CD3970"/>
    <w:rsid w:val="00D05EE0"/>
    <w:rsid w:val="00D07E6E"/>
    <w:rsid w:val="00D137FD"/>
    <w:rsid w:val="00D22C6A"/>
    <w:rsid w:val="00D45324"/>
    <w:rsid w:val="00D46386"/>
    <w:rsid w:val="00D50A25"/>
    <w:rsid w:val="00D57C37"/>
    <w:rsid w:val="00D735D9"/>
    <w:rsid w:val="00D75FE4"/>
    <w:rsid w:val="00D8032D"/>
    <w:rsid w:val="00D872C9"/>
    <w:rsid w:val="00D872D0"/>
    <w:rsid w:val="00D879A2"/>
    <w:rsid w:val="00DA27F0"/>
    <w:rsid w:val="00DB097D"/>
    <w:rsid w:val="00DC61C2"/>
    <w:rsid w:val="00DD35DB"/>
    <w:rsid w:val="00DE2491"/>
    <w:rsid w:val="00DE312B"/>
    <w:rsid w:val="00DF1DE5"/>
    <w:rsid w:val="00DF4BFC"/>
    <w:rsid w:val="00E01A48"/>
    <w:rsid w:val="00E04CA8"/>
    <w:rsid w:val="00E058B5"/>
    <w:rsid w:val="00E12AC2"/>
    <w:rsid w:val="00E155E1"/>
    <w:rsid w:val="00E16536"/>
    <w:rsid w:val="00E205FD"/>
    <w:rsid w:val="00E22EA2"/>
    <w:rsid w:val="00E302A1"/>
    <w:rsid w:val="00E32B49"/>
    <w:rsid w:val="00E32CEA"/>
    <w:rsid w:val="00E433E8"/>
    <w:rsid w:val="00E45150"/>
    <w:rsid w:val="00E4642D"/>
    <w:rsid w:val="00E4746D"/>
    <w:rsid w:val="00E54DD7"/>
    <w:rsid w:val="00E56A2A"/>
    <w:rsid w:val="00E6164A"/>
    <w:rsid w:val="00E758BE"/>
    <w:rsid w:val="00E80EB6"/>
    <w:rsid w:val="00E82DF9"/>
    <w:rsid w:val="00E8431F"/>
    <w:rsid w:val="00E92963"/>
    <w:rsid w:val="00E944C0"/>
    <w:rsid w:val="00EA3793"/>
    <w:rsid w:val="00EA4366"/>
    <w:rsid w:val="00EC097B"/>
    <w:rsid w:val="00ED577D"/>
    <w:rsid w:val="00EE6257"/>
    <w:rsid w:val="00EE68EA"/>
    <w:rsid w:val="00EF184D"/>
    <w:rsid w:val="00EF528E"/>
    <w:rsid w:val="00F0477F"/>
    <w:rsid w:val="00F1786E"/>
    <w:rsid w:val="00F22F9B"/>
    <w:rsid w:val="00F24C05"/>
    <w:rsid w:val="00F26462"/>
    <w:rsid w:val="00F31B5E"/>
    <w:rsid w:val="00F37A52"/>
    <w:rsid w:val="00F37A7E"/>
    <w:rsid w:val="00F431D8"/>
    <w:rsid w:val="00F43E98"/>
    <w:rsid w:val="00F61229"/>
    <w:rsid w:val="00F63BB8"/>
    <w:rsid w:val="00F64CE5"/>
    <w:rsid w:val="00F72338"/>
    <w:rsid w:val="00F84273"/>
    <w:rsid w:val="00F9706B"/>
    <w:rsid w:val="00FA1DB9"/>
    <w:rsid w:val="00FA38F1"/>
    <w:rsid w:val="00FB3FF2"/>
    <w:rsid w:val="00FC129D"/>
    <w:rsid w:val="00FC28CC"/>
    <w:rsid w:val="00FC32CC"/>
    <w:rsid w:val="00FD3E88"/>
    <w:rsid w:val="00FE1194"/>
    <w:rsid w:val="00FE4CAA"/>
    <w:rsid w:val="00FE6224"/>
    <w:rsid w:val="00FF00F0"/>
    <w:rsid w:val="00FF01BB"/>
    <w:rsid w:val="00FF5F1C"/>
    <w:rsid w:val="1CC10BCD"/>
    <w:rsid w:val="360C3A1F"/>
    <w:rsid w:val="5DCD855C"/>
    <w:rsid w:val="67EF3D70"/>
    <w:rsid w:val="7F67C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Indent"/>
    <w:basedOn w:val="1"/>
    <w:link w:val="15"/>
    <w:qFormat/>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9"/>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页眉 Char"/>
    <w:basedOn w:val="10"/>
    <w:link w:val="6"/>
    <w:qFormat/>
    <w:uiPriority w:val="0"/>
    <w:rPr>
      <w:rFonts w:asciiTheme="minorHAnsi" w:hAnsiTheme="minorHAnsi" w:eastAsiaTheme="minorEastAsia" w:cstheme="minorBidi"/>
      <w:kern w:val="2"/>
      <w:sz w:val="18"/>
      <w:szCs w:val="18"/>
    </w:rPr>
  </w:style>
  <w:style w:type="character" w:customStyle="1" w:styleId="13">
    <w:name w:val="页脚 Char"/>
    <w:basedOn w:val="10"/>
    <w:link w:val="5"/>
    <w:qFormat/>
    <w:uiPriority w:val="99"/>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正文文本缩进 Char"/>
    <w:basedOn w:val="10"/>
    <w:link w:val="3"/>
    <w:qFormat/>
    <w:uiPriority w:val="0"/>
    <w:rPr>
      <w:kern w:val="2"/>
      <w:sz w:val="18"/>
      <w:szCs w:val="24"/>
    </w:rPr>
  </w:style>
  <w:style w:type="character" w:customStyle="1" w:styleId="16">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7"/>
    <w:qFormat/>
    <w:uiPriority w:val="0"/>
    <w:rPr>
      <w:rFonts w:asciiTheme="minorHAnsi" w:hAnsiTheme="minorHAnsi" w:eastAsiaTheme="minorEastAsia" w:cstheme="minorBidi"/>
      <w:b/>
      <w:bCs/>
      <w:kern w:val="2"/>
      <w:sz w:val="21"/>
      <w:szCs w:val="24"/>
    </w:rPr>
  </w:style>
  <w:style w:type="paragraph" w:customStyle="1" w:styleId="18">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820</Words>
  <Characters>4674</Characters>
  <Lines>38</Lines>
  <Paragraphs>10</Paragraphs>
  <TotalTime>1792</TotalTime>
  <ScaleCrop>false</ScaleCrop>
  <LinksUpToDate>false</LinksUpToDate>
  <CharactersWithSpaces>5484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2022-08-19T19:57:00Z</dcterms:created>
  <dc:creator>Dumpling</dc:creator>
  <cp:lastModifiedBy>Administrator</cp:lastModifiedBy>
  <cp:lastPrinted>2025-04-24T23:40:00Z</cp:lastPrinted>
  <dcterms:modified xsi:type="dcterms:W3CDTF">2025-05-28T07:01:54Z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DBDAA557E3AB4E19815F85778EA03EFE</vt:lpwstr>
  </property>
</Properties>
</file>