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Times New Roman" w:hAnsi="Times New Roman" w:eastAsia="华文中宋" w:cs="Times New Roman"/>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eastAsia="华文中宋"/>
                                <w:sz w:val="16"/>
                                <w:szCs w:val="16"/>
                              </w:rPr>
                              <w:t>电子邮箱：</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Times New Roman" w:hAnsi="Times New Roman" w:eastAsia="华文中宋" w:cs="Times New Roman"/>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eastAsia="华文中宋"/>
                          <w:sz w:val="16"/>
                          <w:szCs w:val="16"/>
                        </w:rPr>
                        <w:t>电子邮箱：</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w:t>
      </w:r>
      <w:r>
        <w:rPr>
          <w:rFonts w:hint="eastAsia" w:ascii="Times New Roman" w:hAnsi="Times New Roman" w:eastAsia="仿宋_GB2312" w:cs="Times New Roman"/>
          <w:color w:val="000000"/>
          <w:sz w:val="28"/>
          <w:szCs w:val="28"/>
        </w:rPr>
        <w:t>25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054</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bookmarkStart w:id="7" w:name="_GoBack"/>
      <w:bookmarkEnd w:id="7"/>
    </w:p>
    <w:p>
      <w:pPr>
        <w:spacing w:line="500" w:lineRule="exact"/>
        <w:jc w:val="center"/>
        <w:rPr>
          <w:rFonts w:ascii="Times New Roman" w:hAnsi="Times New Roman" w:eastAsia="宋体" w:cs="Times New Roman"/>
          <w:b/>
          <w:color w:val="000000" w:themeColor="text1"/>
          <w:sz w:val="30"/>
          <w:szCs w:val="30"/>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t>关于对广州市番禺区大龙街社工服务站</w:t>
      </w:r>
    </w:p>
    <w:p>
      <w:pPr>
        <w:spacing w:line="500" w:lineRule="exact"/>
        <w:jc w:val="center"/>
        <w:rPr>
          <w:rFonts w:ascii="Times New Roman" w:hAnsi="Times New Roman" w:eastAsia="宋体" w:cs="Times New Roman"/>
          <w:b/>
          <w:color w:val="000000" w:themeColor="text1"/>
          <w:sz w:val="30"/>
          <w:szCs w:val="30"/>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t>2024年8月25日至2025年2月24日财务管理情况评估报告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我们接受委托，对广州市番禺区大龙街社工服务站（以下简称大龙社工站）2024年8月25日至2025年2月24日财务管理情况进行评估。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大龙社工站及其承接机构的责任，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广州市人民政府办公厅关于印发广州市社工服务站管理办法的通知》（穗府办〔2023〕7号）、《广州市民政局关于印发〈广州市社工服务站管理办法〉有关配套文件的通知》（穗民〔2023〕97号）及广州市番禺区人民政府大龙街道办事处与社工服务站承接机构签订的购买服务协议中相关约定，对大龙社工站的财务管理情况进行审核，并出具财务评估报告。</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大龙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59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一、大龙社工站基本情况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承接机构名称：广州市番禺区阳光天使社会工作服务中心。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承接机构法定代表人：</w:t>
      </w:r>
      <w:r>
        <w:rPr>
          <w:rFonts w:hint="eastAsia" w:ascii="Times New Roman" w:hAnsi="Times New Roman" w:eastAsia="仿宋_GB2312"/>
          <w:color w:val="000000" w:themeColor="text1"/>
          <w:sz w:val="28"/>
          <w:szCs w:val="28"/>
          <w14:textFill>
            <w14:solidFill>
              <w14:schemeClr w14:val="tx1"/>
            </w14:solidFill>
          </w14:textFill>
        </w:rPr>
        <w:t>黄佩仪。</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招标采购周期：2024年8月25日至2027年8月24日。</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z w:val="28"/>
          <w:szCs w:val="28"/>
        </w:rPr>
        <w:t>2024年8月25日至2025年8月24日</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w:t>
      </w:r>
      <w:r>
        <w:rPr>
          <w:rFonts w:hint="eastAsia" w:ascii="Times New Roman" w:hAnsi="Times New Roman" w:eastAsia="仿宋_GB2312" w:cs="Times New Roman"/>
          <w:sz w:val="28"/>
          <w:szCs w:val="28"/>
        </w:rPr>
        <w:t>2024年8月25日至2025年8月24日</w:t>
      </w:r>
      <w:r>
        <w:rPr>
          <w:rFonts w:ascii="Times New Roman" w:hAnsi="Times New Roman" w:eastAsia="仿宋_GB2312" w:cs="Times New Roman"/>
          <w:sz w:val="28"/>
          <w:szCs w:val="28"/>
        </w:rPr>
        <w:t>的服务经费总计2,400,000.00元</w:t>
      </w:r>
      <w:r>
        <w:rPr>
          <w:rFonts w:hint="eastAsia" w:ascii="Times New Roman" w:hAnsi="Times New Roman" w:eastAsia="仿宋_GB2312" w:cs="Times New Roman"/>
          <w:sz w:val="28"/>
          <w:szCs w:val="28"/>
        </w:rPr>
        <w:t>，分为三期拨付。在协议签订生效之日起30个工作日内拨付年度项目经费的55%即1,320,000.00元，年度中期评估为合格以上且没有违反合同规定的拨付年度项目经费的40%即960,000.00元，年度末期评估为合格以上且没有违反合同规定的拨付年度项目经费的5%即120,000.00元</w:t>
      </w:r>
      <w:r>
        <w:rPr>
          <w:rFonts w:ascii="Times New Roman" w:hAnsi="Times New Roman" w:eastAsia="仿宋_GB2312" w:cs="Times New Roman"/>
          <w:sz w:val="28"/>
          <w:szCs w:val="28"/>
        </w:rPr>
        <w:t>。</w:t>
      </w:r>
    </w:p>
    <w:p>
      <w:pPr>
        <w:spacing w:line="59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二、大龙社工站财务管理制度执行情况</w:t>
      </w:r>
    </w:p>
    <w:p>
      <w:pPr>
        <w:spacing w:line="590" w:lineRule="exact"/>
        <w:ind w:firstLine="552" w:firstLineChars="200"/>
        <w:rPr>
          <w:rFonts w:ascii="Times New Roman" w:hAnsi="Times New Roman" w:eastAsia="仿宋" w:cs="Times New Roman"/>
          <w:spacing w:val="-2"/>
          <w:sz w:val="28"/>
          <w:szCs w:val="28"/>
        </w:rPr>
      </w:pPr>
      <w:r>
        <w:rPr>
          <w:rFonts w:hint="eastAsia" w:ascii="Times New Roman" w:hAnsi="Times New Roman" w:eastAsia="仿宋" w:cs="Times New Roman"/>
          <w:spacing w:val="-2"/>
          <w:sz w:val="28"/>
          <w:szCs w:val="28"/>
        </w:rPr>
        <w:t>㈠非营利组织会计制度的执行情况</w:t>
      </w:r>
    </w:p>
    <w:p>
      <w:pPr>
        <w:spacing w:line="590" w:lineRule="exact"/>
        <w:ind w:firstLine="552" w:firstLineChars="200"/>
        <w:rPr>
          <w:rFonts w:ascii="Times New Roman" w:hAnsi="Times New Roman" w:eastAsia="仿宋" w:cs="Times New Roman"/>
          <w:spacing w:val="-2"/>
          <w:sz w:val="28"/>
          <w:szCs w:val="28"/>
        </w:rPr>
      </w:pPr>
      <w:r>
        <w:rPr>
          <w:rFonts w:hint="eastAsia" w:ascii="Times New Roman" w:hAnsi="Times New Roman" w:eastAsia="仿宋" w:cs="Times New Roman"/>
          <w:spacing w:val="-2"/>
          <w:sz w:val="28"/>
          <w:szCs w:val="28"/>
        </w:rPr>
        <w:t>经审核，大龙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90" w:lineRule="exact"/>
        <w:ind w:firstLine="552" w:firstLineChars="200"/>
        <w:rPr>
          <w:rFonts w:ascii="Times New Roman" w:hAnsi="Times New Roman" w:eastAsia="仿宋" w:cs="Times New Roman"/>
          <w:spacing w:val="-2"/>
          <w:sz w:val="28"/>
          <w:szCs w:val="28"/>
        </w:rPr>
      </w:pPr>
      <w:r>
        <w:rPr>
          <w:rFonts w:hint="eastAsia" w:ascii="Times New Roman" w:hAnsi="Times New Roman" w:eastAsia="仿宋" w:cs="Times New Roman"/>
          <w:spacing w:val="-2"/>
          <w:sz w:val="28"/>
          <w:szCs w:val="28"/>
        </w:rPr>
        <w:t>㈡财务监管、风控制度的执行情况</w:t>
      </w:r>
    </w:p>
    <w:p>
      <w:pPr>
        <w:spacing w:line="590" w:lineRule="exact"/>
        <w:ind w:firstLine="552" w:firstLineChars="200"/>
        <w:rPr>
          <w:rFonts w:ascii="Times New Roman" w:hAnsi="Times New Roman" w:eastAsia="仿宋" w:cs="Times New Roman"/>
          <w:spacing w:val="-2"/>
          <w:sz w:val="28"/>
          <w:szCs w:val="28"/>
        </w:rPr>
      </w:pPr>
      <w:r>
        <w:rPr>
          <w:rFonts w:hint="eastAsia" w:ascii="Times New Roman" w:hAnsi="Times New Roman" w:eastAsia="仿宋" w:cs="Times New Roman"/>
          <w:spacing w:val="-2"/>
          <w:sz w:val="28"/>
          <w:szCs w:val="28"/>
        </w:rPr>
        <w:t>１、</w:t>
      </w:r>
      <w:r>
        <w:rPr>
          <w:rFonts w:hint="eastAsia" w:ascii="Times New Roman" w:hAnsi="Times New Roman" w:eastAsia="仿宋" w:cs="Times New Roman"/>
          <w:color w:val="000000" w:themeColor="text1"/>
          <w:sz w:val="28"/>
          <w:szCs w:val="28"/>
          <w14:textFill>
            <w14:solidFill>
              <w14:schemeClr w14:val="tx1"/>
            </w14:solidFill>
          </w14:textFill>
        </w:rPr>
        <w:t>承接机构</w:t>
      </w:r>
      <w:r>
        <w:rPr>
          <w:rFonts w:hint="eastAsia" w:ascii="Times New Roman" w:hAnsi="Times New Roman" w:eastAsia="仿宋_GB2312"/>
          <w:color w:val="000000" w:themeColor="text1"/>
          <w:sz w:val="28"/>
          <w:szCs w:val="28"/>
          <w14:textFill>
            <w14:solidFill>
              <w14:schemeClr w14:val="tx1"/>
            </w14:solidFill>
          </w14:textFill>
        </w:rPr>
        <w:t>广州市阳光天使社会工作服务中心</w:t>
      </w:r>
      <w:r>
        <w:rPr>
          <w:rFonts w:hint="eastAsia" w:ascii="仿宋" w:hAnsi="仿宋" w:eastAsia="仿宋"/>
          <w:color w:val="000000" w:themeColor="text1"/>
          <w:sz w:val="28"/>
          <w:szCs w:val="28"/>
          <w14:textFill>
            <w14:solidFill>
              <w14:schemeClr w14:val="tx1"/>
            </w14:solidFill>
          </w14:textFill>
        </w:rPr>
        <w:t>根据自身特点建立了《财务监管、风险防控制度》《岗位职责》《财务报销制度及报销流程》</w:t>
      </w:r>
      <w:r>
        <w:rPr>
          <w:rFonts w:hint="eastAsia" w:eastAsia="仿宋"/>
          <w:color w:val="000000" w:themeColor="text1"/>
          <w:sz w:val="28"/>
          <w:szCs w:val="28"/>
          <w14:textFill>
            <w14:solidFill>
              <w14:schemeClr w14:val="tx1"/>
            </w14:solidFill>
          </w14:textFill>
        </w:rPr>
        <w:t>《物资管理制度》《重大事项报备规定》</w:t>
      </w:r>
      <w:r>
        <w:rPr>
          <w:rFonts w:hint="eastAsia" w:ascii="仿宋" w:hAnsi="仿宋" w:eastAsia="仿宋"/>
          <w:color w:val="000000" w:themeColor="text1"/>
          <w:sz w:val="28"/>
          <w:szCs w:val="28"/>
          <w14:textFill>
            <w14:solidFill>
              <w14:schemeClr w14:val="tx1"/>
            </w14:solidFill>
          </w14:textFill>
        </w:rPr>
        <w:t>等财务监管、风险方面控制制度，</w:t>
      </w:r>
      <w:r>
        <w:rPr>
          <w:rFonts w:hint="eastAsia" w:ascii="Times New Roman" w:hAnsi="Times New Roman" w:eastAsia="仿宋" w:cs="Times New Roman"/>
          <w:spacing w:val="-2"/>
          <w:sz w:val="28"/>
          <w:szCs w:val="28"/>
        </w:rPr>
        <w:t>大龙社工站在实际工作中按相关规定编制“大龙预算执行情况表”，在经费报销和物资采购等方面均能执行承接机构制度规定的程序、权限,但部分审批签名不齐，详见本报告第九点存在问题及建议。</w:t>
      </w:r>
    </w:p>
    <w:p>
      <w:pPr>
        <w:spacing w:line="630" w:lineRule="exact"/>
        <w:ind w:firstLine="552" w:firstLineChars="200"/>
        <w:rPr>
          <w:rFonts w:ascii="Times New Roman" w:hAnsi="Times New Roman" w:eastAsia="仿宋" w:cs="Times New Roman"/>
          <w:spacing w:val="-2"/>
          <w:sz w:val="28"/>
          <w:szCs w:val="28"/>
        </w:rPr>
      </w:pPr>
      <w:r>
        <w:rPr>
          <w:rFonts w:hint="eastAsia" w:ascii="Times New Roman" w:hAnsi="Times New Roman" w:eastAsia="仿宋" w:cs="Times New Roman"/>
          <w:spacing w:val="-2"/>
          <w:sz w:val="28"/>
          <w:szCs w:val="28"/>
        </w:rPr>
        <w:t>２、大龙社工站按区域对固定资产进行管理，定期盘点。</w:t>
      </w:r>
    </w:p>
    <w:p>
      <w:pPr>
        <w:spacing w:line="630" w:lineRule="exact"/>
        <w:ind w:firstLine="552" w:firstLineChars="200"/>
        <w:rPr>
          <w:rFonts w:ascii="Times New Roman" w:hAnsi="Times New Roman" w:eastAsia="仿宋_GB2312" w:cs="Times New Roman"/>
          <w:sz w:val="28"/>
          <w:szCs w:val="28"/>
        </w:rPr>
      </w:pPr>
      <w:r>
        <w:rPr>
          <w:rFonts w:hint="eastAsia" w:ascii="Times New Roman" w:hAnsi="Times New Roman" w:eastAsia="仿宋" w:cs="Times New Roman"/>
          <w:spacing w:val="-2"/>
          <w:sz w:val="28"/>
          <w:szCs w:val="28"/>
        </w:rPr>
        <w:t>３、承接机构广州市阳光天使社会工作服务中心已按要求编制服务期内大龙</w:t>
      </w:r>
      <w:r>
        <w:rPr>
          <w:rFonts w:hint="eastAsia" w:ascii="Times New Roman" w:hAnsi="Times New Roman" w:eastAsia="仿宋_GB2312" w:cs="Times New Roman"/>
          <w:sz w:val="28"/>
          <w:szCs w:val="28"/>
        </w:rPr>
        <w:t>社工站的财务自评报告；中心2023年度财务报表已经广东金铭至正会计师事务所有限公司审计，并取得金铭查字（2024）第0714号无保留意见审计报告；2023年度企业所得税纳税情况已经广东金铭至正会计师事务所有限公司复核，并取得金铭代字（2024）第DL0521号汇算清缴纳税调整报告。截止报告日，中心暂未出具2024年度审计报告及汇算清缴纳税调整报告</w:t>
      </w:r>
      <w:r>
        <w:rPr>
          <w:rFonts w:ascii="Times New Roman" w:hAnsi="Times New Roman" w:eastAsia="仿宋_GB2312" w:cs="Times New Roman"/>
          <w:sz w:val="28"/>
          <w:szCs w:val="28"/>
        </w:rPr>
        <w:t>。</w:t>
      </w:r>
    </w:p>
    <w:p>
      <w:pPr>
        <w:spacing w:line="63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三、大龙社工站人员配备情况</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广州市阳光天使社会工作服务中心严格贯彻不相容职务分离原则，配置财务人员2名，分别担任会计、出纳岗位，负责包括大龙社工站在内的中心财务工作，其中会计邱强发已取得会计初级专业技术资格证。</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经查阅，会计邱强发和出纳黄秋玲均已完成2024年度会计专业技术人员继续教育学习任务，且相应工资、五险一金等薪金支出在机构作为运营管理费用项目核算，未计入社工人员经费支出，符合要求。</w:t>
      </w:r>
    </w:p>
    <w:p>
      <w:pPr>
        <w:spacing w:line="63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四、大龙社工站服务经费支出情况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阳光天使社会工作服务中心根据《广州市人民政府办公厅关于印发广州市社工服务站管理办法的通知》（穗府办〔2023〕7号）、《广州市民政局关于印发〈广州市社工服务站管理办法〉有关配套文件的通知》（穗民〔2023〕97号）等相关规定，结合实际情况建立了《财务报销制度及报销流程》，明确了财务经费支出的审核程序及支出权限。制度规定： 按规定的审批程序报批，经手人按规定填写《费用报销》——主管项目负责人审核签字——区域服务总监或机构行政总监审核签字——财务复核——总干事或理事（理事会）审批——财务部办理报销。项目主任审批额度为300元（含300元），300元以上至1000元（含1000元）由区域服务总监或机构行政总监审批，1000元以上由总干事或理事（理事会）审批。本评估期内大龙社工站经费支出具体情况如下：</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㈠财务支出的合规性</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龙社工站经费使用的范围、比例基本能按《广州市社工服务站管理办法》有关规定执行。大龙社工站每年有制定“大龙预算执行情况表”，明确规划了协议期内的收入和支出预算计划，经费支出预算表基本能符合《民间非营利组织会计制度》和广州市番禺区人民政府大龙街道办事处与社工服务站承接机构签订的购买服务协议中人员费用、服务质量保障费用和运营管理费用规定的使用范围，活动经费预算表有机构理事会负责人签名确认。</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㈡财务支出的合理性</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经审核，大龙社工站财务支出的事由、票据、标准基本合理。大龙社工站有经费预算程序，财务支出根据经费预算计划执行、基本能按预算标准支出，并有财务支出票据。</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㈢财务支出审批机制情况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经审核，除本报告第九点“存在问题及建议”指出的问题外，大龙社工站能按承接机构广州市阳光天使社会工作服务中心财务制度规定的审批权限进行审批。经费支出由经办人、证明人、审核人签名。</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㈣财务支出监控机制执行情况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已建立财务支出管理的监控机制，并在大龙社工站基本得到规范执行，但仍存在部分支出审批签名不完整、个别费用支出报销要素不全的问题，具体详见本报告第九点“存在问题及建议”。</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１、承接机构广州市阳光天使社会工作服务中心能按规定开设银行基本账户，按规定对大龙社工站开设了银行一般账户，日常财务支出采用专户支付和基本户代付后专户转回结合的方式。</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２、为确保政府购买服务经费用于指定用途，承接机构广州市阳光天使社会工作服务中心有定期向购买方提交大龙社工站服务经费使用情况报告，对经费预算及使用情况作比对分析。</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㈤财务支出票据的完整性、规范性</w:t>
      </w:r>
    </w:p>
    <w:p>
      <w:pPr>
        <w:spacing w:line="620" w:lineRule="exact"/>
        <w:ind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大龙社工站财务支出票据、凭证填制较完整，账目设置、票据管理较规范。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五、大龙社工站会计核算情况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㈠是否设置会计科目，编制完整会计报表</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对大龙社工站会计科目设置合理，所有服务业务均编制了记账凭证、登记了明细分类账簿和总账，核算做到账证、账账、账表相符，编制了会计报表，并依据相关会计制度独立核算。</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㈡是否分项目核算</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经审核，承接机构广州市阳光天使社会工作服务中心对承接的大龙社工站政府购买服务资金的服务经费支出，能按要求做到分项目核算。</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㈢是否领域服务经费分开归集</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经审核，承接机构广州市阳光天使社会工作服务中心对承接的大龙社工站政府购买服务资金的服务经费支出，能按要求做到领域服务经费分开归集。</w:t>
      </w:r>
    </w:p>
    <w:p>
      <w:pPr>
        <w:spacing w:line="62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bookmarkStart w:id="2" w:name="_Hlk110777849"/>
      <w:r>
        <w:rPr>
          <w:rFonts w:hint="eastAsia" w:ascii="Times New Roman" w:hAnsi="Times New Roman" w:eastAsia="仿宋_GB2312" w:cs="Times New Roman"/>
          <w:b/>
          <w:color w:val="000000" w:themeColor="text1"/>
          <w:sz w:val="28"/>
          <w:szCs w:val="28"/>
          <w14:textFill>
            <w14:solidFill>
              <w14:schemeClr w14:val="tx1"/>
            </w14:solidFill>
          </w14:textFill>
        </w:rPr>
        <w:t>六、</w:t>
      </w:r>
      <w:bookmarkEnd w:id="2"/>
      <w:r>
        <w:rPr>
          <w:rFonts w:hint="eastAsia" w:ascii="Times New Roman" w:hAnsi="Times New Roman" w:eastAsia="仿宋_GB2312" w:cs="Times New Roman"/>
          <w:b/>
          <w:color w:val="000000" w:themeColor="text1"/>
          <w:sz w:val="28"/>
          <w:szCs w:val="28"/>
          <w14:textFill>
            <w14:solidFill>
              <w14:schemeClr w14:val="tx1"/>
            </w14:solidFill>
          </w14:textFill>
        </w:rPr>
        <w:t>本评估期服务经费拨入、支出、结余情况</w:t>
      </w:r>
    </w:p>
    <w:p>
      <w:pPr>
        <w:spacing w:line="620" w:lineRule="exact"/>
        <w:ind w:right="-2" w:firstLine="552" w:firstLineChars="200"/>
        <w:outlineLvl w:val="0"/>
        <w:rPr>
          <w:rFonts w:ascii="Times New Roman" w:hAnsi="Times New Roman" w:eastAsia="仿宋_GB2312" w:cs="Times New Roman"/>
          <w:color w:val="000000" w:themeColor="text1"/>
          <w:spacing w:val="-2"/>
          <w:sz w:val="28"/>
          <w:szCs w:val="28"/>
          <w14:textFill>
            <w14:solidFill>
              <w14:schemeClr w14:val="tx1"/>
            </w14:solidFill>
          </w14:textFill>
        </w:rPr>
      </w:pPr>
      <w:r>
        <w:rPr>
          <w:rFonts w:hint="eastAsia" w:ascii="Times New Roman" w:hAnsi="Times New Roman" w:eastAsia="仿宋_GB2312" w:cs="Times New Roman"/>
          <w:color w:val="000000" w:themeColor="text1"/>
          <w:spacing w:val="-2"/>
          <w:sz w:val="28"/>
          <w:szCs w:val="28"/>
          <w14:textFill>
            <w14:solidFill>
              <w14:schemeClr w14:val="tx1"/>
            </w14:solidFill>
          </w14:textFill>
        </w:rPr>
        <w:t>2024年8月25日至2025年2月24日（以下简称本评估期）大龙社工站</w:t>
      </w:r>
      <w:r>
        <w:rPr>
          <w:rFonts w:ascii="Times New Roman" w:hAnsi="Times New Roman" w:eastAsia="仿宋_GB2312" w:cs="Times New Roman"/>
          <w:color w:val="000000" w:themeColor="text1"/>
          <w:spacing w:val="-2"/>
          <w:sz w:val="28"/>
          <w:szCs w:val="28"/>
          <w14:textFill>
            <w14:solidFill>
              <w14:schemeClr w14:val="tx1"/>
            </w14:solidFill>
          </w14:textFill>
        </w:rPr>
        <w:t>收到本评估期内政府购买服务经费</w:t>
      </w:r>
      <w:r>
        <w:rPr>
          <w:rFonts w:hint="eastAsia" w:ascii="Times New Roman" w:hAnsi="Times New Roman" w:eastAsia="仿宋_GB2312" w:cs="Times New Roman"/>
          <w:color w:val="000000" w:themeColor="text1"/>
          <w:spacing w:val="-2"/>
          <w:sz w:val="28"/>
          <w:szCs w:val="28"/>
          <w14:textFill>
            <w14:solidFill>
              <w14:schemeClr w14:val="tx1"/>
            </w14:solidFill>
          </w14:textFill>
        </w:rPr>
        <w:t>924,000.00</w:t>
      </w:r>
      <w:r>
        <w:rPr>
          <w:rFonts w:ascii="Times New Roman" w:hAnsi="Times New Roman" w:eastAsia="仿宋_GB2312" w:cs="Times New Roman"/>
          <w:color w:val="000000" w:themeColor="text1"/>
          <w:spacing w:val="-2"/>
          <w:sz w:val="28"/>
          <w:szCs w:val="28"/>
          <w14:textFill>
            <w14:solidFill>
              <w14:schemeClr w14:val="tx1"/>
            </w14:solidFill>
          </w14:textFill>
        </w:rPr>
        <w:t>元</w:t>
      </w:r>
      <w:r>
        <w:rPr>
          <w:rFonts w:hint="eastAsia" w:ascii="Times New Roman" w:hAnsi="Times New Roman" w:eastAsia="仿宋_GB2312" w:cs="Times New Roman"/>
          <w:color w:val="000000" w:themeColor="text1"/>
          <w:spacing w:val="-2"/>
          <w:sz w:val="28"/>
          <w:szCs w:val="28"/>
          <w14:textFill>
            <w14:solidFill>
              <w14:schemeClr w14:val="tx1"/>
            </w14:solidFill>
          </w14:textFill>
        </w:rPr>
        <w:t>。</w:t>
      </w:r>
      <w:r>
        <w:rPr>
          <w:rFonts w:ascii="Times New Roman" w:hAnsi="Times New Roman" w:eastAsia="仿宋_GB2312" w:cs="Times New Roman"/>
          <w:color w:val="000000" w:themeColor="text1"/>
          <w:spacing w:val="-2"/>
          <w:sz w:val="28"/>
          <w:szCs w:val="28"/>
          <w14:textFill>
            <w14:solidFill>
              <w14:schemeClr w14:val="tx1"/>
            </w14:solidFill>
          </w14:textFill>
        </w:rPr>
        <w:t>归属于本评估期的服务经费支出累计1,143,277.06元</w:t>
      </w:r>
      <w:bookmarkStart w:id="3" w:name="_Hlk110723269"/>
      <w:r>
        <w:rPr>
          <w:rFonts w:hint="eastAsia" w:ascii="Times New Roman" w:hAnsi="Times New Roman" w:eastAsia="仿宋_GB2312" w:cs="Times New Roman"/>
          <w:color w:val="000000" w:themeColor="text1"/>
          <w:spacing w:val="-2"/>
          <w:sz w:val="28"/>
          <w:szCs w:val="28"/>
          <w14:textFill>
            <w14:solidFill>
              <w14:schemeClr w14:val="tx1"/>
            </w14:solidFill>
          </w14:textFill>
        </w:rPr>
        <w:t>。</w:t>
      </w:r>
      <w:r>
        <w:rPr>
          <w:rFonts w:ascii="Times New Roman" w:hAnsi="Times New Roman" w:eastAsia="仿宋_GB2312" w:cs="Times New Roman"/>
          <w:color w:val="000000" w:themeColor="text1"/>
          <w:spacing w:val="-2"/>
          <w:sz w:val="28"/>
          <w:szCs w:val="28"/>
          <w14:textFill>
            <w14:solidFill>
              <w14:schemeClr w14:val="tx1"/>
            </w14:solidFill>
          </w14:textFill>
        </w:rPr>
        <w:t>本评估期结余金额-219,277.06元</w:t>
      </w:r>
      <w:bookmarkEnd w:id="3"/>
      <w:r>
        <w:rPr>
          <w:rFonts w:ascii="Times New Roman" w:hAnsi="Times New Roman" w:eastAsia="仿宋_GB2312" w:cs="Times New Roman"/>
          <w:color w:val="000000" w:themeColor="text1"/>
          <w:spacing w:val="-2"/>
          <w:sz w:val="28"/>
          <w:szCs w:val="28"/>
          <w14:textFill>
            <w14:solidFill>
              <w14:schemeClr w14:val="tx1"/>
            </w14:solidFill>
          </w14:textFill>
        </w:rPr>
        <w:t>，占实际拨入经费的-23.73%。</w:t>
      </w:r>
      <w:r>
        <w:rPr>
          <w:rFonts w:hint="eastAsia" w:ascii="Times New Roman" w:hAnsi="Times New Roman" w:eastAsia="仿宋" w:cs="Times New Roman"/>
          <w:color w:val="000000" w:themeColor="text1"/>
          <w:spacing w:val="-2"/>
          <w:sz w:val="28"/>
          <w:szCs w:val="28"/>
          <w14:textFill>
            <w14:solidFill>
              <w14:schemeClr w14:val="tx1"/>
            </w14:solidFill>
          </w14:textFill>
        </w:rPr>
        <w:t>各项</w:t>
      </w:r>
      <w:r>
        <w:rPr>
          <w:rFonts w:ascii="Times New Roman" w:hAnsi="Times New Roman" w:eastAsia="仿宋" w:cs="Times New Roman"/>
          <w:color w:val="000000" w:themeColor="text1"/>
          <w:spacing w:val="-2"/>
          <w:sz w:val="28"/>
          <w:szCs w:val="28"/>
          <w14:textFill>
            <w14:solidFill>
              <w14:schemeClr w14:val="tx1"/>
            </w14:solidFill>
          </w14:textFill>
        </w:rPr>
        <w:t>支出情况如下</w:t>
      </w:r>
      <w:r>
        <w:rPr>
          <w:rFonts w:ascii="Times New Roman" w:hAnsi="Times New Roman" w:eastAsia="仿宋_GB2312" w:cs="Times New Roman"/>
          <w:color w:val="000000" w:themeColor="text1"/>
          <w:spacing w:val="-2"/>
          <w:sz w:val="28"/>
          <w:szCs w:val="28"/>
          <w14:textFill>
            <w14:solidFill>
              <w14:schemeClr w14:val="tx1"/>
            </w14:solidFill>
          </w14:textFill>
        </w:rPr>
        <w:t>：</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㈠用于人员费用支出</w:t>
      </w:r>
      <w:r>
        <w:rPr>
          <w:rFonts w:hint="eastAsia" w:ascii="Times New Roman" w:hAnsi="Times New Roman" w:eastAsia="仿宋_GB2312" w:cs="Times New Roman"/>
          <w:color w:val="000000" w:themeColor="text1"/>
          <w:sz w:val="28"/>
          <w:szCs w:val="28"/>
          <w14:textFill>
            <w14:solidFill>
              <w14:schemeClr w14:val="tx1"/>
            </w14:solidFill>
          </w14:textFill>
        </w:rPr>
        <w:t>967,916.17</w:t>
      </w:r>
      <w:r>
        <w:rPr>
          <w:rFonts w:ascii="Times New Roman" w:hAnsi="Times New Roman" w:eastAsia="仿宋_GB2312" w:cs="Times New Roman"/>
          <w:color w:val="000000" w:themeColor="text1"/>
          <w:sz w:val="28"/>
          <w:szCs w:val="28"/>
          <w14:textFill>
            <w14:solidFill>
              <w14:schemeClr w14:val="tx1"/>
            </w14:solidFill>
          </w14:textFill>
        </w:rPr>
        <w:t>元，</w:t>
      </w:r>
      <w:r>
        <w:rPr>
          <w:rFonts w:hint="eastAsia" w:ascii="Times New Roman" w:hAnsi="Times New Roman" w:eastAsia="仿宋_GB2312" w:cs="Times New Roman"/>
          <w:color w:val="000000" w:themeColor="text1"/>
          <w:sz w:val="28"/>
          <w:szCs w:val="28"/>
          <w14:textFill>
            <w14:solidFill>
              <w14:schemeClr w14:val="tx1"/>
            </w14:solidFill>
          </w14:textFill>
        </w:rPr>
        <w:t>占本协议期应收服务经费的40.33%，</w:t>
      </w:r>
      <w:r>
        <w:rPr>
          <w:rFonts w:ascii="Times New Roman" w:hAnsi="Times New Roman" w:eastAsia="仿宋" w:cs="Times New Roman"/>
          <w:sz w:val="28"/>
          <w:szCs w:val="28"/>
        </w:rPr>
        <w:t>占本评估期实收服务总经费的</w:t>
      </w:r>
      <w:r>
        <w:rPr>
          <w:rFonts w:hint="eastAsia" w:ascii="Times New Roman" w:hAnsi="Times New Roman" w:eastAsia="仿宋" w:cs="Times New Roman"/>
          <w:sz w:val="28"/>
          <w:szCs w:val="28"/>
        </w:rPr>
        <w:t>104.75%，本期预算执行率50.41%</w:t>
      </w:r>
      <w:r>
        <w:rPr>
          <w:rFonts w:ascii="Times New Roman" w:hAnsi="Times New Roman" w:eastAsia="仿宋" w:cs="Times New Roman"/>
          <w:sz w:val="28"/>
          <w:szCs w:val="28"/>
        </w:rPr>
        <w:t>。</w:t>
      </w:r>
      <w:r>
        <w:rPr>
          <w:rFonts w:ascii="Times New Roman" w:hAnsi="Times New Roman" w:eastAsia="仿宋_GB2312" w:cs="Times New Roman"/>
          <w:color w:val="000000" w:themeColor="text1"/>
          <w:sz w:val="28"/>
          <w:szCs w:val="28"/>
          <w14:textFill>
            <w14:solidFill>
              <w14:schemeClr w14:val="tx1"/>
            </w14:solidFill>
          </w14:textFill>
        </w:rPr>
        <w:t>其中：</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１、工资总额支出</w:t>
      </w:r>
      <w:r>
        <w:rPr>
          <w:rFonts w:hint="eastAsia" w:ascii="Times New Roman" w:hAnsi="Times New Roman" w:eastAsia="仿宋_GB2312" w:cs="Times New Roman"/>
          <w:color w:val="000000" w:themeColor="text1"/>
          <w:sz w:val="28"/>
          <w:szCs w:val="28"/>
          <w14:textFill>
            <w14:solidFill>
              <w14:schemeClr w14:val="tx1"/>
            </w14:solidFill>
          </w14:textFill>
        </w:rPr>
        <w:t>805,186.23</w:t>
      </w:r>
      <w:r>
        <w:rPr>
          <w:rFonts w:ascii="Times New Roman" w:hAnsi="Times New Roman" w:eastAsia="仿宋_GB2312" w:cs="Times New Roman"/>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２、五险金支出</w:t>
      </w:r>
      <w:r>
        <w:rPr>
          <w:rFonts w:hint="eastAsia" w:ascii="Times New Roman" w:hAnsi="Times New Roman" w:eastAsia="仿宋_GB2312" w:cs="Times New Roman"/>
          <w:color w:val="000000" w:themeColor="text1"/>
          <w:sz w:val="28"/>
          <w:szCs w:val="28"/>
          <w14:textFill>
            <w14:solidFill>
              <w14:schemeClr w14:val="tx1"/>
            </w14:solidFill>
          </w14:textFill>
        </w:rPr>
        <w:t>146,503.94</w:t>
      </w:r>
      <w:r>
        <w:rPr>
          <w:rFonts w:ascii="Times New Roman" w:hAnsi="Times New Roman" w:eastAsia="仿宋_GB2312" w:cs="Times New Roman"/>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３、公积金支出</w:t>
      </w:r>
      <w:r>
        <w:rPr>
          <w:rFonts w:hint="eastAsia" w:ascii="Times New Roman" w:hAnsi="Times New Roman" w:eastAsia="仿宋_GB2312" w:cs="Times New Roman"/>
          <w:color w:val="000000" w:themeColor="text1"/>
          <w:sz w:val="28"/>
          <w:szCs w:val="28"/>
          <w14:textFill>
            <w14:solidFill>
              <w14:schemeClr w14:val="tx1"/>
            </w14:solidFill>
          </w14:textFill>
        </w:rPr>
        <w:t>16,226.00</w:t>
      </w:r>
      <w:r>
        <w:rPr>
          <w:rFonts w:ascii="Times New Roman" w:hAnsi="Times New Roman" w:eastAsia="仿宋_GB2312" w:cs="Times New Roman"/>
          <w:color w:val="000000" w:themeColor="text1"/>
          <w:sz w:val="28"/>
          <w:szCs w:val="28"/>
          <w14:textFill>
            <w14:solidFill>
              <w14:schemeClr w14:val="tx1"/>
            </w14:solidFill>
          </w14:textFill>
        </w:rPr>
        <w:t>元</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㈡用于服务质量保障费用的支出合计89,456.01元，</w:t>
      </w:r>
      <w:r>
        <w:rPr>
          <w:rFonts w:ascii="Times New Roman" w:hAnsi="Times New Roman" w:eastAsia="仿宋" w:cs="Times New Roman"/>
          <w:sz w:val="28"/>
          <w:szCs w:val="28"/>
        </w:rPr>
        <w:t>占本协议期应收服务总经费的3.73%</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占本评估期实收服务总经费的9.68%，</w:t>
      </w:r>
      <w:r>
        <w:rPr>
          <w:rFonts w:hint="eastAsia" w:ascii="Times New Roman" w:hAnsi="Times New Roman" w:eastAsia="仿宋" w:cs="Times New Roman"/>
          <w:sz w:val="28"/>
          <w:szCs w:val="28"/>
        </w:rPr>
        <w:t>本期预算执行率</w:t>
      </w:r>
      <w:r>
        <w:rPr>
          <w:rFonts w:ascii="Times New Roman" w:hAnsi="Times New Roman" w:eastAsia="仿宋" w:cs="Times New Roman"/>
          <w:sz w:val="28"/>
          <w:szCs w:val="28"/>
        </w:rPr>
        <w:t>29.82%</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其中：</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w:t>
      </w:r>
      <w:r>
        <w:rPr>
          <w:rFonts w:hint="eastAsia" w:ascii="Times New Roman" w:hAnsi="Times New Roman" w:eastAsia="仿宋_GB2312"/>
          <w:color w:val="000000" w:themeColor="text1"/>
          <w:sz w:val="28"/>
          <w:szCs w:val="28"/>
          <w14:textFill>
            <w14:solidFill>
              <w14:schemeClr w14:val="tx1"/>
            </w14:solidFill>
          </w14:textFill>
        </w:rPr>
        <w:t>用于开展与专业服务和活动的支出</w:t>
      </w:r>
      <w:r>
        <w:rPr>
          <w:rFonts w:hint="eastAsia" w:ascii="Times New Roman" w:hAnsi="Times New Roman" w:eastAsia="仿宋_GB2312" w:cs="Times New Roman"/>
          <w:color w:val="000000" w:themeColor="text1"/>
          <w:sz w:val="28"/>
          <w:szCs w:val="28"/>
          <w14:textFill>
            <w14:solidFill>
              <w14:schemeClr w14:val="tx1"/>
            </w14:solidFill>
          </w14:textFill>
        </w:rPr>
        <w:t>10,353.66</w:t>
      </w:r>
      <w:r>
        <w:rPr>
          <w:rFonts w:hint="eastAsia" w:ascii="Times New Roman" w:hAnsi="Times New Roman" w:eastAsia="仿宋_GB2312"/>
          <w:color w:val="000000" w:themeColor="text1"/>
          <w:sz w:val="28"/>
          <w:szCs w:val="28"/>
          <w14:textFill>
            <w14:solidFill>
              <w14:schemeClr w14:val="tx1"/>
            </w14:solidFill>
          </w14:textFill>
        </w:rPr>
        <w:t>元，占本评估实收服务总经费的</w:t>
      </w:r>
      <w:r>
        <w:rPr>
          <w:rFonts w:hint="eastAsia" w:ascii="Times New Roman" w:hAnsi="Times New Roman" w:eastAsia="仿宋_GB2312" w:cs="Times New Roman"/>
          <w:color w:val="000000" w:themeColor="text1"/>
          <w:sz w:val="28"/>
          <w:szCs w:val="28"/>
          <w14:textFill>
            <w14:solidFill>
              <w14:schemeClr w14:val="tx1"/>
            </w14:solidFill>
          </w14:textFill>
        </w:rPr>
        <w:t>1.12%</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⑴服务和活动物料支出7,796.12元；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⑵交通费支出1,760.02元；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⑶误餐费支出797.52元；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w:t>
      </w:r>
      <w:r>
        <w:rPr>
          <w:rFonts w:hint="eastAsia" w:ascii="Times New Roman" w:hAnsi="Times New Roman" w:eastAsia="仿宋_GB2312"/>
          <w:color w:val="000000" w:themeColor="text1"/>
          <w:spacing w:val="-8"/>
          <w:sz w:val="28"/>
          <w:szCs w:val="28"/>
          <w14:textFill>
            <w14:solidFill>
              <w14:schemeClr w14:val="tx1"/>
            </w14:solidFill>
          </w14:textFill>
        </w:rPr>
        <w:t>用于日常办公费用支出</w:t>
      </w:r>
      <w:r>
        <w:rPr>
          <w:rFonts w:hint="eastAsia" w:ascii="Times New Roman" w:hAnsi="Times New Roman" w:eastAsia="仿宋_GB2312" w:cs="Times New Roman"/>
          <w:color w:val="000000" w:themeColor="text1"/>
          <w:spacing w:val="-8"/>
          <w:sz w:val="28"/>
          <w:szCs w:val="28"/>
          <w14:textFill>
            <w14:solidFill>
              <w14:schemeClr w14:val="tx1"/>
            </w14:solidFill>
          </w14:textFill>
        </w:rPr>
        <w:t>23,811.80</w:t>
      </w:r>
      <w:r>
        <w:rPr>
          <w:rFonts w:hint="eastAsia" w:ascii="Times New Roman" w:hAnsi="Times New Roman" w:eastAsia="仿宋_GB2312"/>
          <w:color w:val="000000" w:themeColor="text1"/>
          <w:spacing w:val="-8"/>
          <w:sz w:val="28"/>
          <w:szCs w:val="28"/>
          <w14:textFill>
            <w14:solidFill>
              <w14:schemeClr w14:val="tx1"/>
            </w14:solidFill>
          </w14:textFill>
        </w:rPr>
        <w:t>元，占本评估期实收服务总经费的</w:t>
      </w:r>
      <w:r>
        <w:rPr>
          <w:rFonts w:hint="eastAsia" w:ascii="Times New Roman" w:hAnsi="Times New Roman" w:eastAsia="仿宋_GB2312" w:cs="Times New Roman"/>
          <w:color w:val="000000" w:themeColor="text1"/>
          <w:spacing w:val="-8"/>
          <w:sz w:val="28"/>
          <w:szCs w:val="28"/>
          <w14:textFill>
            <w14:solidFill>
              <w14:schemeClr w14:val="tx1"/>
            </w14:solidFill>
          </w14:textFill>
        </w:rPr>
        <w:t>2.58%</w:t>
      </w:r>
      <w:r>
        <w:rPr>
          <w:rFonts w:hint="eastAsia" w:ascii="Times New Roman" w:hAnsi="Times New Roman" w:eastAsia="仿宋_GB2312"/>
          <w:color w:val="000000" w:themeColor="text1"/>
          <w:spacing w:val="-8"/>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⑴办公费耗材支出</w:t>
      </w:r>
      <w:r>
        <w:rPr>
          <w:rFonts w:hint="eastAsia" w:ascii="Times New Roman" w:hAnsi="Times New Roman" w:eastAsia="仿宋_GB2312" w:cs="Times New Roman"/>
          <w:color w:val="000000" w:themeColor="text1"/>
          <w:sz w:val="28"/>
          <w:szCs w:val="28"/>
          <w14:textFill>
            <w14:solidFill>
              <w14:schemeClr w14:val="tx1"/>
            </w14:solidFill>
          </w14:textFill>
        </w:rPr>
        <w:t xml:space="preserve">10,313.50 </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⑵水电费支出</w:t>
      </w:r>
      <w:r>
        <w:rPr>
          <w:rFonts w:hint="eastAsia" w:ascii="Times New Roman" w:hAnsi="Times New Roman" w:eastAsia="仿宋_GB2312" w:cs="Times New Roman"/>
          <w:color w:val="000000" w:themeColor="text1"/>
          <w:sz w:val="28"/>
          <w:szCs w:val="28"/>
          <w14:textFill>
            <w14:solidFill>
              <w14:schemeClr w14:val="tx1"/>
            </w14:solidFill>
          </w14:textFill>
        </w:rPr>
        <w:t>11,299.79</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⑶电话费支出</w:t>
      </w:r>
      <w:r>
        <w:rPr>
          <w:rFonts w:hint="eastAsia" w:ascii="Times New Roman" w:hAnsi="Times New Roman" w:eastAsia="仿宋_GB2312" w:cs="Times New Roman"/>
          <w:color w:val="000000" w:themeColor="text1"/>
          <w:sz w:val="28"/>
          <w:szCs w:val="28"/>
          <w14:textFill>
            <w14:solidFill>
              <w14:schemeClr w14:val="tx1"/>
            </w14:solidFill>
          </w14:textFill>
        </w:rPr>
        <w:t>2,132.51</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⑷修理费支出</w:t>
      </w:r>
      <w:r>
        <w:rPr>
          <w:rFonts w:hint="eastAsia" w:ascii="Times New Roman" w:hAnsi="Times New Roman" w:eastAsia="仿宋_GB2312" w:cs="Times New Roman"/>
          <w:color w:val="000000" w:themeColor="text1"/>
          <w:sz w:val="28"/>
          <w:szCs w:val="28"/>
          <w14:textFill>
            <w14:solidFill>
              <w14:schemeClr w14:val="tx1"/>
            </w14:solidFill>
          </w14:textFill>
        </w:rPr>
        <w:t>66.00</w:t>
      </w:r>
      <w:r>
        <w:rPr>
          <w:rFonts w:hint="eastAsia" w:ascii="Times New Roman" w:hAnsi="Times New Roman" w:eastAsia="仿宋_GB2312"/>
          <w:color w:val="000000" w:themeColor="text1"/>
          <w:sz w:val="28"/>
          <w:szCs w:val="28"/>
          <w14:textFill>
            <w14:solidFill>
              <w14:schemeClr w14:val="tx1"/>
            </w14:solidFill>
          </w14:textFill>
        </w:rPr>
        <w:t>元；</w:t>
      </w:r>
      <w:r>
        <w:rPr>
          <w:rFonts w:ascii="Times New Roman" w:hAnsi="Times New Roman" w:eastAsia="仿宋_GB2312"/>
          <w:color w:val="000000" w:themeColor="text1"/>
          <w:sz w:val="28"/>
          <w:szCs w:val="28"/>
          <w14:textFill>
            <w14:solidFill>
              <w14:schemeClr w14:val="tx1"/>
            </w14:solidFill>
          </w14:textFill>
        </w:rPr>
        <w:t xml:space="preserve"> </w:t>
      </w:r>
    </w:p>
    <w:p>
      <w:pPr>
        <w:spacing w:line="61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３、</w:t>
      </w:r>
      <w:r>
        <w:rPr>
          <w:rFonts w:hint="eastAsia" w:ascii="Times New Roman" w:hAnsi="Times New Roman" w:eastAsia="仿宋_GB2312"/>
          <w:color w:val="000000" w:themeColor="text1"/>
          <w:sz w:val="28"/>
          <w:szCs w:val="28"/>
          <w14:textFill>
            <w14:solidFill>
              <w14:schemeClr w14:val="tx1"/>
            </w14:solidFill>
          </w14:textFill>
        </w:rPr>
        <w:t>用于机构年度相关税费支出</w:t>
      </w:r>
      <w:r>
        <w:rPr>
          <w:rFonts w:ascii="Times New Roman" w:hAnsi="Times New Roman" w:eastAsia="仿宋_GB2312"/>
          <w:color w:val="000000" w:themeColor="text1"/>
          <w:sz w:val="28"/>
          <w:szCs w:val="28"/>
          <w14:textFill>
            <w14:solidFill>
              <w14:schemeClr w14:val="tx1"/>
            </w14:solidFill>
          </w14:textFill>
        </w:rPr>
        <w:t>55,290.55</w:t>
      </w:r>
      <w:r>
        <w:rPr>
          <w:rFonts w:hint="eastAsia" w:ascii="Times New Roman" w:hAnsi="Times New Roman" w:eastAsia="仿宋_GB2312"/>
          <w:color w:val="000000" w:themeColor="text1"/>
          <w:sz w:val="28"/>
          <w:szCs w:val="28"/>
          <w14:textFill>
            <w14:solidFill>
              <w14:schemeClr w14:val="tx1"/>
            </w14:solidFill>
          </w14:textFill>
        </w:rPr>
        <w:t>元，占本评估期实收服务总经费的</w:t>
      </w:r>
      <w:r>
        <w:rPr>
          <w:rFonts w:ascii="Times New Roman" w:hAnsi="Times New Roman" w:eastAsia="仿宋_GB2312"/>
          <w:color w:val="000000" w:themeColor="text1"/>
          <w:sz w:val="28"/>
          <w:szCs w:val="28"/>
          <w14:textFill>
            <w14:solidFill>
              <w14:schemeClr w14:val="tx1"/>
            </w14:solidFill>
          </w14:textFill>
        </w:rPr>
        <w:t>5.98%</w:t>
      </w:r>
      <w:r>
        <w:rPr>
          <w:rFonts w:hint="eastAsia" w:ascii="Times New Roman" w:hAnsi="Times New Roman" w:eastAsia="仿宋_GB2312"/>
          <w:color w:val="000000" w:themeColor="text1"/>
          <w:sz w:val="28"/>
          <w:szCs w:val="28"/>
          <w14:textFill>
            <w14:solidFill>
              <w14:schemeClr w14:val="tx1"/>
            </w14:solidFill>
          </w14:textFill>
        </w:rPr>
        <w:t>。</w:t>
      </w:r>
    </w:p>
    <w:p>
      <w:pPr>
        <w:spacing w:line="64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㈢用于运营管理费用支出85,904.88元，</w:t>
      </w:r>
      <w:r>
        <w:rPr>
          <w:rFonts w:ascii="Times New Roman" w:hAnsi="Times New Roman" w:eastAsia="仿宋" w:cs="Times New Roman"/>
          <w:sz w:val="28"/>
          <w:szCs w:val="28"/>
        </w:rPr>
        <w:t>占本协议期应收服务总经费的</w:t>
      </w:r>
      <w:r>
        <w:rPr>
          <w:rFonts w:hint="eastAsia" w:ascii="Times New Roman" w:hAnsi="Times New Roman" w:eastAsia="仿宋" w:cs="Times New Roman"/>
          <w:sz w:val="28"/>
          <w:szCs w:val="28"/>
        </w:rPr>
        <w:t>3.58%，</w:t>
      </w:r>
      <w:r>
        <w:rPr>
          <w:rFonts w:hint="eastAsia" w:ascii="Times New Roman" w:hAnsi="Times New Roman" w:eastAsia="仿宋_GB2312" w:cs="Times New Roman"/>
          <w:color w:val="000000" w:themeColor="text1"/>
          <w:sz w:val="28"/>
          <w:szCs w:val="28"/>
          <w14:textFill>
            <w14:solidFill>
              <w14:schemeClr w14:val="tx1"/>
            </w14:solidFill>
          </w14:textFill>
        </w:rPr>
        <w:t>占本评估期实收服务总经费的9.30%，</w:t>
      </w:r>
      <w:r>
        <w:rPr>
          <w:rFonts w:hint="eastAsia" w:ascii="Times New Roman" w:hAnsi="Times New Roman" w:eastAsia="仿宋" w:cs="Times New Roman"/>
          <w:sz w:val="28"/>
          <w:szCs w:val="28"/>
        </w:rPr>
        <w:t>本期预算执行率47.72%，其中：</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１、中标费支出18,778.88元；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 xml:space="preserve">２、分摊机构人员工资42,678.34元； </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３、分摊机构人员社保5,387.10元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 xml:space="preserve">４、分摊机构人员公积金474.86元； </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５、分摊机构费用18,346.25元；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６、社工交流支出239.45元。</w:t>
      </w:r>
    </w:p>
    <w:p>
      <w:pPr>
        <w:spacing w:line="640" w:lineRule="exact"/>
        <w:ind w:right="-2"/>
        <w:outlineLvl w:val="0"/>
        <w:rPr>
          <w:rFonts w:ascii="Times New Roman" w:hAnsi="Times New Roman" w:eastAsia="仿宋_GB2312"/>
          <w:sz w:val="28"/>
          <w:szCs w:val="28"/>
        </w:rPr>
      </w:pPr>
      <w:r>
        <w:rPr>
          <w:rFonts w:hint="eastAsia" w:ascii="Times New Roman" w:hAnsi="Times New Roman" w:eastAsia="仿宋_GB2312" w:cs="Times New Roman"/>
          <w:b/>
          <w:sz w:val="28"/>
          <w:szCs w:val="28"/>
        </w:rPr>
        <w:t>七、</w:t>
      </w:r>
      <w:r>
        <w:rPr>
          <w:rFonts w:hint="eastAsia" w:eastAsia="仿宋"/>
          <w:b/>
          <w:sz w:val="28"/>
          <w:szCs w:val="28"/>
        </w:rPr>
        <w:t>前期经费收、支、结余变化情况</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截至审计日，协议期</w:t>
      </w:r>
      <w:r>
        <w:rPr>
          <w:rFonts w:ascii="Times New Roman" w:hAnsi="Times New Roman" w:eastAsia="仿宋_GB2312" w:cs="Times New Roman"/>
          <w:spacing w:val="-12"/>
          <w:sz w:val="28"/>
          <w:szCs w:val="28"/>
        </w:rPr>
        <w:t>202</w:t>
      </w:r>
      <w:r>
        <w:rPr>
          <w:rFonts w:hint="eastAsia" w:ascii="Times New Roman" w:hAnsi="Times New Roman" w:eastAsia="仿宋_GB2312" w:cs="Times New Roman"/>
          <w:spacing w:val="-12"/>
          <w:sz w:val="28"/>
          <w:szCs w:val="28"/>
        </w:rPr>
        <w:t>3</w:t>
      </w:r>
      <w:r>
        <w:rPr>
          <w:rFonts w:ascii="Times New Roman" w:hAnsi="Times New Roman" w:eastAsia="仿宋_GB2312" w:cs="Times New Roman"/>
          <w:spacing w:val="-12"/>
          <w:sz w:val="28"/>
          <w:szCs w:val="28"/>
        </w:rPr>
        <w:t>年</w:t>
      </w:r>
      <w:r>
        <w:rPr>
          <w:rFonts w:hint="eastAsia" w:ascii="Times New Roman" w:hAnsi="Times New Roman" w:eastAsia="仿宋_GB2312" w:cs="Times New Roman"/>
          <w:spacing w:val="-12"/>
          <w:sz w:val="28"/>
          <w:szCs w:val="28"/>
        </w:rPr>
        <w:t>8</w:t>
      </w:r>
      <w:r>
        <w:rPr>
          <w:rFonts w:ascii="Times New Roman" w:hAnsi="Times New Roman" w:eastAsia="仿宋_GB2312" w:cs="Times New Roman"/>
          <w:spacing w:val="-12"/>
          <w:sz w:val="28"/>
          <w:szCs w:val="28"/>
        </w:rPr>
        <w:t>月</w:t>
      </w:r>
      <w:r>
        <w:rPr>
          <w:rFonts w:hint="eastAsia" w:ascii="Times New Roman" w:hAnsi="Times New Roman" w:eastAsia="仿宋_GB2312" w:cs="Times New Roman"/>
          <w:spacing w:val="-12"/>
          <w:sz w:val="28"/>
          <w:szCs w:val="28"/>
        </w:rPr>
        <w:t>2</w:t>
      </w:r>
      <w:r>
        <w:rPr>
          <w:rFonts w:ascii="Times New Roman" w:hAnsi="Times New Roman" w:eastAsia="仿宋_GB2312" w:cs="Times New Roman"/>
          <w:spacing w:val="-12"/>
          <w:sz w:val="28"/>
          <w:szCs w:val="28"/>
        </w:rPr>
        <w:t>6日至20</w:t>
      </w:r>
      <w:r>
        <w:rPr>
          <w:rFonts w:hint="eastAsia" w:ascii="Times New Roman" w:hAnsi="Times New Roman" w:eastAsia="仿宋_GB2312" w:cs="Times New Roman"/>
          <w:spacing w:val="-12"/>
          <w:sz w:val="28"/>
          <w:szCs w:val="28"/>
        </w:rPr>
        <w:t>24</w:t>
      </w:r>
      <w:r>
        <w:rPr>
          <w:rFonts w:ascii="Times New Roman" w:hAnsi="Times New Roman" w:eastAsia="仿宋_GB2312" w:cs="Times New Roman"/>
          <w:spacing w:val="-12"/>
          <w:sz w:val="28"/>
          <w:szCs w:val="28"/>
        </w:rPr>
        <w:t>年</w:t>
      </w:r>
      <w:r>
        <w:rPr>
          <w:rFonts w:hint="eastAsia" w:ascii="Times New Roman" w:hAnsi="Times New Roman" w:eastAsia="仿宋_GB2312" w:cs="Times New Roman"/>
          <w:spacing w:val="-12"/>
          <w:sz w:val="28"/>
          <w:szCs w:val="28"/>
        </w:rPr>
        <w:t>8</w:t>
      </w:r>
      <w:r>
        <w:rPr>
          <w:rFonts w:ascii="Times New Roman" w:hAnsi="Times New Roman" w:eastAsia="仿宋_GB2312" w:cs="Times New Roman"/>
          <w:spacing w:val="-12"/>
          <w:sz w:val="28"/>
          <w:szCs w:val="28"/>
        </w:rPr>
        <w:t>月</w:t>
      </w:r>
      <w:r>
        <w:rPr>
          <w:rFonts w:hint="eastAsia" w:ascii="Times New Roman" w:hAnsi="Times New Roman" w:eastAsia="仿宋_GB2312" w:cs="Times New Roman"/>
          <w:spacing w:val="-12"/>
          <w:sz w:val="28"/>
          <w:szCs w:val="28"/>
        </w:rPr>
        <w:t>2</w:t>
      </w:r>
      <w:r>
        <w:rPr>
          <w:rFonts w:ascii="Times New Roman" w:hAnsi="Times New Roman" w:eastAsia="仿宋_GB2312" w:cs="Times New Roman"/>
          <w:spacing w:val="-12"/>
          <w:sz w:val="28"/>
          <w:szCs w:val="28"/>
        </w:rPr>
        <w:t>5日</w:t>
      </w:r>
      <w:r>
        <w:rPr>
          <w:rFonts w:hint="eastAsia" w:ascii="Times New Roman" w:hAnsi="Times New Roman" w:eastAsia="仿宋_GB2312" w:cs="Times New Roman"/>
          <w:sz w:val="28"/>
          <w:szCs w:val="28"/>
        </w:rPr>
        <w:t>的结余资金发生变动，具体情况如下：</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经评估，本评估期内收到该协议期服务经费</w:t>
      </w:r>
      <w:r>
        <w:rPr>
          <w:rFonts w:ascii="Times New Roman" w:hAnsi="Times New Roman" w:eastAsia="仿宋_GB2312" w:cs="Times New Roman"/>
          <w:sz w:val="28"/>
          <w:szCs w:val="28"/>
        </w:rPr>
        <w:t>226,400.00</w:t>
      </w:r>
      <w:r>
        <w:rPr>
          <w:rFonts w:hint="eastAsia" w:ascii="Times New Roman" w:hAnsi="Times New Roman" w:eastAsia="仿宋_GB2312" w:cs="Times New Roman"/>
          <w:sz w:val="28"/>
          <w:szCs w:val="28"/>
        </w:rPr>
        <w:t>元，累计已收到该协议期政府采购服务经费</w:t>
      </w:r>
      <w:bookmarkStart w:id="4" w:name="_Hlk136947536"/>
      <w:r>
        <w:rPr>
          <w:rFonts w:ascii="Times New Roman" w:hAnsi="Times New Roman" w:eastAsia="仿宋_GB2312" w:cs="Times New Roman"/>
          <w:sz w:val="28"/>
          <w:szCs w:val="28"/>
        </w:rPr>
        <w:t>1,930,400.00</w:t>
      </w:r>
      <w:r>
        <w:rPr>
          <w:rFonts w:hint="eastAsia" w:ascii="Times New Roman" w:hAnsi="Times New Roman" w:eastAsia="仿宋_GB2312" w:cs="Times New Roman"/>
          <w:sz w:val="28"/>
          <w:szCs w:val="28"/>
        </w:rPr>
        <w:t>元</w:t>
      </w:r>
      <w:bookmarkEnd w:id="4"/>
      <w:r>
        <w:rPr>
          <w:rFonts w:hint="eastAsia" w:ascii="Times New Roman" w:hAnsi="Times New Roman" w:eastAsia="仿宋_GB2312"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2023年9月至10月（本评估期内），调整归属于该协议期支出</w:t>
      </w:r>
      <w:r>
        <w:rPr>
          <w:rFonts w:ascii="Times New Roman" w:hAnsi="Times New Roman" w:eastAsia="仿宋_GB2312" w:cs="Times New Roman"/>
          <w:sz w:val="28"/>
          <w:szCs w:val="28"/>
        </w:rPr>
        <w:t>-20,975.99</w:t>
      </w:r>
      <w:r>
        <w:rPr>
          <w:rFonts w:hint="eastAsia" w:ascii="Times New Roman" w:hAnsi="Times New Roman" w:eastAsia="仿宋_GB2312" w:cs="Times New Roman"/>
          <w:sz w:val="28"/>
          <w:szCs w:val="28"/>
        </w:rPr>
        <w:t>元，均为服务质量保障费用（开具该协议期末期服务经费发票</w:t>
      </w:r>
      <w:r>
        <w:rPr>
          <w:rFonts w:ascii="Times New Roman" w:hAnsi="Times New Roman" w:eastAsia="仿宋_GB2312" w:cs="Times New Roman"/>
          <w:sz w:val="28"/>
          <w:szCs w:val="28"/>
        </w:rPr>
        <w:t>-349,600.00</w:t>
      </w:r>
      <w:r>
        <w:rPr>
          <w:rFonts w:hint="eastAsia" w:ascii="Times New Roman" w:hAnsi="Times New Roman" w:eastAsia="仿宋_GB2312" w:cs="Times New Roman"/>
          <w:sz w:val="28"/>
          <w:szCs w:val="28"/>
        </w:rPr>
        <w:t>元产生的税费支出）。</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调整后，该协议期累计收到服务经费</w:t>
      </w:r>
      <w:r>
        <w:rPr>
          <w:rFonts w:ascii="Times New Roman" w:hAnsi="Times New Roman" w:eastAsia="仿宋_GB2312" w:cs="Times New Roman"/>
          <w:sz w:val="28"/>
          <w:szCs w:val="28"/>
        </w:rPr>
        <w:t>1,930,400.00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2,512,909.00</w:t>
      </w:r>
      <w:r>
        <w:rPr>
          <w:rFonts w:hint="eastAsia" w:ascii="Times New Roman" w:hAnsi="Times New Roman" w:eastAsia="仿宋_GB2312" w:cs="Times New Roman"/>
          <w:sz w:val="28"/>
          <w:szCs w:val="28"/>
        </w:rPr>
        <w:t>元，结余资金</w:t>
      </w:r>
      <w:r>
        <w:rPr>
          <w:rFonts w:ascii="Times New Roman" w:hAnsi="Times New Roman" w:eastAsia="仿宋_GB2312" w:cs="Times New Roman"/>
          <w:sz w:val="28"/>
          <w:szCs w:val="28"/>
        </w:rPr>
        <w:t>-582,509.00</w:t>
      </w:r>
      <w:r>
        <w:rPr>
          <w:rFonts w:hint="eastAsia" w:ascii="Times New Roman" w:hAnsi="Times New Roman" w:eastAsia="仿宋_GB2312" w:cs="Times New Roman"/>
          <w:sz w:val="28"/>
          <w:szCs w:val="28"/>
        </w:rPr>
        <w:t>元。经评估，该协议期</w:t>
      </w:r>
      <w:r>
        <w:rPr>
          <w:rFonts w:hint="eastAsia" w:ascii="Times New Roman" w:hAnsi="Times New Roman" w:eastAsia="仿宋_GB2312"/>
          <w:sz w:val="28"/>
          <w:szCs w:val="28"/>
        </w:rPr>
        <w:t>运营管理费用支出本协议期占服务总经费的</w:t>
      </w:r>
      <w:r>
        <w:rPr>
          <w:rFonts w:ascii="Times New Roman" w:hAnsi="Times New Roman" w:eastAsia="仿宋_GB2312"/>
          <w:sz w:val="28"/>
          <w:szCs w:val="28"/>
        </w:rPr>
        <w:t>7.56%</w:t>
      </w:r>
      <w:r>
        <w:rPr>
          <w:rFonts w:hint="eastAsia" w:ascii="Times New Roman" w:hAnsi="Times New Roman" w:eastAsia="仿宋_GB2312"/>
          <w:sz w:val="28"/>
          <w:szCs w:val="28"/>
        </w:rPr>
        <w:t>。</w:t>
      </w:r>
    </w:p>
    <w:p>
      <w:pPr>
        <w:spacing w:line="640" w:lineRule="exact"/>
        <w:ind w:right="-2"/>
        <w:outlineLvl w:val="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八、累计结余情况（</w:t>
      </w:r>
      <w:r>
        <w:rPr>
          <w:rFonts w:hint="eastAsia" w:ascii="Times New Roman" w:hAnsi="Times New Roman" w:eastAsia="仿宋_GB2312" w:cs="Times New Roman"/>
          <w:b/>
          <w:sz w:val="28"/>
          <w:szCs w:val="28"/>
        </w:rPr>
        <w:t>201</w:t>
      </w:r>
      <w:r>
        <w:rPr>
          <w:rFonts w:ascii="Times New Roman" w:hAnsi="Times New Roman" w:eastAsia="仿宋_GB2312" w:cs="Times New Roman"/>
          <w:b/>
          <w:sz w:val="28"/>
          <w:szCs w:val="28"/>
        </w:rPr>
        <w:t>6</w:t>
      </w:r>
      <w:r>
        <w:rPr>
          <w:rFonts w:hint="eastAsia" w:ascii="Times New Roman" w:hAnsi="Times New Roman" w:eastAsia="仿宋_GB2312" w:cs="Times New Roman"/>
          <w:b/>
          <w:sz w:val="28"/>
          <w:szCs w:val="28"/>
        </w:rPr>
        <w:t>年</w:t>
      </w:r>
      <w:r>
        <w:rPr>
          <w:rFonts w:ascii="Times New Roman" w:hAnsi="Times New Roman" w:eastAsia="仿宋_GB2312" w:cs="Times New Roman"/>
          <w:b/>
          <w:sz w:val="28"/>
          <w:szCs w:val="28"/>
        </w:rPr>
        <w:t>9</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30</w:t>
      </w:r>
      <w:r>
        <w:rPr>
          <w:rFonts w:hint="eastAsia" w:ascii="Times New Roman" w:hAnsi="Times New Roman" w:eastAsia="仿宋_GB2312" w:cs="Times New Roman"/>
          <w:b/>
          <w:sz w:val="28"/>
          <w:szCs w:val="28"/>
        </w:rPr>
        <w:t>日</w:t>
      </w:r>
      <w:r>
        <w:rPr>
          <w:rFonts w:hint="eastAsia" w:ascii="Times New Roman" w:hAnsi="Times New Roman" w:eastAsia="仿宋_GB2312" w:cs="Times New Roman"/>
          <w:b/>
          <w:color w:val="000000" w:themeColor="text1"/>
          <w:sz w:val="28"/>
          <w:szCs w:val="28"/>
          <w14:textFill>
            <w14:solidFill>
              <w14:schemeClr w14:val="tx1"/>
            </w14:solidFill>
          </w14:textFill>
        </w:rPr>
        <w:t>~20</w:t>
      </w:r>
      <w:r>
        <w:rPr>
          <w:rFonts w:ascii="Times New Roman" w:hAnsi="Times New Roman" w:eastAsia="仿宋_GB2312" w:cs="Times New Roman"/>
          <w:b/>
          <w:color w:val="000000" w:themeColor="text1"/>
          <w:sz w:val="28"/>
          <w:szCs w:val="28"/>
          <w14:textFill>
            <w14:solidFill>
              <w14:schemeClr w14:val="tx1"/>
            </w14:solidFill>
          </w14:textFill>
        </w:rPr>
        <w:t>2</w:t>
      </w:r>
      <w:r>
        <w:rPr>
          <w:rFonts w:hint="eastAsia" w:ascii="Times New Roman" w:hAnsi="Times New Roman" w:eastAsia="仿宋_GB2312" w:cs="Times New Roman"/>
          <w:b/>
          <w:color w:val="000000" w:themeColor="text1"/>
          <w:sz w:val="28"/>
          <w:szCs w:val="28"/>
          <w14:textFill>
            <w14:solidFill>
              <w14:schemeClr w14:val="tx1"/>
            </w14:solidFill>
          </w14:textFill>
        </w:rPr>
        <w:t>5年2月24日）</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w:t>
      </w:r>
      <w:r>
        <w:rPr>
          <w:rFonts w:ascii="Times New Roman" w:hAnsi="Times New Roman" w:eastAsia="仿宋_GB2312"/>
          <w:color w:val="000000" w:themeColor="text1"/>
          <w:sz w:val="28"/>
          <w:szCs w:val="28"/>
          <w14:textFill>
            <w14:solidFill>
              <w14:schemeClr w14:val="tx1"/>
            </w14:solidFill>
          </w14:textFill>
        </w:rPr>
        <w:t>202</w:t>
      </w:r>
      <w:r>
        <w:rPr>
          <w:rFonts w:hint="eastAsia" w:ascii="Times New Roman" w:hAnsi="Times New Roman" w:eastAsia="仿宋_GB2312"/>
          <w:color w:val="000000" w:themeColor="text1"/>
          <w:sz w:val="28"/>
          <w:szCs w:val="28"/>
          <w14:textFill>
            <w14:solidFill>
              <w14:schemeClr w14:val="tx1"/>
            </w14:solidFill>
          </w14:textFill>
        </w:rPr>
        <w:t>4</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267号”财务管理情况评估报告及本次</w:t>
      </w:r>
      <w:r>
        <w:rPr>
          <w:rFonts w:hint="eastAsia" w:ascii="Times New Roman" w:hAnsi="Times New Roman" w:eastAsia="仿宋_GB2312" w:cs="Times New Roman"/>
          <w:color w:val="000000" w:themeColor="text1"/>
          <w:sz w:val="28"/>
          <w:szCs w:val="28"/>
          <w14:textFill>
            <w14:solidFill>
              <w14:schemeClr w14:val="tx1"/>
            </w14:solidFill>
          </w14:textFill>
        </w:rPr>
        <w:t>2024年8月25日至2025年2月24日</w:t>
      </w:r>
      <w:r>
        <w:rPr>
          <w:rFonts w:hint="eastAsia" w:ascii="Times New Roman" w:hAnsi="Times New Roman" w:eastAsia="仿宋_GB2312"/>
          <w:color w:val="000000" w:themeColor="text1"/>
          <w:sz w:val="28"/>
          <w:szCs w:val="28"/>
          <w14:textFill>
            <w14:solidFill>
              <w14:schemeClr w14:val="tx1"/>
            </w14:solidFill>
          </w14:textFill>
        </w:rPr>
        <w:t>财务管理评估情况，</w:t>
      </w:r>
      <w:r>
        <w:rPr>
          <w:rFonts w:hint="eastAsia" w:ascii="Times New Roman" w:hAnsi="Times New Roman" w:eastAsia="仿宋_GB2312" w:cs="Times New Roman"/>
          <w:sz w:val="28"/>
          <w:szCs w:val="28"/>
        </w:rPr>
        <w:t>自201</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年9月30日</w:t>
      </w:r>
      <w:r>
        <w:rPr>
          <w:rFonts w:hint="eastAsia" w:ascii="Times New Roman" w:hAnsi="Times New Roman" w:eastAsia="仿宋_GB2312" w:cs="Times New Roman"/>
          <w:color w:val="000000" w:themeColor="text1"/>
          <w:sz w:val="28"/>
          <w:szCs w:val="28"/>
          <w14:textFill>
            <w14:solidFill>
              <w14:schemeClr w14:val="tx1"/>
            </w14:solidFill>
          </w14:textFill>
        </w:rPr>
        <w:t>至2025年2月24日，大龙社工站服务经费累计结余-868,527.90元</w:t>
      </w:r>
      <w:r>
        <w:rPr>
          <w:rFonts w:hint="eastAsia" w:ascii="Times New Roman" w:hAnsi="Times New Roman" w:eastAsia="仿宋_GB2312"/>
          <w:sz w:val="28"/>
          <w:szCs w:val="28"/>
        </w:rPr>
        <w:t>（不含未拨入的</w:t>
      </w:r>
      <w:r>
        <w:rPr>
          <w:rFonts w:ascii="Times New Roman" w:hAnsi="Times New Roman" w:eastAsia="仿宋_GB2312"/>
          <w:sz w:val="28"/>
          <w:szCs w:val="28"/>
        </w:rPr>
        <w:t>1,945,600.00</w:t>
      </w:r>
      <w:r>
        <w:rPr>
          <w:rFonts w:hint="eastAsia" w:ascii="Times New Roman" w:hAnsi="Times New Roman" w:eastAsia="仿宋_GB2312"/>
          <w:sz w:val="28"/>
          <w:szCs w:val="28"/>
        </w:rPr>
        <w:t>元）</w:t>
      </w:r>
      <w:r>
        <w:rPr>
          <w:rFonts w:hint="eastAsia" w:ascii="Times New Roman" w:hAnsi="Times New Roman" w:eastAsia="仿宋_GB2312" w:cs="Times New Roman"/>
          <w:color w:val="000000" w:themeColor="text1"/>
          <w:sz w:val="28"/>
          <w:szCs w:val="28"/>
          <w14:textFill>
            <w14:solidFill>
              <w14:schemeClr w14:val="tx1"/>
            </w14:solidFill>
          </w14:textFill>
        </w:rPr>
        <w:t>。具体每期结余情况如下：</w:t>
      </w:r>
    </w:p>
    <w:p>
      <w:pPr>
        <w:spacing w:line="590" w:lineRule="exact"/>
        <w:ind w:firstLine="560"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sz w:val="28"/>
          <w:szCs w:val="28"/>
        </w:rPr>
        <w:t>㈠大龙社工站20</w:t>
      </w:r>
      <w:r>
        <w:rPr>
          <w:rFonts w:ascii="Times New Roman" w:hAnsi="Times New Roman" w:eastAsia="仿宋_GB2312"/>
          <w:sz w:val="28"/>
          <w:szCs w:val="28"/>
        </w:rPr>
        <w:t>16</w:t>
      </w:r>
      <w:r>
        <w:rPr>
          <w:rFonts w:hint="eastAsia" w:ascii="Times New Roman" w:hAnsi="Times New Roman" w:eastAsia="仿宋_GB2312"/>
          <w:sz w:val="28"/>
          <w:szCs w:val="28"/>
        </w:rPr>
        <w:t>年</w:t>
      </w:r>
      <w:r>
        <w:rPr>
          <w:rFonts w:ascii="Times New Roman" w:hAnsi="Times New Roman" w:eastAsia="仿宋_GB2312"/>
          <w:sz w:val="28"/>
          <w:szCs w:val="28"/>
        </w:rPr>
        <w:t>9</w:t>
      </w:r>
      <w:r>
        <w:rPr>
          <w:rFonts w:hint="eastAsia" w:ascii="Times New Roman" w:hAnsi="Times New Roman" w:eastAsia="仿宋_GB2312"/>
          <w:sz w:val="28"/>
          <w:szCs w:val="28"/>
        </w:rPr>
        <w:t>月</w:t>
      </w:r>
      <w:r>
        <w:rPr>
          <w:rFonts w:ascii="Times New Roman" w:hAnsi="Times New Roman" w:eastAsia="仿宋_GB2312"/>
          <w:sz w:val="28"/>
          <w:szCs w:val="28"/>
        </w:rPr>
        <w:t>30</w:t>
      </w:r>
      <w:r>
        <w:rPr>
          <w:rFonts w:hint="eastAsia" w:ascii="Times New Roman" w:hAnsi="Times New Roman" w:eastAsia="仿宋_GB2312"/>
          <w:sz w:val="28"/>
          <w:szCs w:val="28"/>
        </w:rPr>
        <w:t>日至20</w:t>
      </w:r>
      <w:r>
        <w:rPr>
          <w:rFonts w:ascii="Times New Roman" w:hAnsi="Times New Roman" w:eastAsia="仿宋_GB2312"/>
          <w:sz w:val="28"/>
          <w:szCs w:val="28"/>
        </w:rPr>
        <w:t>19</w:t>
      </w:r>
      <w:r>
        <w:rPr>
          <w:rFonts w:hint="eastAsia" w:ascii="Times New Roman" w:hAnsi="Times New Roman" w:eastAsia="仿宋_GB2312"/>
          <w:sz w:val="28"/>
          <w:szCs w:val="28"/>
        </w:rPr>
        <w:t>年</w:t>
      </w:r>
      <w:r>
        <w:rPr>
          <w:rFonts w:ascii="Times New Roman" w:hAnsi="Times New Roman" w:eastAsia="仿宋_GB2312"/>
          <w:sz w:val="28"/>
          <w:szCs w:val="28"/>
        </w:rPr>
        <w:t>9</w:t>
      </w:r>
      <w:r>
        <w:rPr>
          <w:rFonts w:hint="eastAsia" w:ascii="Times New Roman" w:hAnsi="Times New Roman" w:eastAsia="仿宋_GB2312"/>
          <w:sz w:val="28"/>
          <w:szCs w:val="28"/>
        </w:rPr>
        <w:t>月</w:t>
      </w:r>
      <w:r>
        <w:rPr>
          <w:rFonts w:ascii="Times New Roman" w:hAnsi="Times New Roman" w:eastAsia="仿宋_GB2312"/>
          <w:sz w:val="28"/>
          <w:szCs w:val="28"/>
        </w:rPr>
        <w:t>29</w:t>
      </w:r>
      <w:r>
        <w:rPr>
          <w:rFonts w:hint="eastAsia" w:ascii="Times New Roman" w:hAnsi="Times New Roman" w:eastAsia="仿宋_GB2312"/>
          <w:sz w:val="28"/>
          <w:szCs w:val="28"/>
        </w:rPr>
        <w:t>日三年服务周期结束，结余资金</w:t>
      </w:r>
      <w:r>
        <w:rPr>
          <w:rFonts w:ascii="Times New Roman" w:hAnsi="Times New Roman" w:eastAsia="仿宋_GB2312"/>
          <w:sz w:val="28"/>
          <w:szCs w:val="28"/>
        </w:rPr>
        <w:t>308,810.25</w:t>
      </w:r>
      <w:r>
        <w:rPr>
          <w:rFonts w:hint="eastAsia" w:ascii="Times New Roman" w:hAnsi="Times New Roman" w:eastAsia="仿宋_GB2312"/>
          <w:sz w:val="28"/>
          <w:szCs w:val="28"/>
        </w:rPr>
        <w:t>元。</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㈡大龙社工站20</w:t>
      </w:r>
      <w:r>
        <w:rPr>
          <w:rFonts w:ascii="Times New Roman" w:hAnsi="Times New Roman" w:eastAsia="仿宋_GB2312"/>
          <w:sz w:val="28"/>
          <w:szCs w:val="28"/>
        </w:rPr>
        <w:t>19</w:t>
      </w:r>
      <w:r>
        <w:rPr>
          <w:rFonts w:hint="eastAsia" w:ascii="Times New Roman" w:hAnsi="Times New Roman" w:eastAsia="仿宋_GB2312"/>
          <w:sz w:val="28"/>
          <w:szCs w:val="28"/>
        </w:rPr>
        <w:t>年</w:t>
      </w:r>
      <w:r>
        <w:rPr>
          <w:rFonts w:ascii="Times New Roman" w:hAnsi="Times New Roman" w:eastAsia="仿宋_GB2312"/>
          <w:sz w:val="28"/>
          <w:szCs w:val="28"/>
        </w:rPr>
        <w:t>10</w:t>
      </w:r>
      <w:r>
        <w:rPr>
          <w:rFonts w:hint="eastAsia" w:ascii="Times New Roman" w:hAnsi="Times New Roman" w:eastAsia="仿宋_GB2312"/>
          <w:sz w:val="28"/>
          <w:szCs w:val="28"/>
        </w:rPr>
        <w:t>月</w:t>
      </w:r>
      <w:r>
        <w:rPr>
          <w:rFonts w:ascii="Times New Roman" w:hAnsi="Times New Roman" w:eastAsia="仿宋_GB2312"/>
          <w:sz w:val="28"/>
          <w:szCs w:val="28"/>
        </w:rPr>
        <w:t>26</w:t>
      </w:r>
      <w:r>
        <w:rPr>
          <w:rFonts w:hint="eastAsia" w:ascii="Times New Roman" w:hAnsi="Times New Roman" w:eastAsia="仿宋_GB2312"/>
          <w:sz w:val="28"/>
          <w:szCs w:val="28"/>
        </w:rPr>
        <w:t>日至</w:t>
      </w:r>
      <w:r>
        <w:rPr>
          <w:rFonts w:hint="eastAsia" w:ascii="Times New Roman" w:hAnsi="Times New Roman" w:eastAsia="仿宋_GB2312"/>
          <w:color w:val="000000" w:themeColor="text1"/>
          <w:sz w:val="28"/>
          <w:szCs w:val="28"/>
          <w14:textFill>
            <w14:solidFill>
              <w14:schemeClr w14:val="tx1"/>
            </w14:solidFill>
          </w14:textFill>
        </w:rPr>
        <w:t>2024年8月25日</w:t>
      </w:r>
      <w:r>
        <w:rPr>
          <w:rFonts w:hint="eastAsia" w:ascii="Times New Roman" w:hAnsi="Times New Roman" w:eastAsia="仿宋_GB2312"/>
          <w:sz w:val="28"/>
          <w:szCs w:val="28"/>
        </w:rPr>
        <w:t>五年服务周期结束，结余资金</w:t>
      </w:r>
      <w:r>
        <w:rPr>
          <w:rFonts w:ascii="Times New Roman" w:hAnsi="Times New Roman" w:eastAsia="仿宋_GB2312"/>
          <w:sz w:val="28"/>
          <w:szCs w:val="28"/>
        </w:rPr>
        <w:t>-958,061.09</w:t>
      </w:r>
      <w:r>
        <w:rPr>
          <w:rFonts w:hint="eastAsia" w:ascii="Times New Roman" w:hAnsi="Times New Roman" w:eastAsia="仿宋_GB2312"/>
          <w:sz w:val="28"/>
          <w:szCs w:val="28"/>
        </w:rPr>
        <w:t>元，其中：</w:t>
      </w:r>
    </w:p>
    <w:p>
      <w:pPr>
        <w:spacing w:line="59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第一年协议期</w:t>
      </w:r>
      <w:r>
        <w:rPr>
          <w:rFonts w:hint="eastAsia" w:ascii="Times New Roman" w:hAnsi="Times New Roman" w:eastAsia="仿宋_GB2312"/>
          <w:spacing w:val="-10"/>
          <w:sz w:val="28"/>
          <w:szCs w:val="28"/>
        </w:rPr>
        <w:t>20</w:t>
      </w:r>
      <w:r>
        <w:rPr>
          <w:rFonts w:ascii="Times New Roman" w:hAnsi="Times New Roman" w:eastAsia="仿宋_GB2312"/>
          <w:spacing w:val="-10"/>
          <w:sz w:val="28"/>
          <w:szCs w:val="28"/>
        </w:rPr>
        <w:t>19</w:t>
      </w:r>
      <w:r>
        <w:rPr>
          <w:rFonts w:hint="eastAsia" w:ascii="Times New Roman" w:hAnsi="Times New Roman" w:eastAsia="仿宋_GB2312"/>
          <w:spacing w:val="-10"/>
          <w:sz w:val="28"/>
          <w:szCs w:val="28"/>
        </w:rPr>
        <w:t>年10月</w:t>
      </w:r>
      <w:r>
        <w:rPr>
          <w:rFonts w:ascii="Times New Roman" w:hAnsi="Times New Roman" w:eastAsia="仿宋_GB2312"/>
          <w:spacing w:val="-10"/>
          <w:sz w:val="28"/>
          <w:szCs w:val="28"/>
        </w:rPr>
        <w:t>26</w:t>
      </w:r>
      <w:r>
        <w:rPr>
          <w:rFonts w:hint="eastAsia" w:ascii="Times New Roman" w:hAnsi="Times New Roman" w:eastAsia="仿宋_GB2312"/>
          <w:spacing w:val="-10"/>
          <w:sz w:val="28"/>
          <w:szCs w:val="28"/>
        </w:rPr>
        <w:t>日至202</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年</w:t>
      </w:r>
      <w:r>
        <w:rPr>
          <w:rFonts w:ascii="Times New Roman" w:hAnsi="Times New Roman" w:eastAsia="仿宋_GB2312"/>
          <w:spacing w:val="-10"/>
          <w:sz w:val="28"/>
          <w:szCs w:val="28"/>
        </w:rPr>
        <w:t>8</w:t>
      </w:r>
      <w:r>
        <w:rPr>
          <w:rFonts w:hint="eastAsia" w:ascii="Times New Roman" w:hAnsi="Times New Roman" w:eastAsia="仿宋_GB2312"/>
          <w:spacing w:val="-10"/>
          <w:sz w:val="28"/>
          <w:szCs w:val="28"/>
        </w:rPr>
        <w:t>月</w:t>
      </w:r>
      <w:r>
        <w:rPr>
          <w:rFonts w:ascii="Times New Roman" w:hAnsi="Times New Roman" w:eastAsia="仿宋_GB2312"/>
          <w:spacing w:val="-10"/>
          <w:sz w:val="28"/>
          <w:szCs w:val="28"/>
        </w:rPr>
        <w:t>25</w:t>
      </w:r>
      <w:r>
        <w:rPr>
          <w:rFonts w:hint="eastAsia" w:ascii="Times New Roman" w:hAnsi="Times New Roman" w:eastAsia="仿宋_GB2312"/>
          <w:spacing w:val="-10"/>
          <w:sz w:val="28"/>
          <w:szCs w:val="28"/>
        </w:rPr>
        <w:t>日（含2</w:t>
      </w:r>
      <w:r>
        <w:rPr>
          <w:rFonts w:ascii="Times New Roman" w:hAnsi="Times New Roman" w:eastAsia="仿宋_GB2312"/>
          <w:spacing w:val="-10"/>
          <w:sz w:val="28"/>
          <w:szCs w:val="28"/>
        </w:rPr>
        <w:t>019</w:t>
      </w:r>
      <w:r>
        <w:rPr>
          <w:rFonts w:hint="eastAsia" w:ascii="Times New Roman" w:hAnsi="Times New Roman" w:eastAsia="仿宋_GB2312"/>
          <w:spacing w:val="-10"/>
          <w:sz w:val="28"/>
          <w:szCs w:val="28"/>
        </w:rPr>
        <w:t>年9月3</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日至2</w:t>
      </w:r>
      <w:r>
        <w:rPr>
          <w:rFonts w:ascii="Times New Roman" w:hAnsi="Times New Roman" w:eastAsia="仿宋_GB2312"/>
          <w:spacing w:val="-10"/>
          <w:sz w:val="28"/>
          <w:szCs w:val="28"/>
        </w:rPr>
        <w:t>019</w:t>
      </w:r>
      <w:r>
        <w:rPr>
          <w:rFonts w:hint="eastAsia" w:ascii="Times New Roman" w:hAnsi="Times New Roman" w:eastAsia="仿宋_GB2312"/>
          <w:spacing w:val="-10"/>
          <w:sz w:val="28"/>
          <w:szCs w:val="28"/>
        </w:rPr>
        <w:t>年1</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月2</w:t>
      </w:r>
      <w:r>
        <w:rPr>
          <w:rFonts w:ascii="Times New Roman" w:hAnsi="Times New Roman" w:eastAsia="仿宋_GB2312"/>
          <w:spacing w:val="-10"/>
          <w:sz w:val="28"/>
          <w:szCs w:val="28"/>
        </w:rPr>
        <w:t>5</w:t>
      </w:r>
      <w:r>
        <w:rPr>
          <w:rFonts w:hint="eastAsia" w:ascii="Times New Roman" w:hAnsi="Times New Roman" w:eastAsia="仿宋_GB2312"/>
          <w:spacing w:val="-10"/>
          <w:sz w:val="28"/>
          <w:szCs w:val="28"/>
        </w:rPr>
        <w:t>日空档期1</w:t>
      </w:r>
      <w:r>
        <w:rPr>
          <w:rFonts w:ascii="Times New Roman" w:hAnsi="Times New Roman" w:eastAsia="仿宋_GB2312"/>
          <w:spacing w:val="-10"/>
          <w:sz w:val="28"/>
          <w:szCs w:val="28"/>
        </w:rPr>
        <w:t>23</w:t>
      </w:r>
      <w:r>
        <w:rPr>
          <w:rFonts w:hint="eastAsia" w:ascii="Times New Roman" w:hAnsi="Times New Roman" w:eastAsia="仿宋_GB2312"/>
          <w:spacing w:val="-10"/>
          <w:sz w:val="28"/>
          <w:szCs w:val="28"/>
        </w:rPr>
        <w:t>,</w:t>
      </w:r>
      <w:r>
        <w:rPr>
          <w:rFonts w:ascii="Times New Roman" w:hAnsi="Times New Roman" w:eastAsia="仿宋_GB2312"/>
          <w:spacing w:val="-10"/>
          <w:sz w:val="28"/>
          <w:szCs w:val="28"/>
        </w:rPr>
        <w:t>055.96</w:t>
      </w:r>
      <w:r>
        <w:rPr>
          <w:rFonts w:hint="eastAsia" w:ascii="Times New Roman" w:hAnsi="Times New Roman" w:eastAsia="仿宋_GB2312"/>
          <w:spacing w:val="-10"/>
          <w:sz w:val="28"/>
          <w:szCs w:val="28"/>
        </w:rPr>
        <w:t>元费用）</w:t>
      </w:r>
      <w:r>
        <w:rPr>
          <w:rFonts w:hint="eastAsia" w:ascii="Times New Roman" w:hAnsi="Times New Roman" w:eastAsia="仿宋_GB2312"/>
          <w:color w:val="000000" w:themeColor="text1"/>
          <w:spacing w:val="-8"/>
          <w:sz w:val="28"/>
          <w:szCs w:val="28"/>
          <w14:textFill>
            <w14:solidFill>
              <w14:schemeClr w14:val="tx1"/>
            </w14:solidFill>
          </w14:textFill>
        </w:rPr>
        <w:t>，结余资金</w:t>
      </w:r>
      <w:r>
        <w:rPr>
          <w:rFonts w:ascii="Times New Roman" w:hAnsi="Times New Roman" w:eastAsia="仿宋_GB2312"/>
          <w:spacing w:val="-10"/>
          <w:sz w:val="28"/>
          <w:szCs w:val="28"/>
        </w:rPr>
        <w:t>-243</w:t>
      </w:r>
      <w:r>
        <w:rPr>
          <w:rFonts w:hint="eastAsia" w:ascii="Times New Roman" w:hAnsi="Times New Roman" w:eastAsia="仿宋_GB2312"/>
          <w:spacing w:val="-10"/>
          <w:sz w:val="28"/>
          <w:szCs w:val="28"/>
        </w:rPr>
        <w:t>,</w:t>
      </w:r>
      <w:r>
        <w:rPr>
          <w:rFonts w:ascii="Times New Roman" w:hAnsi="Times New Roman" w:eastAsia="仿宋_GB2312"/>
          <w:spacing w:val="-10"/>
          <w:sz w:val="28"/>
          <w:szCs w:val="28"/>
        </w:rPr>
        <w:t>997.62</w:t>
      </w:r>
      <w:r>
        <w:rPr>
          <w:rFonts w:hint="eastAsia" w:ascii="Times New Roman" w:hAnsi="Times New Roman" w:eastAsia="仿宋_GB2312"/>
          <w:color w:val="000000" w:themeColor="text1"/>
          <w:spacing w:val="-8"/>
          <w:sz w:val="28"/>
          <w:szCs w:val="28"/>
          <w14:textFill>
            <w14:solidFill>
              <w14:schemeClr w14:val="tx1"/>
            </w14:solidFill>
          </w14:textFill>
        </w:rPr>
        <w:t>元。</w:t>
      </w:r>
    </w:p>
    <w:p>
      <w:pPr>
        <w:spacing w:line="59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第二年协议期</w:t>
      </w:r>
      <w:r>
        <w:rPr>
          <w:rFonts w:hint="eastAsia" w:ascii="Times New Roman" w:hAnsi="Times New Roman" w:eastAsia="仿宋_GB2312"/>
          <w:spacing w:val="6"/>
          <w:sz w:val="28"/>
          <w:szCs w:val="28"/>
        </w:rPr>
        <w:t>20</w:t>
      </w:r>
      <w:r>
        <w:rPr>
          <w:rFonts w:ascii="Times New Roman" w:hAnsi="Times New Roman" w:eastAsia="仿宋_GB2312"/>
          <w:spacing w:val="6"/>
          <w:sz w:val="28"/>
          <w:szCs w:val="28"/>
        </w:rPr>
        <w:t>20</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26</w:t>
      </w:r>
      <w:r>
        <w:rPr>
          <w:rFonts w:hint="eastAsia" w:ascii="Times New Roman" w:hAnsi="Times New Roman" w:eastAsia="仿宋_GB2312"/>
          <w:spacing w:val="6"/>
          <w:sz w:val="28"/>
          <w:szCs w:val="28"/>
        </w:rPr>
        <w:t>日至202</w:t>
      </w:r>
      <w:r>
        <w:rPr>
          <w:rFonts w:ascii="Times New Roman" w:hAnsi="Times New Roman" w:eastAsia="仿宋_GB2312"/>
          <w:spacing w:val="6"/>
          <w:sz w:val="28"/>
          <w:szCs w:val="28"/>
        </w:rPr>
        <w:t>1</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25</w:t>
      </w:r>
      <w:r>
        <w:rPr>
          <w:rFonts w:hint="eastAsia" w:ascii="Times New Roman" w:hAnsi="Times New Roman" w:eastAsia="仿宋_GB2312"/>
          <w:spacing w:val="6"/>
          <w:sz w:val="28"/>
          <w:szCs w:val="28"/>
        </w:rPr>
        <w:t>日</w:t>
      </w:r>
      <w:r>
        <w:rPr>
          <w:rFonts w:hint="eastAsia" w:ascii="Times New Roman" w:hAnsi="Times New Roman" w:eastAsia="仿宋_GB2312"/>
          <w:color w:val="000000" w:themeColor="text1"/>
          <w:spacing w:val="6"/>
          <w:sz w:val="28"/>
          <w:szCs w:val="28"/>
          <w14:textFill>
            <w14:solidFill>
              <w14:schemeClr w14:val="tx1"/>
            </w14:solidFill>
          </w14:textFill>
        </w:rPr>
        <w:t>，结余资金</w:t>
      </w:r>
      <w:r>
        <w:rPr>
          <w:rFonts w:ascii="Times New Roman" w:hAnsi="Times New Roman" w:eastAsia="仿宋_GB2312"/>
          <w:spacing w:val="6"/>
          <w:sz w:val="28"/>
          <w:szCs w:val="28"/>
        </w:rPr>
        <w:t>-100,973.79</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59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第三年协议期</w:t>
      </w:r>
      <w:r>
        <w:rPr>
          <w:rFonts w:hint="eastAsia" w:ascii="Times New Roman" w:hAnsi="Times New Roman" w:eastAsia="仿宋_GB2312"/>
          <w:spacing w:val="6"/>
          <w:sz w:val="28"/>
          <w:szCs w:val="28"/>
        </w:rPr>
        <w:t>20</w:t>
      </w:r>
      <w:r>
        <w:rPr>
          <w:rFonts w:ascii="Times New Roman" w:hAnsi="Times New Roman" w:eastAsia="仿宋_GB2312"/>
          <w:spacing w:val="6"/>
          <w:sz w:val="28"/>
          <w:szCs w:val="28"/>
        </w:rPr>
        <w:t>21</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26</w:t>
      </w:r>
      <w:r>
        <w:rPr>
          <w:rFonts w:hint="eastAsia" w:ascii="Times New Roman" w:hAnsi="Times New Roman" w:eastAsia="仿宋_GB2312"/>
          <w:spacing w:val="6"/>
          <w:sz w:val="28"/>
          <w:szCs w:val="28"/>
        </w:rPr>
        <w:t>日至202</w:t>
      </w:r>
      <w:r>
        <w:rPr>
          <w:rFonts w:ascii="Times New Roman" w:hAnsi="Times New Roman" w:eastAsia="仿宋_GB2312"/>
          <w:spacing w:val="6"/>
          <w:sz w:val="28"/>
          <w:szCs w:val="28"/>
        </w:rPr>
        <w:t>2</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25</w:t>
      </w:r>
      <w:r>
        <w:rPr>
          <w:rFonts w:hint="eastAsia" w:ascii="Times New Roman" w:hAnsi="Times New Roman" w:eastAsia="仿宋_GB2312"/>
          <w:spacing w:val="6"/>
          <w:sz w:val="28"/>
          <w:szCs w:val="28"/>
        </w:rPr>
        <w:t>日</w:t>
      </w:r>
      <w:r>
        <w:rPr>
          <w:rFonts w:hint="eastAsia" w:ascii="Times New Roman" w:hAnsi="Times New Roman" w:eastAsia="仿宋_GB2312"/>
          <w:color w:val="000000" w:themeColor="text1"/>
          <w:spacing w:val="6"/>
          <w:sz w:val="28"/>
          <w:szCs w:val="28"/>
          <w14:textFill>
            <w14:solidFill>
              <w14:schemeClr w14:val="tx1"/>
            </w14:solidFill>
          </w14:textFill>
        </w:rPr>
        <w:t>，结余资金</w:t>
      </w:r>
      <w:r>
        <w:rPr>
          <w:rFonts w:ascii="Times New Roman" w:hAnsi="Times New Roman" w:eastAsia="仿宋_GB2312"/>
          <w:color w:val="000000" w:themeColor="text1"/>
          <w:spacing w:val="6"/>
          <w:sz w:val="28"/>
          <w:szCs w:val="28"/>
          <w14:textFill>
            <w14:solidFill>
              <w14:schemeClr w14:val="tx1"/>
            </w14:solidFill>
          </w14:textFill>
        </w:rPr>
        <w:t>12,595.30</w:t>
      </w:r>
      <w:r>
        <w:rPr>
          <w:rFonts w:hint="eastAsia" w:ascii="Times New Roman" w:hAnsi="Times New Roman" w:eastAsia="仿宋_GB2312"/>
          <w:color w:val="000000" w:themeColor="text1"/>
          <w:spacing w:val="6"/>
          <w:sz w:val="28"/>
          <w:szCs w:val="28"/>
          <w14:textFill>
            <w14:solidFill>
              <w14:schemeClr w14:val="tx1"/>
            </w14:solidFill>
          </w14:textFill>
        </w:rPr>
        <w:t>元</w:t>
      </w:r>
      <w:r>
        <w:rPr>
          <w:rFonts w:hint="eastAsia" w:ascii="Times New Roman" w:hAnsi="Times New Roman" w:eastAsia="仿宋_GB2312" w:cs="Times New Roman"/>
          <w:color w:val="000000" w:themeColor="text1"/>
          <w:spacing w:val="6"/>
          <w:sz w:val="28"/>
          <w:szCs w:val="28"/>
          <w14:textFill>
            <w14:solidFill>
              <w14:schemeClr w14:val="tx1"/>
            </w14:solidFill>
          </w14:textFill>
        </w:rPr>
        <w:t>。</w:t>
      </w:r>
    </w:p>
    <w:p>
      <w:pPr>
        <w:spacing w:line="59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eastAsia="仿宋"/>
          <w:spacing w:val="6"/>
          <w:sz w:val="28"/>
          <w:szCs w:val="28"/>
        </w:rPr>
        <w:t>第四年协议期</w:t>
      </w:r>
      <w:r>
        <w:rPr>
          <w:rFonts w:hint="eastAsia" w:ascii="Times New Roman" w:hAnsi="Times New Roman" w:eastAsia="仿宋_GB2312"/>
          <w:color w:val="000000" w:themeColor="text1"/>
          <w:spacing w:val="6"/>
          <w:sz w:val="28"/>
          <w:szCs w:val="28"/>
          <w14:textFill>
            <w14:solidFill>
              <w14:schemeClr w14:val="tx1"/>
            </w14:solidFill>
          </w14:textFill>
        </w:rPr>
        <w:t>2022年8月26日至2023年8月25日，结余资金</w:t>
      </w:r>
      <w:r>
        <w:rPr>
          <w:rFonts w:ascii="Times New Roman" w:hAnsi="Times New Roman" w:eastAsia="仿宋_GB2312"/>
          <w:color w:val="000000" w:themeColor="text1"/>
          <w:spacing w:val="6"/>
          <w:sz w:val="28"/>
          <w:szCs w:val="28"/>
          <w14:textFill>
            <w14:solidFill>
              <w14:schemeClr w14:val="tx1"/>
            </w14:solidFill>
          </w14:textFill>
        </w:rPr>
        <w:t>-43,175.98</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第五协议期2023年8月26日至2024年8月25日，结余金额</w:t>
      </w:r>
      <w:r>
        <w:rPr>
          <w:rFonts w:ascii="Times New Roman" w:hAnsi="Times New Roman" w:eastAsia="仿宋_GB2312"/>
          <w:color w:val="000000" w:themeColor="text1"/>
          <w:sz w:val="28"/>
          <w:szCs w:val="28"/>
          <w14:textFill>
            <w14:solidFill>
              <w14:schemeClr w14:val="tx1"/>
            </w14:solidFill>
          </w14:textFill>
        </w:rPr>
        <w:t xml:space="preserve">-582,509.00 </w:t>
      </w:r>
      <w:r>
        <w:rPr>
          <w:rFonts w:hint="eastAsia" w:ascii="Times New Roman" w:hAnsi="Times New Roman" w:eastAsia="仿宋_GB2312"/>
          <w:color w:val="000000" w:themeColor="text1"/>
          <w:sz w:val="28"/>
          <w:szCs w:val="28"/>
          <w14:textFill>
            <w14:solidFill>
              <w14:schemeClr w14:val="tx1"/>
            </w14:solidFill>
          </w14:textFill>
        </w:rPr>
        <w:t>元</w:t>
      </w:r>
      <w:r>
        <w:rPr>
          <w:rFonts w:hint="eastAsia" w:ascii="Times New Roman" w:hAnsi="Times New Roman" w:eastAsia="仿宋_GB2312"/>
          <w:sz w:val="28"/>
          <w:szCs w:val="28"/>
        </w:rPr>
        <w:t>（不含未拨入的</w:t>
      </w:r>
      <w:r>
        <w:rPr>
          <w:rFonts w:ascii="Times New Roman" w:hAnsi="Times New Roman" w:eastAsia="仿宋_GB2312"/>
          <w:sz w:val="28"/>
          <w:szCs w:val="28"/>
        </w:rPr>
        <w:t>469,600.00</w:t>
      </w:r>
      <w:r>
        <w:rPr>
          <w:rFonts w:hint="eastAsia" w:ascii="Times New Roman" w:hAnsi="Times New Roman" w:eastAsia="仿宋_GB2312"/>
          <w:sz w:val="28"/>
          <w:szCs w:val="28"/>
        </w:rPr>
        <w:t>元）</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㈢2024年8月25日起为大龙社工站三年服务周期，其中：</w:t>
      </w:r>
    </w:p>
    <w:p>
      <w:pPr>
        <w:spacing w:line="590" w:lineRule="exact"/>
        <w:ind w:firstLine="536"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spacing w:val="-6"/>
          <w:sz w:val="28"/>
          <w:szCs w:val="28"/>
        </w:rPr>
        <w:t>本评估期</w:t>
      </w:r>
      <w:r>
        <w:rPr>
          <w:rFonts w:hint="eastAsia" w:ascii="Times New Roman" w:hAnsi="Times New Roman" w:eastAsia="仿宋_GB2312" w:cs="Times New Roman"/>
          <w:color w:val="000000" w:themeColor="text1"/>
          <w:spacing w:val="-6"/>
          <w:sz w:val="28"/>
          <w:szCs w:val="28"/>
          <w14:textFill>
            <w14:solidFill>
              <w14:schemeClr w14:val="tx1"/>
            </w14:solidFill>
          </w14:textFill>
        </w:rPr>
        <w:t>2024年8月25日至2025年2月24日，结余资金</w:t>
      </w:r>
      <w:r>
        <w:rPr>
          <w:rFonts w:ascii="Times New Roman" w:hAnsi="Times New Roman" w:eastAsia="仿宋_GB2312" w:cs="Times New Roman"/>
          <w:color w:val="000000" w:themeColor="text1"/>
          <w:spacing w:val="-6"/>
          <w:sz w:val="28"/>
          <w:szCs w:val="28"/>
          <w14:textFill>
            <w14:solidFill>
              <w14:schemeClr w14:val="tx1"/>
            </w14:solidFill>
          </w14:textFill>
        </w:rPr>
        <w:t>-219,277.06</w:t>
      </w:r>
      <w:r>
        <w:rPr>
          <w:rFonts w:hint="eastAsia" w:ascii="Times New Roman" w:hAnsi="Times New Roman" w:eastAsia="仿宋_GB2312" w:cs="Times New Roman"/>
          <w:color w:val="000000" w:themeColor="text1"/>
          <w:spacing w:val="-6"/>
          <w:sz w:val="28"/>
          <w:szCs w:val="28"/>
          <w14:textFill>
            <w14:solidFill>
              <w14:schemeClr w14:val="tx1"/>
            </w14:solidFill>
          </w14:textFill>
        </w:rPr>
        <w:t>元。</w:t>
      </w:r>
    </w:p>
    <w:p>
      <w:pPr>
        <w:spacing w:line="590" w:lineRule="exact"/>
        <w:ind w:right="-569" w:rightChars="-271"/>
        <w:outlineLvl w:val="0"/>
        <w:rPr>
          <w:rFonts w:eastAsia="仿宋"/>
          <w:b/>
          <w:sz w:val="28"/>
          <w:szCs w:val="28"/>
        </w:rPr>
      </w:pPr>
      <w:r>
        <w:rPr>
          <w:rFonts w:hint="eastAsia" w:eastAsia="仿宋"/>
          <w:b/>
          <w:sz w:val="28"/>
          <w:szCs w:val="28"/>
        </w:rPr>
        <w:t>九、</w:t>
      </w:r>
      <w:r>
        <w:rPr>
          <w:rFonts w:eastAsia="仿宋_GB2312"/>
          <w:b/>
          <w:sz w:val="28"/>
          <w:szCs w:val="28"/>
        </w:rPr>
        <w:t>存在问题及建议</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bookmarkStart w:id="5" w:name="_Hlk136437461"/>
      <w:bookmarkStart w:id="6" w:name="_Hlk110792493"/>
      <w:r>
        <w:rPr>
          <w:rFonts w:hint="eastAsia" w:ascii="Times New Roman" w:hAnsi="Times New Roman" w:eastAsia="仿宋_GB2312"/>
          <w:color w:val="000000" w:themeColor="text1"/>
          <w:sz w:val="28"/>
          <w:szCs w:val="28"/>
          <w14:textFill>
            <w14:solidFill>
              <w14:schemeClr w14:val="tx1"/>
            </w14:solidFill>
          </w14:textFill>
        </w:rPr>
        <w:t>㈠本评估期存在问题及建议</w:t>
      </w:r>
    </w:p>
    <w:p>
      <w:pPr>
        <w:spacing w:line="580" w:lineRule="atLeas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根据承接机构制定的《财务报销制度及报销流程》：“……</w:t>
      </w:r>
      <w:r>
        <w:rPr>
          <w:rFonts w:ascii="Times New Roman" w:hAnsi="Times New Roman" w:eastAsia="仿宋_GB2312" w:cs="Times New Roman"/>
          <w:sz w:val="28"/>
          <w:szCs w:val="28"/>
        </w:rPr>
        <w:t>300元以上至1000元（含1000元）由区域服务总监或机构行政总监审批</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s="Times New Roman"/>
          <w:sz w:val="28"/>
          <w:szCs w:val="28"/>
        </w:rPr>
        <w:t>，</w:t>
      </w:r>
      <w:r>
        <w:rPr>
          <w:rFonts w:hint="eastAsia" w:ascii="Times New Roman" w:hAnsi="Times New Roman" w:eastAsia="仿宋_GB2312"/>
          <w:color w:val="000000" w:themeColor="text1"/>
          <w:sz w:val="28"/>
          <w:szCs w:val="28"/>
          <w14:textFill>
            <w14:solidFill>
              <w14:schemeClr w14:val="tx1"/>
            </w14:solidFill>
          </w14:textFill>
        </w:rPr>
        <w:t>审核发现，承接机构部分支出未按上述制度执行，如：2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4年9月148号凭证支付打印机租金1,940</w:t>
      </w:r>
      <w:r>
        <w:rPr>
          <w:rFonts w:ascii="Times New Roman" w:hAnsi="Times New Roman" w:eastAsia="仿宋_GB2312"/>
          <w:color w:val="000000" w:themeColor="text1"/>
          <w:sz w:val="28"/>
          <w:szCs w:val="28"/>
          <w14:textFill>
            <w14:solidFill>
              <w14:schemeClr w14:val="tx1"/>
            </w14:solidFill>
          </w14:textFill>
        </w:rPr>
        <w:t>.00</w:t>
      </w:r>
      <w:r>
        <w:rPr>
          <w:rFonts w:hint="eastAsia" w:ascii="Times New Roman" w:hAnsi="Times New Roman" w:eastAsia="仿宋_GB2312"/>
          <w:color w:val="000000" w:themeColor="text1"/>
          <w:sz w:val="28"/>
          <w:szCs w:val="28"/>
          <w14:textFill>
            <w14:solidFill>
              <w14:schemeClr w14:val="tx1"/>
            </w14:solidFill>
          </w14:textFill>
        </w:rPr>
        <w:t>元，后附物品采购申请表总干事或理事未签字。2024年11月56号凭证支付办公用品费1,100.00元，后附物品采购申请表总干事或理事未签字。建议严格执行承接机构制定的《财务报销制度及报销流程》中的审批程序，对审批程序不规范的费用支出，不予报销。</w:t>
      </w:r>
    </w:p>
    <w:bookmarkEnd w:id="5"/>
    <w:bookmarkEnd w:id="6"/>
    <w:p>
      <w:pPr>
        <w:spacing w:line="580" w:lineRule="atLeas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㈡上期问题整改情况</w:t>
      </w:r>
    </w:p>
    <w:p>
      <w:pPr>
        <w:spacing w:line="580" w:lineRule="atLeas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w:t>
      </w:r>
      <w:r>
        <w:rPr>
          <w:rFonts w:ascii="Times New Roman" w:hAnsi="Times New Roman" w:eastAsia="仿宋_GB2312"/>
          <w:color w:val="000000" w:themeColor="text1"/>
          <w:sz w:val="28"/>
          <w:szCs w:val="28"/>
          <w14:textFill>
            <w14:solidFill>
              <w14:schemeClr w14:val="tx1"/>
            </w14:solidFill>
          </w14:textFill>
        </w:rPr>
        <w:t>202</w:t>
      </w:r>
      <w:r>
        <w:rPr>
          <w:rFonts w:hint="eastAsia" w:ascii="Times New Roman" w:hAnsi="Times New Roman" w:eastAsia="仿宋_GB2312"/>
          <w:color w:val="000000" w:themeColor="text1"/>
          <w:sz w:val="28"/>
          <w:szCs w:val="28"/>
          <w14:textFill>
            <w14:solidFill>
              <w14:schemeClr w14:val="tx1"/>
            </w14:solidFill>
          </w14:textFill>
        </w:rPr>
        <w:t>4</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267号”财务管理情况评估报告，上一评估期（2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4年2月26日至2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4年8月</w:t>
      </w:r>
      <w:r>
        <w:rPr>
          <w:rFonts w:ascii="Times New Roman" w:hAnsi="Times New Roman" w:eastAsia="仿宋_GB2312"/>
          <w:color w:val="000000" w:themeColor="text1"/>
          <w:sz w:val="28"/>
          <w:szCs w:val="28"/>
          <w14:textFill>
            <w14:solidFill>
              <w14:schemeClr w14:val="tx1"/>
            </w14:solidFill>
          </w14:textFill>
        </w:rPr>
        <w:t>25</w:t>
      </w:r>
      <w:r>
        <w:rPr>
          <w:rFonts w:hint="eastAsia" w:ascii="Times New Roman" w:hAnsi="Times New Roman" w:eastAsia="仿宋_GB2312"/>
          <w:color w:val="000000" w:themeColor="text1"/>
          <w:sz w:val="28"/>
          <w:szCs w:val="28"/>
          <w14:textFill>
            <w14:solidFill>
              <w14:schemeClr w14:val="tx1"/>
            </w14:solidFill>
          </w14:textFill>
        </w:rPr>
        <w:t>日）存在“部分费用支出未严格按照承接机构广州市阳光天使社会工作服务中心制定的《财务报销制度及报销流程》进行审批”的情况，如：2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4年5月55号凭证支付打印机租金</w:t>
      </w:r>
      <w:r>
        <w:rPr>
          <w:rFonts w:ascii="Times New Roman" w:hAnsi="Times New Roman" w:eastAsia="仿宋_GB2312"/>
          <w:color w:val="000000" w:themeColor="text1"/>
          <w:sz w:val="28"/>
          <w:szCs w:val="28"/>
          <w14:textFill>
            <w14:solidFill>
              <w14:schemeClr w14:val="tx1"/>
            </w14:solidFill>
          </w14:textFill>
        </w:rPr>
        <w:t>1,398.00</w:t>
      </w:r>
      <w:r>
        <w:rPr>
          <w:rFonts w:hint="eastAsia" w:ascii="Times New Roman" w:hAnsi="Times New Roman" w:eastAsia="仿宋_GB2312"/>
          <w:color w:val="000000" w:themeColor="text1"/>
          <w:sz w:val="28"/>
          <w:szCs w:val="28"/>
          <w14:textFill>
            <w14:solidFill>
              <w14:schemeClr w14:val="tx1"/>
            </w14:solidFill>
          </w14:textFill>
        </w:rPr>
        <w:t>元，后附物品采购申请表总干事或理事未签字；2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4年7月25号凭证支付公众责任险</w:t>
      </w:r>
      <w:r>
        <w:rPr>
          <w:rFonts w:ascii="Times New Roman" w:hAnsi="Times New Roman" w:eastAsia="仿宋_GB2312"/>
          <w:color w:val="000000" w:themeColor="text1"/>
          <w:sz w:val="28"/>
          <w:szCs w:val="28"/>
          <w14:textFill>
            <w14:solidFill>
              <w14:schemeClr w14:val="tx1"/>
            </w14:solidFill>
          </w14:textFill>
        </w:rPr>
        <w:t>1,886.80</w:t>
      </w:r>
      <w:r>
        <w:rPr>
          <w:rFonts w:hint="eastAsia" w:ascii="Times New Roman" w:hAnsi="Times New Roman" w:eastAsia="仿宋_GB2312"/>
          <w:color w:val="000000" w:themeColor="text1"/>
          <w:sz w:val="28"/>
          <w:szCs w:val="28"/>
          <w14:textFill>
            <w14:solidFill>
              <w14:schemeClr w14:val="tx1"/>
            </w14:solidFill>
          </w14:textFill>
        </w:rPr>
        <w:t>元，后附请示行政总监或区域总监未签字。</w:t>
      </w:r>
      <w:r>
        <w:rPr>
          <w:rFonts w:hint="eastAsia" w:eastAsia="仿宋_GB2312"/>
          <w:color w:val="000000" w:themeColor="text1"/>
          <w:sz w:val="28"/>
          <w:szCs w:val="28"/>
          <w14:textFill>
            <w14:solidFill>
              <w14:schemeClr w14:val="tx1"/>
            </w14:solidFill>
          </w14:textFill>
        </w:rPr>
        <w:t>经审核，本评估期内大龙社工站已对上期问题进行整改，但本评估期内仍存在同类问题。</w:t>
      </w:r>
    </w:p>
    <w:p>
      <w:pPr>
        <w:spacing w:line="580" w:lineRule="atLeas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十、评估结论</w:t>
      </w:r>
    </w:p>
    <w:p>
      <w:pPr>
        <w:spacing w:line="580" w:lineRule="atLeas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经上述审核，我们认为广州市番禺区大龙街社工服务站本次财务评估等级为：合格。</w:t>
      </w:r>
    </w:p>
    <w:p>
      <w:pPr>
        <w:spacing w:line="580" w:lineRule="atLeas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十一、其他事项</w:t>
      </w:r>
    </w:p>
    <w:p>
      <w:pPr>
        <w:spacing w:line="580" w:lineRule="atLeast"/>
        <w:ind w:firstLine="560" w:firstLineChars="200"/>
        <w:rPr>
          <w:rFonts w:ascii="仿宋" w:hAnsi="仿宋"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本报告仅供本次</w:t>
      </w:r>
      <w:r>
        <w:rPr>
          <w:rFonts w:hint="eastAsia" w:eastAsia="仿宋"/>
          <w:color w:val="000000" w:themeColor="text1"/>
          <w:sz w:val="28"/>
          <w:szCs w:val="28"/>
          <w14:textFill>
            <w14:solidFill>
              <w14:schemeClr w14:val="tx1"/>
            </w14:solidFill>
          </w14:textFill>
        </w:rPr>
        <w:t>委托</w:t>
      </w:r>
      <w:r>
        <w:rPr>
          <w:rFonts w:eastAsia="仿宋"/>
          <w:color w:val="000000" w:themeColor="text1"/>
          <w:sz w:val="28"/>
          <w:szCs w:val="28"/>
          <w14:textFill>
            <w14:solidFill>
              <w14:schemeClr w14:val="tx1"/>
            </w14:solidFill>
          </w14:textFill>
        </w:rPr>
        <w:t>目的，即</w:t>
      </w:r>
      <w:r>
        <w:rPr>
          <w:rFonts w:hint="eastAsia" w:eastAsia="仿宋"/>
          <w:color w:val="000000" w:themeColor="text1"/>
          <w:sz w:val="28"/>
          <w:szCs w:val="28"/>
          <w14:textFill>
            <w14:solidFill>
              <w14:schemeClr w14:val="tx1"/>
            </w14:solidFill>
          </w14:textFill>
        </w:rPr>
        <w:t>对大龙社工站财务评估</w:t>
      </w:r>
      <w:r>
        <w:rPr>
          <w:rFonts w:eastAsia="仿宋"/>
          <w:color w:val="000000" w:themeColor="text1"/>
          <w:sz w:val="28"/>
          <w:szCs w:val="28"/>
          <w14:textFill>
            <w14:solidFill>
              <w14:schemeClr w14:val="tx1"/>
            </w14:solidFill>
          </w14:textFill>
        </w:rPr>
        <w:t>使用，本事务所及本注册会计师不对运用本报告于其他目的造成的经济后果负责。</w:t>
      </w:r>
    </w:p>
    <w:p>
      <w:pPr>
        <w:spacing w:line="580" w:lineRule="atLeast"/>
        <w:rPr>
          <w:rFonts w:ascii="Times New Roman" w:hAnsi="Times New Roman" w:eastAsia="仿宋_GB2312"/>
          <w:b/>
          <w:bCs/>
          <w:color w:val="000000" w:themeColor="text1"/>
          <w:sz w:val="28"/>
          <w:szCs w:val="28"/>
          <w14:textFill>
            <w14:solidFill>
              <w14:schemeClr w14:val="tx1"/>
            </w14:solidFill>
          </w14:textFill>
        </w:rPr>
      </w:pPr>
    </w:p>
    <w:p>
      <w:pPr>
        <w:spacing w:line="580" w:lineRule="atLeas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二十七</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04C0B"/>
    <w:rsid w:val="00011264"/>
    <w:rsid w:val="00025572"/>
    <w:rsid w:val="00025695"/>
    <w:rsid w:val="0002755A"/>
    <w:rsid w:val="0003091A"/>
    <w:rsid w:val="000317CE"/>
    <w:rsid w:val="00041B6A"/>
    <w:rsid w:val="00043872"/>
    <w:rsid w:val="000456F4"/>
    <w:rsid w:val="00055B05"/>
    <w:rsid w:val="0006463F"/>
    <w:rsid w:val="00064B63"/>
    <w:rsid w:val="00065A6C"/>
    <w:rsid w:val="00067103"/>
    <w:rsid w:val="00071FB1"/>
    <w:rsid w:val="0008370C"/>
    <w:rsid w:val="00086152"/>
    <w:rsid w:val="00097DB9"/>
    <w:rsid w:val="000B5517"/>
    <w:rsid w:val="000B62CD"/>
    <w:rsid w:val="000D4755"/>
    <w:rsid w:val="000D79F0"/>
    <w:rsid w:val="000F0440"/>
    <w:rsid w:val="00102433"/>
    <w:rsid w:val="00110769"/>
    <w:rsid w:val="0012230B"/>
    <w:rsid w:val="00132A50"/>
    <w:rsid w:val="00133E77"/>
    <w:rsid w:val="001370D5"/>
    <w:rsid w:val="00141B82"/>
    <w:rsid w:val="001524AE"/>
    <w:rsid w:val="00153734"/>
    <w:rsid w:val="0015779A"/>
    <w:rsid w:val="0016124C"/>
    <w:rsid w:val="0016210C"/>
    <w:rsid w:val="00164A86"/>
    <w:rsid w:val="0016508D"/>
    <w:rsid w:val="00171040"/>
    <w:rsid w:val="00172280"/>
    <w:rsid w:val="0017382F"/>
    <w:rsid w:val="001839F4"/>
    <w:rsid w:val="00185C33"/>
    <w:rsid w:val="00191F3C"/>
    <w:rsid w:val="001973EB"/>
    <w:rsid w:val="001A70D8"/>
    <w:rsid w:val="001A795B"/>
    <w:rsid w:val="001B0C80"/>
    <w:rsid w:val="001D4ED6"/>
    <w:rsid w:val="001E0431"/>
    <w:rsid w:val="001E2299"/>
    <w:rsid w:val="001E6903"/>
    <w:rsid w:val="001F4426"/>
    <w:rsid w:val="001F6520"/>
    <w:rsid w:val="00200AB0"/>
    <w:rsid w:val="002046F9"/>
    <w:rsid w:val="002146CD"/>
    <w:rsid w:val="0022498F"/>
    <w:rsid w:val="00225676"/>
    <w:rsid w:val="00237B72"/>
    <w:rsid w:val="00262365"/>
    <w:rsid w:val="002626C2"/>
    <w:rsid w:val="00265F2A"/>
    <w:rsid w:val="00273696"/>
    <w:rsid w:val="00273BCE"/>
    <w:rsid w:val="00277EA1"/>
    <w:rsid w:val="002868E8"/>
    <w:rsid w:val="002A000C"/>
    <w:rsid w:val="002A1692"/>
    <w:rsid w:val="002A7C06"/>
    <w:rsid w:val="002C6261"/>
    <w:rsid w:val="002D07DA"/>
    <w:rsid w:val="002D3A59"/>
    <w:rsid w:val="002E00A9"/>
    <w:rsid w:val="002E0308"/>
    <w:rsid w:val="002E1BD7"/>
    <w:rsid w:val="002E4330"/>
    <w:rsid w:val="002E4E1F"/>
    <w:rsid w:val="002F2F29"/>
    <w:rsid w:val="002F43BA"/>
    <w:rsid w:val="0030480B"/>
    <w:rsid w:val="0030717C"/>
    <w:rsid w:val="00312000"/>
    <w:rsid w:val="00323877"/>
    <w:rsid w:val="003318A3"/>
    <w:rsid w:val="00331E74"/>
    <w:rsid w:val="00336EB6"/>
    <w:rsid w:val="00344B95"/>
    <w:rsid w:val="0035269F"/>
    <w:rsid w:val="00357D27"/>
    <w:rsid w:val="00374A71"/>
    <w:rsid w:val="00387479"/>
    <w:rsid w:val="0039097A"/>
    <w:rsid w:val="003C5C85"/>
    <w:rsid w:val="003E56B4"/>
    <w:rsid w:val="003F2D93"/>
    <w:rsid w:val="004073AE"/>
    <w:rsid w:val="00415C4F"/>
    <w:rsid w:val="00417161"/>
    <w:rsid w:val="00417C33"/>
    <w:rsid w:val="004343FC"/>
    <w:rsid w:val="004356BB"/>
    <w:rsid w:val="00441B0C"/>
    <w:rsid w:val="00446547"/>
    <w:rsid w:val="00456A81"/>
    <w:rsid w:val="00462FCA"/>
    <w:rsid w:val="00467250"/>
    <w:rsid w:val="00467F29"/>
    <w:rsid w:val="004727E9"/>
    <w:rsid w:val="00473792"/>
    <w:rsid w:val="0047680F"/>
    <w:rsid w:val="00481251"/>
    <w:rsid w:val="004948F6"/>
    <w:rsid w:val="00495399"/>
    <w:rsid w:val="004B2146"/>
    <w:rsid w:val="004B266C"/>
    <w:rsid w:val="004B52C7"/>
    <w:rsid w:val="004B69E8"/>
    <w:rsid w:val="004B7044"/>
    <w:rsid w:val="004C2255"/>
    <w:rsid w:val="004C4497"/>
    <w:rsid w:val="004C6CE1"/>
    <w:rsid w:val="004D0BD7"/>
    <w:rsid w:val="004D1647"/>
    <w:rsid w:val="004D6846"/>
    <w:rsid w:val="004E2951"/>
    <w:rsid w:val="004F07BE"/>
    <w:rsid w:val="004F1991"/>
    <w:rsid w:val="004F4BD1"/>
    <w:rsid w:val="0050140C"/>
    <w:rsid w:val="005030FC"/>
    <w:rsid w:val="00510E05"/>
    <w:rsid w:val="00514A30"/>
    <w:rsid w:val="00516189"/>
    <w:rsid w:val="00521B04"/>
    <w:rsid w:val="005240FC"/>
    <w:rsid w:val="00525CAD"/>
    <w:rsid w:val="0052700D"/>
    <w:rsid w:val="0053041E"/>
    <w:rsid w:val="00535FF0"/>
    <w:rsid w:val="005442C3"/>
    <w:rsid w:val="0054626A"/>
    <w:rsid w:val="00546E36"/>
    <w:rsid w:val="00550D9E"/>
    <w:rsid w:val="00563632"/>
    <w:rsid w:val="005708A7"/>
    <w:rsid w:val="00571CAE"/>
    <w:rsid w:val="00572760"/>
    <w:rsid w:val="0057312B"/>
    <w:rsid w:val="00577587"/>
    <w:rsid w:val="00577CCF"/>
    <w:rsid w:val="00583524"/>
    <w:rsid w:val="005855F9"/>
    <w:rsid w:val="0059400A"/>
    <w:rsid w:val="00594D45"/>
    <w:rsid w:val="005978DA"/>
    <w:rsid w:val="005B1BE8"/>
    <w:rsid w:val="005B4B64"/>
    <w:rsid w:val="005C4B23"/>
    <w:rsid w:val="005C6036"/>
    <w:rsid w:val="005C6C0F"/>
    <w:rsid w:val="005C7CB0"/>
    <w:rsid w:val="005D44A8"/>
    <w:rsid w:val="005E06D8"/>
    <w:rsid w:val="005E48DD"/>
    <w:rsid w:val="005E6E7B"/>
    <w:rsid w:val="005F164C"/>
    <w:rsid w:val="005F35CE"/>
    <w:rsid w:val="005F52F8"/>
    <w:rsid w:val="005F5FE2"/>
    <w:rsid w:val="005F6D4D"/>
    <w:rsid w:val="005F74CF"/>
    <w:rsid w:val="00602725"/>
    <w:rsid w:val="0060742F"/>
    <w:rsid w:val="00610693"/>
    <w:rsid w:val="00625937"/>
    <w:rsid w:val="00632C66"/>
    <w:rsid w:val="00636218"/>
    <w:rsid w:val="0063675F"/>
    <w:rsid w:val="006450A8"/>
    <w:rsid w:val="006544B9"/>
    <w:rsid w:val="00655B2F"/>
    <w:rsid w:val="0065774B"/>
    <w:rsid w:val="00663369"/>
    <w:rsid w:val="00667919"/>
    <w:rsid w:val="00675A60"/>
    <w:rsid w:val="00682678"/>
    <w:rsid w:val="00683341"/>
    <w:rsid w:val="006845F1"/>
    <w:rsid w:val="00692A32"/>
    <w:rsid w:val="00696135"/>
    <w:rsid w:val="006B0BCE"/>
    <w:rsid w:val="006B2224"/>
    <w:rsid w:val="006C489D"/>
    <w:rsid w:val="006D0434"/>
    <w:rsid w:val="006D4950"/>
    <w:rsid w:val="006D7326"/>
    <w:rsid w:val="006D7FE4"/>
    <w:rsid w:val="006E21E8"/>
    <w:rsid w:val="006E4926"/>
    <w:rsid w:val="006F297B"/>
    <w:rsid w:val="006F3914"/>
    <w:rsid w:val="007032DF"/>
    <w:rsid w:val="0070572C"/>
    <w:rsid w:val="00710A61"/>
    <w:rsid w:val="007173BB"/>
    <w:rsid w:val="00723F0E"/>
    <w:rsid w:val="007340D0"/>
    <w:rsid w:val="0073489C"/>
    <w:rsid w:val="00735B55"/>
    <w:rsid w:val="0074347B"/>
    <w:rsid w:val="00745A2F"/>
    <w:rsid w:val="00746338"/>
    <w:rsid w:val="00747433"/>
    <w:rsid w:val="0075737E"/>
    <w:rsid w:val="007617FA"/>
    <w:rsid w:val="00764487"/>
    <w:rsid w:val="00771D21"/>
    <w:rsid w:val="007772B2"/>
    <w:rsid w:val="00780882"/>
    <w:rsid w:val="007827B3"/>
    <w:rsid w:val="007926ED"/>
    <w:rsid w:val="007927E1"/>
    <w:rsid w:val="007A047D"/>
    <w:rsid w:val="007A5A98"/>
    <w:rsid w:val="007B5343"/>
    <w:rsid w:val="007B7796"/>
    <w:rsid w:val="007D7166"/>
    <w:rsid w:val="007E372B"/>
    <w:rsid w:val="0080471D"/>
    <w:rsid w:val="00807BA7"/>
    <w:rsid w:val="00807BE3"/>
    <w:rsid w:val="00810A07"/>
    <w:rsid w:val="00824AE7"/>
    <w:rsid w:val="008321FE"/>
    <w:rsid w:val="00835EDE"/>
    <w:rsid w:val="008443BD"/>
    <w:rsid w:val="00851F0A"/>
    <w:rsid w:val="00852D37"/>
    <w:rsid w:val="00855127"/>
    <w:rsid w:val="00856883"/>
    <w:rsid w:val="0086051F"/>
    <w:rsid w:val="00866F43"/>
    <w:rsid w:val="00876894"/>
    <w:rsid w:val="00883C29"/>
    <w:rsid w:val="008920F0"/>
    <w:rsid w:val="0089284B"/>
    <w:rsid w:val="008942DD"/>
    <w:rsid w:val="00896102"/>
    <w:rsid w:val="00897C30"/>
    <w:rsid w:val="00897D40"/>
    <w:rsid w:val="00897F74"/>
    <w:rsid w:val="008A2A7D"/>
    <w:rsid w:val="008A5ADF"/>
    <w:rsid w:val="008B7EF7"/>
    <w:rsid w:val="008C3543"/>
    <w:rsid w:val="008C56DE"/>
    <w:rsid w:val="008C7615"/>
    <w:rsid w:val="008C7B77"/>
    <w:rsid w:val="008D2096"/>
    <w:rsid w:val="008D477E"/>
    <w:rsid w:val="008D549A"/>
    <w:rsid w:val="008E4F0B"/>
    <w:rsid w:val="008E5AB7"/>
    <w:rsid w:val="008E6127"/>
    <w:rsid w:val="009005D9"/>
    <w:rsid w:val="00903490"/>
    <w:rsid w:val="00905374"/>
    <w:rsid w:val="009064EB"/>
    <w:rsid w:val="0092068C"/>
    <w:rsid w:val="00926A47"/>
    <w:rsid w:val="00927291"/>
    <w:rsid w:val="00930C7C"/>
    <w:rsid w:val="00933CB6"/>
    <w:rsid w:val="00935FEA"/>
    <w:rsid w:val="009367AD"/>
    <w:rsid w:val="0094449E"/>
    <w:rsid w:val="00952099"/>
    <w:rsid w:val="00953A03"/>
    <w:rsid w:val="0095423D"/>
    <w:rsid w:val="00954BA9"/>
    <w:rsid w:val="0095703D"/>
    <w:rsid w:val="009613FE"/>
    <w:rsid w:val="0096190D"/>
    <w:rsid w:val="009648C8"/>
    <w:rsid w:val="009759AE"/>
    <w:rsid w:val="00993572"/>
    <w:rsid w:val="0099451A"/>
    <w:rsid w:val="00997BCF"/>
    <w:rsid w:val="009A0C80"/>
    <w:rsid w:val="009A2387"/>
    <w:rsid w:val="009A7747"/>
    <w:rsid w:val="009C3790"/>
    <w:rsid w:val="009C6946"/>
    <w:rsid w:val="00A0182A"/>
    <w:rsid w:val="00A02EAF"/>
    <w:rsid w:val="00A11D2D"/>
    <w:rsid w:val="00A15DDD"/>
    <w:rsid w:val="00A21C64"/>
    <w:rsid w:val="00A33915"/>
    <w:rsid w:val="00A411C8"/>
    <w:rsid w:val="00A43D5E"/>
    <w:rsid w:val="00A44649"/>
    <w:rsid w:val="00A623AE"/>
    <w:rsid w:val="00A67D24"/>
    <w:rsid w:val="00A9361A"/>
    <w:rsid w:val="00A94714"/>
    <w:rsid w:val="00A97737"/>
    <w:rsid w:val="00AA18F1"/>
    <w:rsid w:val="00AA275E"/>
    <w:rsid w:val="00AA681D"/>
    <w:rsid w:val="00AC58BD"/>
    <w:rsid w:val="00AC65FD"/>
    <w:rsid w:val="00AD7854"/>
    <w:rsid w:val="00AE109D"/>
    <w:rsid w:val="00AE18D0"/>
    <w:rsid w:val="00AE258D"/>
    <w:rsid w:val="00AE285D"/>
    <w:rsid w:val="00AE3E25"/>
    <w:rsid w:val="00AF0139"/>
    <w:rsid w:val="00B2216F"/>
    <w:rsid w:val="00B256B4"/>
    <w:rsid w:val="00B27A0F"/>
    <w:rsid w:val="00B3292D"/>
    <w:rsid w:val="00B358A9"/>
    <w:rsid w:val="00B41E70"/>
    <w:rsid w:val="00B45DD2"/>
    <w:rsid w:val="00B45FAC"/>
    <w:rsid w:val="00B47376"/>
    <w:rsid w:val="00B5052C"/>
    <w:rsid w:val="00B55A3F"/>
    <w:rsid w:val="00B578AC"/>
    <w:rsid w:val="00B61767"/>
    <w:rsid w:val="00B634BC"/>
    <w:rsid w:val="00B63E4B"/>
    <w:rsid w:val="00B66EF3"/>
    <w:rsid w:val="00B67620"/>
    <w:rsid w:val="00B73D8A"/>
    <w:rsid w:val="00B762AC"/>
    <w:rsid w:val="00B86605"/>
    <w:rsid w:val="00B94C44"/>
    <w:rsid w:val="00BA4475"/>
    <w:rsid w:val="00BA44ED"/>
    <w:rsid w:val="00BB0E77"/>
    <w:rsid w:val="00BC27F3"/>
    <w:rsid w:val="00BC46BE"/>
    <w:rsid w:val="00BC7ED9"/>
    <w:rsid w:val="00BD2F47"/>
    <w:rsid w:val="00BE03CC"/>
    <w:rsid w:val="00BE22A5"/>
    <w:rsid w:val="00BE2F22"/>
    <w:rsid w:val="00BE37CD"/>
    <w:rsid w:val="00BE4354"/>
    <w:rsid w:val="00BE4B22"/>
    <w:rsid w:val="00BE68E2"/>
    <w:rsid w:val="00BF1782"/>
    <w:rsid w:val="00C03042"/>
    <w:rsid w:val="00C033D6"/>
    <w:rsid w:val="00C046D5"/>
    <w:rsid w:val="00C10D35"/>
    <w:rsid w:val="00C13269"/>
    <w:rsid w:val="00C2086D"/>
    <w:rsid w:val="00C22583"/>
    <w:rsid w:val="00C24737"/>
    <w:rsid w:val="00C41DD8"/>
    <w:rsid w:val="00C46491"/>
    <w:rsid w:val="00C50F29"/>
    <w:rsid w:val="00C51292"/>
    <w:rsid w:val="00C802F7"/>
    <w:rsid w:val="00C81C71"/>
    <w:rsid w:val="00C86691"/>
    <w:rsid w:val="00C94C6E"/>
    <w:rsid w:val="00CA2EC8"/>
    <w:rsid w:val="00CB7832"/>
    <w:rsid w:val="00CC094B"/>
    <w:rsid w:val="00CC3599"/>
    <w:rsid w:val="00CC7FE9"/>
    <w:rsid w:val="00CD2143"/>
    <w:rsid w:val="00CD408C"/>
    <w:rsid w:val="00CD60B2"/>
    <w:rsid w:val="00CD62D5"/>
    <w:rsid w:val="00CE08B9"/>
    <w:rsid w:val="00CE42B9"/>
    <w:rsid w:val="00CF0A55"/>
    <w:rsid w:val="00CF688E"/>
    <w:rsid w:val="00D0409C"/>
    <w:rsid w:val="00D10308"/>
    <w:rsid w:val="00D144A2"/>
    <w:rsid w:val="00D21833"/>
    <w:rsid w:val="00D21D72"/>
    <w:rsid w:val="00D22C6A"/>
    <w:rsid w:val="00D24776"/>
    <w:rsid w:val="00D275F8"/>
    <w:rsid w:val="00D32C3A"/>
    <w:rsid w:val="00D348FD"/>
    <w:rsid w:val="00D40ACE"/>
    <w:rsid w:val="00D44BFD"/>
    <w:rsid w:val="00D478A6"/>
    <w:rsid w:val="00D47C2A"/>
    <w:rsid w:val="00D502B7"/>
    <w:rsid w:val="00D51A02"/>
    <w:rsid w:val="00D56C98"/>
    <w:rsid w:val="00D71796"/>
    <w:rsid w:val="00D752C9"/>
    <w:rsid w:val="00D76704"/>
    <w:rsid w:val="00D82197"/>
    <w:rsid w:val="00D858C3"/>
    <w:rsid w:val="00D86161"/>
    <w:rsid w:val="00D867E3"/>
    <w:rsid w:val="00D93807"/>
    <w:rsid w:val="00D945A2"/>
    <w:rsid w:val="00D97736"/>
    <w:rsid w:val="00DB02C4"/>
    <w:rsid w:val="00DB1FA2"/>
    <w:rsid w:val="00DD1165"/>
    <w:rsid w:val="00DD4EA7"/>
    <w:rsid w:val="00DE2776"/>
    <w:rsid w:val="00DE2BAB"/>
    <w:rsid w:val="00DE38B1"/>
    <w:rsid w:val="00DE69C7"/>
    <w:rsid w:val="00DF7247"/>
    <w:rsid w:val="00E01248"/>
    <w:rsid w:val="00E07296"/>
    <w:rsid w:val="00E1694E"/>
    <w:rsid w:val="00E21B1D"/>
    <w:rsid w:val="00E2236D"/>
    <w:rsid w:val="00E2471E"/>
    <w:rsid w:val="00E27762"/>
    <w:rsid w:val="00E31E66"/>
    <w:rsid w:val="00E369DC"/>
    <w:rsid w:val="00E370F4"/>
    <w:rsid w:val="00E40C19"/>
    <w:rsid w:val="00E42764"/>
    <w:rsid w:val="00E54144"/>
    <w:rsid w:val="00E57618"/>
    <w:rsid w:val="00E57C7F"/>
    <w:rsid w:val="00E61707"/>
    <w:rsid w:val="00E64F1A"/>
    <w:rsid w:val="00E70D75"/>
    <w:rsid w:val="00E728DD"/>
    <w:rsid w:val="00E72E37"/>
    <w:rsid w:val="00E76C73"/>
    <w:rsid w:val="00E82CEC"/>
    <w:rsid w:val="00E86E25"/>
    <w:rsid w:val="00E9593A"/>
    <w:rsid w:val="00EA6F18"/>
    <w:rsid w:val="00EC0150"/>
    <w:rsid w:val="00EC0A2B"/>
    <w:rsid w:val="00EC54BC"/>
    <w:rsid w:val="00ED03C6"/>
    <w:rsid w:val="00ED03D7"/>
    <w:rsid w:val="00EF35A0"/>
    <w:rsid w:val="00EF7ACF"/>
    <w:rsid w:val="00F055B8"/>
    <w:rsid w:val="00F12621"/>
    <w:rsid w:val="00F14556"/>
    <w:rsid w:val="00F1624D"/>
    <w:rsid w:val="00F1742A"/>
    <w:rsid w:val="00F25686"/>
    <w:rsid w:val="00F265A8"/>
    <w:rsid w:val="00F279E8"/>
    <w:rsid w:val="00F31B05"/>
    <w:rsid w:val="00F36B85"/>
    <w:rsid w:val="00F431D8"/>
    <w:rsid w:val="00F549A2"/>
    <w:rsid w:val="00F66AC5"/>
    <w:rsid w:val="00F67DC0"/>
    <w:rsid w:val="00F70890"/>
    <w:rsid w:val="00F70EDC"/>
    <w:rsid w:val="00F779B6"/>
    <w:rsid w:val="00F801CF"/>
    <w:rsid w:val="00F82D47"/>
    <w:rsid w:val="00FA1C78"/>
    <w:rsid w:val="00FA1E95"/>
    <w:rsid w:val="00FB0A6C"/>
    <w:rsid w:val="00FB2A73"/>
    <w:rsid w:val="00FB6DAA"/>
    <w:rsid w:val="00FD3E88"/>
    <w:rsid w:val="00FD45C2"/>
    <w:rsid w:val="00FE1220"/>
    <w:rsid w:val="00FE1A45"/>
    <w:rsid w:val="00FE3173"/>
    <w:rsid w:val="00FF0E1A"/>
    <w:rsid w:val="00FF5841"/>
    <w:rsid w:val="0BBE46E7"/>
    <w:rsid w:val="0F7B0797"/>
    <w:rsid w:val="10EE4287"/>
    <w:rsid w:val="BCFFE99C"/>
    <w:rsid w:val="BDF46661"/>
    <w:rsid w:val="DEFEB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846</Words>
  <Characters>4828</Characters>
  <Lines>40</Lines>
  <Paragraphs>11</Paragraphs>
  <TotalTime>180</TotalTime>
  <ScaleCrop>false</ScaleCrop>
  <LinksUpToDate>false</LinksUpToDate>
  <CharactersWithSpaces>5663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2025-04-23T06:01:00Z</dcterms:created>
  <dc:creator>Dumpling</dc:creator>
  <cp:lastModifiedBy>彭裕惠</cp:lastModifiedBy>
  <cp:lastPrinted>2025-04-28T17:41:00Z</cp:lastPrinted>
  <dcterms:modified xsi:type="dcterms:W3CDTF">2025-05-13T17:35:05Z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y fmtid="{D5CDD505-2E9C-101B-9397-08002B2CF9AE}" pid="4" name="KSOTemplateDocerSaveRecord">
    <vt:lpwstr>eyJoZGlkIjoiZGVhOWNjNTVmMjhmZDI1MDNiNmIxODU0OGFhMWExYTEiLCJ1c2VySWQiOiI0MTE3NjgwOTUifQ==</vt:lpwstr>
  </property>
</Properties>
</file>