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DBAoAAAAAAIdO4kAAAAAAAAAAAAAAAAAEAAAAZHJzL1BLAwQUAAAACACHTuJAUtNaUtYAAAAI&#10;AQAADwAAAGRycy9kb3ducmV2LnhtbE2Py07DMBBF90j8gzVI7KjdCJomxKkQghUSIg0Llk48TaLG&#10;4xC7D/6e6QqWR/fqzplic3ajOOIcBk8algsFAqn1dqBOw2f9ercGEaIha0ZPqOEHA2zK66vC5Naf&#10;qMLjNnaCRyjkRkMf45RLGdoenQkLPyFxtvOzM5Fx7qSdzYnH3SgTpVbSmYH4Qm8mfO6x3W8PTsPT&#10;F1Uvw/d781HtqqGuM0Vvq73WtzdL9Qgi4jn+leGiz+pQslPjD2SDGDU8ZOt7rmpIExCcZ8mFG+Y0&#10;BVkW8v8D5S9QSwMEFAAAAAgAh07iQElJlpMOAgAABQQAAA4AAABkcnMvZTJvRG9jLnhtbK1TzW4T&#10;MRC+I/EOlu9kN1GT0lU2VWlUhFR+pMIDOF5v1mLtMWMnu+EB4A04ceHOc+U5OvYmoZRLD1yssT3+&#10;5vu+Gc8ve9OyrUKvwZZ8PMo5U1ZCpe265J8+3rx4yZkPwlaiBatKvlOeXy6eP5t3rlATaKCtFDIC&#10;sb7oXMmbEFyRZV42ygg/AqcsXdaARgTa4jqrUHSEbtpskuezrAOsHIJU3tPpcrjkB0R8CiDUtZZq&#10;CXJjlA0DKqpWBJLkG+08XyS2da1keF/XXgXWlpyUhrRSEYpXcc0Wc1GsUbhGywMF8RQKjzQZoS0V&#10;PUEtRRBsg/ofKKMlgoc6jCSYbBCSHCEV4/yRN3eNcCppIau9O5nu/x+sfLf9gExXJZ9xZoWhhu9/&#10;fN///L3/9Y3Noj2d8wVl3TnKC/0r6GloklTvbkF+9szCdSPsWl0hQtcoURG9cXyZPXg64PgIsure&#10;QkV1xCZAAuprNNE7coMROrVmd2qN6gOTdDjJL6bTnK4k3Z2dnc/Op6mEKI6vHfrwWoFhMSg5UusT&#10;utje+hDZiOKYEotZuNFtm9rf2r8OKDGeJPaR8EA99Kv+4MYKqh3pQBimif4SBQ3gV846mqSS+y8b&#10;gYqz9o0lL+LYHQM8BqtjIKykpyUPnA3hdRjGc+NQrxtCHty2cEV+1TpJicYOLA48aTqSwsMkx/F7&#10;uE9Zf37v4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01pS1gAAAAgBAAAPAAAAAAAAAAEAIAAA&#10;ACIAAABkcnMvZG93bnJldi54bWxQSwECFAAUAAAACACHTuJASUmWkw4CAAAFBAAADgAAAAAAAAAB&#10;ACAAAAAlAQAAZHJzL2Uyb0RvYy54bWxQSwUGAAAAAAYABgBZAQAApQU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DBAoAAAAAAIdO4kAAAAAAAAAAAAAAAAAEAAAAZHJzL1BLAwQUAAAACACHTuJA72j5b9cAAAAI&#10;AQAADwAAAGRycy9kb3ducmV2LnhtbE2PzU7DMBCE70i8g7VI3FqnRmpDGqcHUFWBuLRF4rqNt3Eg&#10;Xqex+8PbY8ShHHdmNPtNubi4TpxoCK1nDZNxBoK49qblRsP7djnKQYSIbLDzTBq+KcCiur0psTD+&#10;zGs6bWIjUgmHAjXYGPtCylBbchjGvidO3t4PDmM6h0aaAc+p3HVSZdlUOmw5fbDY05Ol+mtzdBrw&#10;ebWOH7l6nbUv9u1zuzysbH7Q+v5uks1BRLrEaxh+8RM6VIlp549sgug0jNQ0JTXkagYi+Y8PKk3Z&#10;/QmyKuX/AdUPUEsDBBQAAAAIAIdO4kD4edgC5QEAAKsDAAAOAAAAZHJzL2Uyb0RvYy54bWytU0uO&#10;EzEQ3SNxB8t70p2gMKSVziwSDZsBIs1wAMftTlvYLsvlpJNLcAEkdrBiyX5uw3AMys6HYdjMgl5Y&#10;tqvq1Xuv3NPLnTVsqwJqcDUfDkrOlJPQaLeu+YfbqxevOcMoXCMMOFXzvUJ+OXv+bNr7So2gA9Oo&#10;wAjEYdX7mncx+qooUHbKChyAV46CLQQrIh3DumiC6AndmmJUlq+KHkLjA0iFSLeLQ5AfEcNTAKFt&#10;tVQLkBurXDygBmVEJEnYaY98ltm2rZLxfduiiszUnJTGvFIT2q/SWsymoloH4TstjxTEUyg80mSF&#10;dtT0DLUQUbBN0P9AWS0DILRxIMEWByHZEVIxLB95c9MJr7IWshr92XT8f7Dy3XYZmG5qPubMCUsD&#10;v//84+enr7/uvtB6//0bGyeTeo8V5c7dMiSZcudu/DXIj8gczDvh1iqTvd17QhimiuKvknRAT61W&#10;/VtoKEdsImTHdm2wCZK8YLs8mP15MGoXmaTL8eTl5GJCM5OnWCGqU6EPGN8osCxtam60S56JSmyv&#10;MSYiojqlpGsHV9qYPHfjWE9sRxdlmSsQjG5SNOVhWK/mJrCtSE8nf1kWRR6mBdi45tDFuKPqJPRg&#10;2Qqa/TKc3KAZZjrH95YeycNzrv7zj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9o+W/XAAAA&#10;CAEAAA8AAAAAAAAAAQAgAAAAIgAAAGRycy9kb3ducmV2LnhtbFBLAQIUABQAAAAIAIdO4kD4edgC&#10;5QEAAKsDAAAOAAAAAAAAAAEAIAAAACYBAABkcnMvZTJvRG9jLnhtbFBLBQYAAAAABgAGAFkBAAB9&#10;BQ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DBAoAAAAAAIdO4kAAAAAAAAAAAAAAAAAEAAAAZHJzL1BLAwQUAAAACACHTuJAcNUpVNYAAAAI&#10;AQAADwAAAGRycy9kb3ducmV2LnhtbE2PzU7DMBCE70i8g7WVuFE7lRqlIU5VITghIdL0wNFJtonV&#10;eB1i94e3ZznBbT/NaHam2N7cKC44B+tJQ7JUIJBa31nqNRzq18cMRIiGOjN6Qg3fGGBb3t8VJu/8&#10;lSq87GMvOIRCbjQMMU65lKEd0Jmw9BMSa0c/OxMZ5152s7lyuBvlSqlUOmOJPwxmwucB29P+7DTs&#10;Pql6sV/vzUd1rGxdbxS9pSetHxaJegIR8Rb/zPBbn6tDyZ0af6YuiJE5USu2asg2IFhfZylzw0ey&#10;BlkW8v+A8gdQSwMEFAAAAAgAh07iQD5aGb0NAgAABQQAAA4AAABkcnMvZTJvRG9jLnhtbK1TzY7T&#10;MBC+I/EOlu80aSsWFDVdLVstQlp+pIUHmDpOY5F4zNhtsjwAvAGnvXDnufocjJ22LMtlD1yssT3+&#10;5vu+GS/Oh64VO03eoC3ldJJLoa3CythNKT99vHr2UgofwFbQotWlvNVeni+fPln0rtAzbLCtNAkG&#10;sb7oXSmbEFyRZV41ugM/QactX9ZIHQTe0iarCHpG79psludnWY9UOUKlvefT1XgpD4j0GECsa6P0&#10;CtW20zaMqKRbCCzJN8Z5uUxs61qr8L6uvQ6iLSUrDWnlIhyv45otF1BsCFxj1IECPIbCA00dGMtF&#10;T1ArCCC2ZP6B6owi9FiHicIuG4UkR1jFNH/gzU0DTictbLV3J9P9/4NV73YfSJiqlHMpLHTc8P2P&#10;7/u7X/uf38Q82tM7X3DWjeO8MLzCgYcmSfXuGtVnLyxeNmA3+oII+0ZDxfSm8WV27+mI4yPIun+L&#10;FdeBbcAENNTURe/YDcHo3JrbU2v0EITiw3k+m53lfKX4bvYifz5NvcugOL525MNrjZ2IQSmJW5/Q&#10;YXftQ2QDxTElFrN4Zdo2tb+1fx1wYjxJ7CPhkXoY1sPBjTVWt6yDcJwm/kscNEhfpeh5kkrpv2yB&#10;tBTtG8texLE7BnQM1scArOKnpQxSjOFlGMdz68hsGkYe3bZ4wX7VJkmJxo4sDjx5OpLCwyTH8bu/&#10;T1l/fu/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VKVTWAAAACAEAAA8AAAAAAAAAAQAgAAAA&#10;IgAAAGRycy9kb3ducmV2LnhtbFBLAQIUABQAAAAIAIdO4kA+Whm9DQIAAAUEAAAOAAAAAAAAAAEA&#10;IAAAACUBAABkcnMvZTJvRG9jLnhtbFBLBQYAAAAABgAGAFkBAACk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DBAoAAAAAAIdO4kAAAAAAAAAAAAAAAAAEAAAAZHJzL1BLAwQUAAAACACHTuJA/U6++tgAAAAJ&#10;AQAADwAAAGRycy9kb3ducmV2LnhtbE2PTU/DMAyG70j8h8iTuLGkE9u6rumEEJyQEF05cEwbr63W&#10;OKXJPvj3mBMcX/vR68f57uoGccYp9J40JHMFAqnxtqdWw0f1cp+CCNGQNYMn1PCNAXbF7U1uMusv&#10;VOJ5H1vBJRQyo6GLccykDE2HzoS5H5F4d/CTM5Hj1Eo7mQuXu0EulFpJZ3riC50Z8anD5rg/OQ2P&#10;n1Q+919v9Xt5KPuq2ih6XR21vpslagsi4jX+wfCrz+pQsFPtT2SDGDgn6wdGNSwXGxAMLFPFg1rD&#10;Ok1AFrn8/0HxA1BLAwQUAAAACACHTuJApe5q+AwCAAAFBAAADgAAAGRycy9lMm9Eb2MueG1srVPN&#10;jtMwEL4j8Q6W7zRpBCuImq6WrRYhLT/SwgNMHaexSDxm7DZZHgDegBMX7jxXn4Ox05ZlueyBizW2&#10;x9983zfjxfnYd2KnyRu0lZzPcim0VVgbu6nkxw9XT55L4QPYGjq0upK32svz5eNHi8GVusAWu1qT&#10;YBDry8FVsg3BlVnmVat78DN02vJlg9RD4C1tsppgYPS+y4o8P8sGpNoRKu09n66mS3lApIcAYtMY&#10;pVeotr22YUIl3UFgSb41zstlYts0WoV3TeN1EF0lWWlIKxfheB3XbLmAckPgWqMOFOAhFO5p6sFY&#10;LnqCWkEAsSXzD1RvFKHHJswU9tkkJDnCKub5PW9uWnA6aWGrvTuZ7v8frHq7e0/C1JUspLDQc8P3&#10;37/tf/za//wqimjP4HzJWTeO88L4EkcemiTVu2tUn7yweNmC3egLIhxaDTXTm8eX2Z2nE46PIOvh&#10;DdZcB7YBE9DYUB+9YzcEo3Nrbk+t0WMQig+LF0/z/BlfKb6bn+V5kXqXQXl87ciHVxp7EYNKErc+&#10;ocPu2ofIBspjSixm8cp0XWp/Z/864MR4kthHwhP1MK7HgxtrrG9ZB+E0TfyXOGiRvkgx8CRV0n/e&#10;AmkputeWvYhjdwzoGKyPAVjFTysZpJjCyzCN59aR2bSMPLlt8YL9akySEo2dWBx48nQkhYdJjuN3&#10;d5+y/vze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Tr762AAAAAkBAAAPAAAAAAAAAAEAIAAA&#10;ACIAAABkcnMvZG93bnJldi54bWxQSwECFAAUAAAACACHTuJApe5q+AwCAAAFBAAADgAAAAAAAAAB&#10;ACAAAAAnAQAAZHJzL2Uyb0RvYy54bWxQSwUGAAAAAAYABgBZAQAApQU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hint="eastAsia" w:ascii="Times New Roman" w:hAnsi="Times New Roman" w:eastAsia="仿宋_GB2312" w:cs="Times New Roman"/>
          <w:color w:val="000000"/>
          <w:sz w:val="28"/>
          <w:szCs w:val="28"/>
        </w:rPr>
        <w:t>业会专审</w:t>
      </w:r>
      <w:r>
        <w:rPr>
          <w:rFonts w:ascii="Times New Roman" w:hAnsi="Times New Roman" w:eastAsia="仿宋_GB2312" w:cs="Times New Roman"/>
          <w:color w:val="000000"/>
          <w:sz w:val="28"/>
          <w:szCs w:val="28"/>
        </w:rPr>
        <w:t>[202</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048号</w:t>
      </w:r>
    </w:p>
    <w:bookmarkEnd w:id="0"/>
    <w:bookmarkEnd w:id="1"/>
    <w:p>
      <w:pPr>
        <w:jc w:val="center"/>
        <w:rPr>
          <w:rFonts w:ascii="Times New Roman" w:hAnsi="Times New Roman" w:eastAsia="仿宋_GB2312" w:cs="Times New Roman"/>
          <w:b/>
          <w:bCs/>
          <w:sz w:val="40"/>
          <w:szCs w:val="48"/>
        </w:rPr>
      </w:pPr>
    </w:p>
    <w:p>
      <w:pPr>
        <w:spacing w:line="600" w:lineRule="exact"/>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关于对广州市番禺区石碁镇社工服务站</w:t>
      </w:r>
    </w:p>
    <w:p>
      <w:pPr>
        <w:spacing w:line="600" w:lineRule="exact"/>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2024年8月24日至2025年2月23日财务管理情况评估报告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hint="eastAsia" w:ascii="Times New Roman" w:hAnsi="Times New Roman" w:eastAsia="楷体" w:cs="Times New Roman"/>
          <w:b/>
          <w:spacing w:val="-10"/>
          <w:sz w:val="28"/>
          <w:szCs w:val="28"/>
        </w:rPr>
        <w:t>广州市番禺区社区建设指导中心：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们接受委托，对广州市番禺区石碁镇社工服务站（以下简称石碁社工站）2024年8月24日至2025年2月23日财务管理情况进行评估。提供真实、合法、完整的会计资料和评估相关资料是石碁社工站及其承接机构的责任，我们的责任是依据《中国注册会计师执业准则》、《中华人民共和国会计法》、《会计基础工作规范》、《民间非营利组织会计制度》、《广州市人民政府办公厅关于印发广州市社工服务站管理办法的通知》（穗府办〔2023〕7号）、《广州市民政局关于印发〈广州市社工服务站管理办法〉有关配套文件的通知》（穗民〔2023〕97号）及</w:t>
      </w:r>
      <w:bookmarkStart w:id="2" w:name="_Hlk162822274"/>
      <w:r>
        <w:rPr>
          <w:rFonts w:hint="eastAsia" w:ascii="Times New Roman" w:hAnsi="Times New Roman" w:eastAsia="仿宋_GB2312" w:cs="Times New Roman"/>
          <w:sz w:val="28"/>
          <w:szCs w:val="28"/>
        </w:rPr>
        <w:t>广州市番禺区石碁镇人民政府</w:t>
      </w:r>
      <w:bookmarkEnd w:id="2"/>
      <w:r>
        <w:rPr>
          <w:rFonts w:hint="eastAsia" w:ascii="Times New Roman" w:hAnsi="Times New Roman" w:eastAsia="仿宋_GB2312" w:cs="Times New Roman"/>
          <w:sz w:val="28"/>
          <w:szCs w:val="28"/>
        </w:rPr>
        <w:t>与社工服务站承接机构签订的购买服务协议中相关约定，对石碁社工站的财务管理情况进行审核，并出具财务评估报告。</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中国注册会计师职业道德守则，我们独立于石碁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40" w:lineRule="exact"/>
        <w:ind w:right="-6" w:rightChars="-3"/>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一、石碁社工站基本情况</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承接机构名称：广州市阳光天使社会工作服务中心。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承接机构法定代表人：</w:t>
      </w:r>
      <w:r>
        <w:rPr>
          <w:rFonts w:hint="eastAsia" w:ascii="Times New Roman" w:hAnsi="Times New Roman" w:eastAsia="仿宋_GB2312"/>
          <w:color w:val="000000" w:themeColor="text1"/>
          <w:sz w:val="28"/>
          <w:szCs w:val="28"/>
          <w14:textFill>
            <w14:solidFill>
              <w14:schemeClr w14:val="tx1"/>
            </w14:solidFill>
          </w14:textFill>
        </w:rPr>
        <w:t>黄佩仪</w:t>
      </w:r>
      <w:r>
        <w:rPr>
          <w:rFonts w:hint="eastAsia" w:ascii="Times New Roman" w:hAnsi="Times New Roman" w:eastAsia="仿宋_GB2312" w:cs="Times New Roman"/>
          <w:sz w:val="28"/>
          <w:szCs w:val="28"/>
        </w:rPr>
        <w:t>。</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招标采购周期：</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24</w:t>
      </w:r>
      <w:r>
        <w:rPr>
          <w:rFonts w:ascii="Times New Roman" w:hAnsi="Times New Roman" w:eastAsia="仿宋_GB2312" w:cs="Times New Roman"/>
          <w:sz w:val="28"/>
          <w:szCs w:val="28"/>
        </w:rPr>
        <w:t>年8月24日至20</w:t>
      </w:r>
      <w:r>
        <w:rPr>
          <w:rFonts w:hint="eastAsia" w:ascii="Times New Roman" w:hAnsi="Times New Roman" w:eastAsia="仿宋_GB2312" w:cs="Times New Roman"/>
          <w:sz w:val="28"/>
          <w:szCs w:val="28"/>
        </w:rPr>
        <w:t>27</w:t>
      </w:r>
      <w:r>
        <w:rPr>
          <w:rFonts w:ascii="Times New Roman" w:hAnsi="Times New Roman" w:eastAsia="仿宋_GB2312" w:cs="Times New Roman"/>
          <w:sz w:val="28"/>
          <w:szCs w:val="28"/>
        </w:rPr>
        <w:t>年8月23日</w:t>
      </w:r>
      <w:r>
        <w:rPr>
          <w:rFonts w:hint="eastAsia" w:ascii="Times New Roman" w:hAnsi="Times New Roman" w:eastAsia="仿宋_GB2312" w:cs="Times New Roman"/>
          <w:sz w:val="28"/>
          <w:szCs w:val="28"/>
        </w:rPr>
        <w:t>。</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本次服务协议期限：2024年8月24日至2025年8月23日。</w:t>
      </w:r>
    </w:p>
    <w:p>
      <w:pPr>
        <w:spacing w:line="640" w:lineRule="exact"/>
        <w:ind w:firstLine="544"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政府购买服务经费：本服务协议期限2024年8月24日至2025年8月23日的服务经费总计2,400,000.00元，分为三期拨付。其中：协议签订生效之日起</w:t>
      </w:r>
      <w:r>
        <w:rPr>
          <w:rFonts w:ascii="Times New Roman" w:hAnsi="Times New Roman" w:eastAsia="仿宋_GB2312" w:cs="Times New Roman"/>
          <w:spacing w:val="-4"/>
          <w:sz w:val="28"/>
          <w:szCs w:val="28"/>
        </w:rPr>
        <w:t>30</w:t>
      </w:r>
      <w:r>
        <w:rPr>
          <w:rFonts w:hint="eastAsia" w:ascii="Times New Roman" w:hAnsi="Times New Roman" w:eastAsia="仿宋_GB2312" w:cs="Times New Roman"/>
          <w:spacing w:val="-4"/>
          <w:sz w:val="28"/>
          <w:szCs w:val="28"/>
        </w:rPr>
        <w:t>个工作日内拨付</w:t>
      </w:r>
      <w:r>
        <w:rPr>
          <w:rFonts w:ascii="Times New Roman" w:hAnsi="Times New Roman" w:eastAsia="仿宋_GB2312" w:cs="Times New Roman"/>
          <w:spacing w:val="-4"/>
          <w:sz w:val="28"/>
          <w:szCs w:val="28"/>
        </w:rPr>
        <w:t>55%</w:t>
      </w:r>
      <w:r>
        <w:rPr>
          <w:rFonts w:hint="eastAsia" w:ascii="Times New Roman" w:hAnsi="Times New Roman" w:eastAsia="仿宋_GB2312" w:cs="Times New Roman"/>
          <w:spacing w:val="-4"/>
          <w:sz w:val="28"/>
          <w:szCs w:val="28"/>
        </w:rPr>
        <w:t>即</w:t>
      </w:r>
      <w:r>
        <w:rPr>
          <w:rFonts w:ascii="Times New Roman" w:hAnsi="Times New Roman" w:eastAsia="仿宋_GB2312" w:cs="Times New Roman"/>
          <w:spacing w:val="-4"/>
          <w:sz w:val="28"/>
          <w:szCs w:val="28"/>
        </w:rPr>
        <w:t>1,</w:t>
      </w:r>
      <w:r>
        <w:rPr>
          <w:rFonts w:hint="eastAsia" w:ascii="Times New Roman" w:hAnsi="Times New Roman" w:eastAsia="仿宋_GB2312" w:cs="Times New Roman"/>
          <w:spacing w:val="-4"/>
          <w:sz w:val="28"/>
          <w:szCs w:val="28"/>
        </w:rPr>
        <w:t>320</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000</w:t>
      </w:r>
      <w:r>
        <w:rPr>
          <w:rFonts w:ascii="Times New Roman" w:hAnsi="Times New Roman" w:eastAsia="仿宋_GB2312" w:cs="Times New Roman"/>
          <w:spacing w:val="-4"/>
          <w:sz w:val="28"/>
          <w:szCs w:val="28"/>
        </w:rPr>
        <w:t>.00</w:t>
      </w:r>
      <w:r>
        <w:rPr>
          <w:rFonts w:hint="eastAsia" w:ascii="Times New Roman" w:hAnsi="Times New Roman" w:eastAsia="仿宋_GB2312" w:cs="Times New Roman"/>
          <w:spacing w:val="-4"/>
          <w:sz w:val="28"/>
          <w:szCs w:val="28"/>
        </w:rPr>
        <w:t>元，项目年度中期评估为合格以上的拨付</w:t>
      </w:r>
      <w:r>
        <w:rPr>
          <w:rFonts w:ascii="Times New Roman" w:hAnsi="Times New Roman" w:eastAsia="仿宋_GB2312" w:cs="Times New Roman"/>
          <w:spacing w:val="-4"/>
          <w:sz w:val="28"/>
          <w:szCs w:val="28"/>
        </w:rPr>
        <w:t>40%</w:t>
      </w:r>
      <w:r>
        <w:rPr>
          <w:rFonts w:hint="eastAsia" w:ascii="Times New Roman" w:hAnsi="Times New Roman" w:eastAsia="仿宋_GB2312" w:cs="Times New Roman"/>
          <w:spacing w:val="-4"/>
          <w:sz w:val="28"/>
          <w:szCs w:val="28"/>
        </w:rPr>
        <w:t>即</w:t>
      </w:r>
      <w:r>
        <w:rPr>
          <w:rFonts w:ascii="Times New Roman" w:hAnsi="Times New Roman" w:eastAsia="仿宋_GB2312" w:cs="Times New Roman"/>
          <w:spacing w:val="-4"/>
          <w:sz w:val="28"/>
          <w:szCs w:val="28"/>
        </w:rPr>
        <w:t>9</w:t>
      </w:r>
      <w:r>
        <w:rPr>
          <w:rFonts w:hint="eastAsia" w:ascii="Times New Roman" w:hAnsi="Times New Roman" w:eastAsia="仿宋_GB2312" w:cs="Times New Roman"/>
          <w:spacing w:val="-4"/>
          <w:sz w:val="28"/>
          <w:szCs w:val="28"/>
        </w:rPr>
        <w:t>60</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000</w:t>
      </w:r>
      <w:r>
        <w:rPr>
          <w:rFonts w:ascii="Times New Roman" w:hAnsi="Times New Roman" w:eastAsia="仿宋_GB2312" w:cs="Times New Roman"/>
          <w:spacing w:val="-4"/>
          <w:sz w:val="28"/>
          <w:szCs w:val="28"/>
        </w:rPr>
        <w:t>.00</w:t>
      </w:r>
      <w:r>
        <w:rPr>
          <w:rFonts w:hint="eastAsia" w:ascii="Times New Roman" w:hAnsi="Times New Roman" w:eastAsia="仿宋_GB2312" w:cs="Times New Roman"/>
          <w:spacing w:val="-4"/>
          <w:sz w:val="28"/>
          <w:szCs w:val="28"/>
        </w:rPr>
        <w:t>元，年度末期评估为合格以上的拨付</w:t>
      </w:r>
      <w:r>
        <w:rPr>
          <w:rFonts w:ascii="Times New Roman" w:hAnsi="Times New Roman" w:eastAsia="仿宋_GB2312" w:cs="Times New Roman"/>
          <w:spacing w:val="-4"/>
          <w:sz w:val="28"/>
          <w:szCs w:val="28"/>
        </w:rPr>
        <w:t>5%</w:t>
      </w:r>
      <w:r>
        <w:rPr>
          <w:rFonts w:hint="eastAsia" w:ascii="Times New Roman" w:hAnsi="Times New Roman" w:eastAsia="仿宋_GB2312" w:cs="Times New Roman"/>
          <w:spacing w:val="-4"/>
          <w:sz w:val="28"/>
          <w:szCs w:val="28"/>
        </w:rPr>
        <w:t>即</w:t>
      </w:r>
      <w:r>
        <w:rPr>
          <w:rFonts w:ascii="Times New Roman" w:hAnsi="Times New Roman" w:eastAsia="仿宋_GB2312" w:cs="Times New Roman"/>
          <w:spacing w:val="-4"/>
          <w:sz w:val="28"/>
          <w:szCs w:val="28"/>
        </w:rPr>
        <w:t>1</w:t>
      </w:r>
      <w:r>
        <w:rPr>
          <w:rFonts w:hint="eastAsia" w:ascii="Times New Roman" w:hAnsi="Times New Roman" w:eastAsia="仿宋_GB2312" w:cs="Times New Roman"/>
          <w:spacing w:val="-4"/>
          <w:sz w:val="28"/>
          <w:szCs w:val="28"/>
        </w:rPr>
        <w:t>20</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000</w:t>
      </w:r>
      <w:r>
        <w:rPr>
          <w:rFonts w:ascii="Times New Roman" w:hAnsi="Times New Roman" w:eastAsia="仿宋_GB2312" w:cs="Times New Roman"/>
          <w:spacing w:val="-4"/>
          <w:sz w:val="28"/>
          <w:szCs w:val="28"/>
        </w:rPr>
        <w:t>.00</w:t>
      </w:r>
      <w:r>
        <w:rPr>
          <w:rFonts w:hint="eastAsia" w:ascii="Times New Roman" w:hAnsi="Times New Roman" w:eastAsia="仿宋_GB2312" w:cs="Times New Roman"/>
          <w:spacing w:val="-4"/>
          <w:sz w:val="28"/>
          <w:szCs w:val="28"/>
        </w:rPr>
        <w:t>元。</w:t>
      </w:r>
    </w:p>
    <w:p>
      <w:pPr>
        <w:spacing w:line="64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二、石碁社工站财务管理制度执行情况</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㈠非营利组织会计制度的执行情况</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石碁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㈡财务监管、风控制度的执行情况</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hint="eastAsia" w:ascii="Times New Roman" w:hAnsi="Times New Roman" w:eastAsia="仿宋" w:cs="Times New Roman"/>
          <w:color w:val="000000" w:themeColor="text1"/>
          <w:sz w:val="28"/>
          <w:szCs w:val="28"/>
          <w14:textFill>
            <w14:solidFill>
              <w14:schemeClr w14:val="tx1"/>
            </w14:solidFill>
          </w14:textFill>
        </w:rPr>
        <w:t>承接机构</w:t>
      </w:r>
      <w:r>
        <w:rPr>
          <w:rFonts w:hint="eastAsia" w:ascii="Times New Roman" w:hAnsi="Times New Roman" w:eastAsia="仿宋_GB2312"/>
          <w:color w:val="000000" w:themeColor="text1"/>
          <w:sz w:val="28"/>
          <w:szCs w:val="28"/>
          <w14:textFill>
            <w14:solidFill>
              <w14:schemeClr w14:val="tx1"/>
            </w14:solidFill>
          </w14:textFill>
        </w:rPr>
        <w:t>广州市阳光天使社会工作服务中心</w:t>
      </w:r>
      <w:r>
        <w:rPr>
          <w:rFonts w:hint="eastAsia" w:ascii="仿宋" w:hAnsi="仿宋" w:eastAsia="仿宋"/>
          <w:color w:val="000000" w:themeColor="text1"/>
          <w:sz w:val="28"/>
          <w:szCs w:val="28"/>
          <w14:textFill>
            <w14:solidFill>
              <w14:schemeClr w14:val="tx1"/>
            </w14:solidFill>
          </w14:textFill>
        </w:rPr>
        <w:t>根据自身特点建立了《财务监管、风险防控制度》《岗位职责》《财务报销制度及报销流程》</w:t>
      </w:r>
      <w:r>
        <w:rPr>
          <w:rFonts w:hint="eastAsia" w:eastAsia="仿宋"/>
          <w:color w:val="000000" w:themeColor="text1"/>
          <w:sz w:val="28"/>
          <w:szCs w:val="28"/>
          <w14:textFill>
            <w14:solidFill>
              <w14:schemeClr w14:val="tx1"/>
            </w14:solidFill>
          </w14:textFill>
        </w:rPr>
        <w:t>《物资管理制度》《重大事项报备规定》</w:t>
      </w:r>
      <w:r>
        <w:rPr>
          <w:rFonts w:hint="eastAsia" w:ascii="仿宋" w:hAnsi="仿宋" w:eastAsia="仿宋"/>
          <w:color w:val="000000" w:themeColor="text1"/>
          <w:sz w:val="28"/>
          <w:szCs w:val="28"/>
          <w14:textFill>
            <w14:solidFill>
              <w14:schemeClr w14:val="tx1"/>
            </w14:solidFill>
          </w14:textFill>
        </w:rPr>
        <w:t>等财务监管、风险方面控制制度</w:t>
      </w:r>
      <w:r>
        <w:rPr>
          <w:rFonts w:hint="eastAsia" w:ascii="Times New Roman" w:hAnsi="Times New Roman" w:eastAsia="仿宋_GB2312" w:cs="Times New Roman"/>
          <w:sz w:val="28"/>
          <w:szCs w:val="28"/>
        </w:rPr>
        <w:t>。石碁社工站在实际工作中能按上述制度要求编制“</w:t>
      </w:r>
      <w:r>
        <w:rPr>
          <w:rFonts w:hint="eastAsia" w:ascii="仿宋" w:hAnsi="仿宋" w:eastAsia="仿宋"/>
          <w:color w:val="000000" w:themeColor="text1"/>
          <w:sz w:val="28"/>
          <w:szCs w:val="28"/>
          <w14:textFill>
            <w14:solidFill>
              <w14:schemeClr w14:val="tx1"/>
            </w14:solidFill>
          </w14:textFill>
        </w:rPr>
        <w:t>石碁预算执行情况表</w:t>
      </w:r>
      <w:r>
        <w:rPr>
          <w:rFonts w:hint="eastAsia" w:ascii="Times New Roman" w:hAnsi="Times New Roman" w:eastAsia="仿宋_GB2312" w:cs="Times New Roman"/>
          <w:sz w:val="28"/>
          <w:szCs w:val="28"/>
        </w:rPr>
        <w:t>”；</w:t>
      </w:r>
      <w:r>
        <w:rPr>
          <w:rFonts w:hint="eastAsia" w:ascii="仿宋" w:hAnsi="仿宋" w:eastAsia="仿宋"/>
          <w:color w:val="000000" w:themeColor="text1"/>
          <w:sz w:val="28"/>
          <w:szCs w:val="28"/>
          <w14:textFill>
            <w14:solidFill>
              <w14:schemeClr w14:val="tx1"/>
            </w14:solidFill>
          </w14:textFill>
        </w:rPr>
        <w:t>在经费报销和物资采购等方面均能执行承接机构制度规定的程序、权限</w:t>
      </w:r>
      <w:r>
        <w:rPr>
          <w:rFonts w:hint="eastAsia" w:ascii="Times New Roman" w:hAnsi="Times New Roman" w:eastAsia="仿宋" w:cs="Times New Roman"/>
          <w:sz w:val="28"/>
          <w:szCs w:val="28"/>
        </w:rPr>
        <w:t>，</w:t>
      </w:r>
      <w:r>
        <w:rPr>
          <w:rFonts w:ascii="Times New Roman" w:hAnsi="Times New Roman" w:eastAsia="仿宋" w:cs="Times New Roman"/>
          <w:sz w:val="28"/>
          <w:szCs w:val="28"/>
        </w:rPr>
        <w:t>但部分审批签名不齐</w:t>
      </w:r>
      <w:r>
        <w:rPr>
          <w:rFonts w:hint="eastAsia" w:ascii="Times New Roman" w:hAnsi="Times New Roman" w:eastAsia="仿宋" w:cs="Times New Roman"/>
          <w:sz w:val="28"/>
          <w:szCs w:val="28"/>
        </w:rPr>
        <w:t>，</w:t>
      </w:r>
      <w:r>
        <w:rPr>
          <w:rFonts w:ascii="Times New Roman" w:hAnsi="Times New Roman" w:eastAsia="仿宋" w:cs="Times New Roman"/>
          <w:sz w:val="28"/>
          <w:szCs w:val="28"/>
        </w:rPr>
        <w:t>详见本报告第</w:t>
      </w:r>
      <w:r>
        <w:rPr>
          <w:rFonts w:hint="eastAsia" w:ascii="Times New Roman" w:hAnsi="Times New Roman" w:eastAsia="仿宋" w:cs="Times New Roman"/>
          <w:sz w:val="28"/>
          <w:szCs w:val="28"/>
        </w:rPr>
        <w:t>八</w:t>
      </w:r>
      <w:r>
        <w:rPr>
          <w:rFonts w:ascii="Times New Roman" w:hAnsi="Times New Roman" w:eastAsia="仿宋" w:cs="Times New Roman"/>
          <w:sz w:val="28"/>
          <w:szCs w:val="28"/>
        </w:rPr>
        <w:t>点</w:t>
      </w:r>
      <w:r>
        <w:rPr>
          <w:rFonts w:hint="eastAsia" w:ascii="Times New Roman" w:hAnsi="Times New Roman" w:eastAsia="仿宋" w:cs="Times New Roman"/>
          <w:sz w:val="28"/>
          <w:szCs w:val="28"/>
        </w:rPr>
        <w:t>“存在问题及建议”</w:t>
      </w:r>
      <w:r>
        <w:rPr>
          <w:rFonts w:hint="eastAsia" w:ascii="仿宋" w:hAnsi="仿宋" w:eastAsia="仿宋"/>
          <w:color w:val="000000" w:themeColor="text1"/>
          <w:sz w:val="28"/>
          <w:szCs w:val="28"/>
          <w14:textFill>
            <w14:solidFill>
              <w14:schemeClr w14:val="tx1"/>
            </w14:solidFill>
          </w14:textFill>
        </w:rPr>
        <w:t>。</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hint="eastAsia" w:ascii="Times New Roman" w:hAnsi="Times New Roman" w:eastAsia="仿宋" w:cs="Times New Roman"/>
          <w:color w:val="000000" w:themeColor="text1"/>
          <w:sz w:val="28"/>
          <w:szCs w:val="28"/>
          <w14:textFill>
            <w14:solidFill>
              <w14:schemeClr w14:val="tx1"/>
            </w14:solidFill>
          </w14:textFill>
        </w:rPr>
        <w:t>石碁社工站</w:t>
      </w:r>
      <w:r>
        <w:rPr>
          <w:rFonts w:hint="eastAsia" w:eastAsia="仿宋"/>
          <w:color w:val="000000" w:themeColor="text1"/>
          <w:sz w:val="28"/>
          <w:szCs w:val="28"/>
          <w14:textFill>
            <w14:solidFill>
              <w14:schemeClr w14:val="tx1"/>
            </w14:solidFill>
          </w14:textFill>
        </w:rPr>
        <w:t>按区域对固定资产进行管理，定期盘点。</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承接机构广州市阳光天使社会工作服务中心已按要求编制服务期内石碁社工站的财务自评报告；中心2023年度财务报表已经广东金铭至正会计师事务所有限公司审计，并取得金铭查字（2024）第0714号无保留意见审计报告；2023年度企业所得税纳税情况已经广东金铭至正会计师事务所有限公司复核，并取得金铭代字（2024）第DL0521号汇算清缴纳税调整报告。截至报告日，承接机构暂未出具2024年度审计报告及汇算清缴纳税调整报告。</w:t>
      </w:r>
    </w:p>
    <w:p>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三、石碁社工站人员配备情况</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广州市阳光天使社会工作服务中心严格贯彻不相容职务分离原则，配置财务人员3名，分别为会计、财务及出纳各一名，负责包括石碁社工站在内的中心财务工作，其中会计邱强发已取得会计初级专业技术资格证。</w:t>
      </w:r>
    </w:p>
    <w:p>
      <w:pPr>
        <w:spacing w:line="600" w:lineRule="exact"/>
        <w:ind w:firstLine="560" w:firstLineChars="200"/>
        <w:rPr>
          <w:rFonts w:ascii="Times New Roman" w:hAnsi="Times New Roman" w:eastAsia="仿宋_GB2312" w:cs="Times New Roman"/>
          <w:b/>
          <w:sz w:val="28"/>
          <w:szCs w:val="28"/>
        </w:rPr>
      </w:pPr>
      <w:r>
        <w:rPr>
          <w:rFonts w:hint="eastAsia" w:ascii="Times New Roman" w:hAnsi="Times New Roman" w:eastAsia="仿宋_GB2312" w:cs="Times New Roman"/>
          <w:sz w:val="28"/>
          <w:szCs w:val="28"/>
        </w:rPr>
        <w:t>经查阅，上述3名财务人员均已完成2024年度会计专业技术人员继续教育学习任务，且相应工资、五险一金等薪金支出在机构作为运营管理费用项目核算，未计入社工人员经费支出，符合要求。</w:t>
      </w:r>
    </w:p>
    <w:p>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四、石碁社工站服务经费支出情况</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阳光天使社会工作服务中心根据《广州市人民政府办公厅关于印发广州市社工服务站管理办法的通知》（穗府办〔2023〕7号）、《广州市民政局关于印发〈广州市社工服务站管理办法〉有关配套文件的通知》（穗民〔2023〕97号）等相关规定，结合实际情况建立了《财务报销制度及报销流程》，明确了财务经费支出的审核程序及支出权限。制度规定：按规定的审批程序报批，经手人按规定填写《费用报销》——主管项目负责人审核签字——区域服务总监或机构行政总监审核签字——财务复核——总干事或理事（理事会）审批——财务部办理报销。项目主任审批额度为300元（含300元），300元以上至1000元（含1000元）由区域服务总监或机构行政总监审批，1000元以上由总干事或理事（理事会）审批。本评估期内石碁社工站经费支出具体情况如下：</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㈠财务支出的合规性</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石碁社工站经费使用的范围、比例基本能按《广州市社工服务站管理办法》有关规定执行。石碁社工站每年有制定“石碁预算执行情况表”，明确规划了协议期内的收入和支出预算计划，经费支出预算表基本能符合《民间非营利组织会计制度》和广州市番禺区石碁镇人民政府与社工服务站承接机构签订的购买服务协议中人员费用、服务质量保障费用和运营管理费用规定的使用范围，活动经费预算表有机构理事会负责人签名确认。</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㈡财务支出的合理性</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经审核，石碁社工站财务支出的事由、票据、标准基本合理。石碁社工站有经费预算程序，财务支出根据经费预算计划执行、基本能按预算标准支出，并有财务支出票据。</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㈢财务支出审批机制情况</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经审核，除本报告第八点“存在问题及建议”提及的问题外，石碁社工站基本能按承接机构广州市阳光天使社会工作服务中心财务制度规定的审批权限进行审批。经费支出由经办人、证明人、审核人签名。</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㈣财务支出监控机制执行情况</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经审核，承接机构广州市阳光天使社会工作服务中心已建立财务支出管理的监控机制，除本报告第八点“存在问题及建议”提及的问题外，在石碁社工站得到较规范执行。</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１、承接机构广州市阳光天使社会工作服务中心能按规定开设银行基本账户，按规定对石碁社工站开设了银行一般账户，日常财务支出采用专户支付和基本户代付后专户转回结合的方式。</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２、为确保政府购买服务经费用于指定用途，承接机构广州市阳光天使社会工作服务中心有定期向购买方提交石碁社工站服务经费使用情况报告，对经费预算及使用情况作比对分析。</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㈤财务支出票据的完整性、规范性</w:t>
      </w:r>
    </w:p>
    <w:p>
      <w:pPr>
        <w:spacing w:line="620" w:lineRule="exact"/>
        <w:ind w:right="-6" w:rightChars="-3" w:firstLine="544"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石碁社工站财务支出票据、凭证填制较完整，账目设置、票据管理较规范。</w:t>
      </w:r>
    </w:p>
    <w:p>
      <w:pPr>
        <w:spacing w:line="62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五、石碁社工站会计核算情况</w:t>
      </w:r>
    </w:p>
    <w:p>
      <w:pPr>
        <w:spacing w:line="620" w:lineRule="exact"/>
        <w:ind w:right="-2" w:firstLine="560" w:firstLineChars="200"/>
        <w:outlineLvl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㈠是否设置会计科目，编制会计报表</w:t>
      </w:r>
    </w:p>
    <w:p>
      <w:pPr>
        <w:spacing w:line="620" w:lineRule="exact"/>
        <w:ind w:right="-2" w:firstLine="560" w:firstLineChars="200"/>
        <w:outlineLvl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阳光天使社会工作服务中心对石碁社工站会计科目设置合理，所有服务业务均编制了记账凭证、登记了明细分类账簿和总账，核算做到账证、账账、账表相符，编制了会计报表，并依据相关会计制度独立核算。</w:t>
      </w:r>
    </w:p>
    <w:p>
      <w:pPr>
        <w:spacing w:line="620" w:lineRule="exact"/>
        <w:ind w:right="-2" w:firstLine="560" w:firstLineChars="200"/>
        <w:outlineLvl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㈡是否分项目核算</w:t>
      </w:r>
    </w:p>
    <w:p>
      <w:pPr>
        <w:spacing w:line="620" w:lineRule="exact"/>
        <w:ind w:right="-2" w:firstLine="560" w:firstLineChars="200"/>
        <w:outlineLvl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经审核，承接机构广州市阳光天使社会工作服务中心对承接的石碁社工站政府购买服务资金的服务经费支出，能按要求做到分项目核算。</w:t>
      </w:r>
    </w:p>
    <w:p>
      <w:pPr>
        <w:spacing w:line="620" w:lineRule="exact"/>
        <w:ind w:right="-2" w:firstLine="560" w:firstLineChars="200"/>
        <w:outlineLvl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㈢是否领域服务经费分开归集</w:t>
      </w:r>
    </w:p>
    <w:p>
      <w:pPr>
        <w:spacing w:line="620" w:lineRule="exact"/>
        <w:ind w:right="-2" w:firstLine="560" w:firstLineChars="200"/>
        <w:outlineLvl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经审核，承接机构广州市阳光天使社会工作服务中心对承接的石碁社工站政府购买服务资金的服务经费支出，能按要求做到领域服务经费分开归集。</w:t>
      </w:r>
    </w:p>
    <w:p>
      <w:pPr>
        <w:spacing w:line="62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六、本评估期服务经费拨入、支出、结余情况</w:t>
      </w:r>
    </w:p>
    <w:p>
      <w:pPr>
        <w:spacing w:line="620" w:lineRule="exact"/>
        <w:ind w:right="-2" w:firstLine="560" w:firstLineChars="200"/>
        <w:outlineLvl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2024年8月24日至2025年2月23日期间（以下简称本评估期），石碁社工站未收到本协议期政府购买服务经费，归属于本评估期的服务经费支出累计</w:t>
      </w:r>
      <w:r>
        <w:rPr>
          <w:rFonts w:ascii="Times New Roman" w:hAnsi="Times New Roman" w:eastAsia="仿宋_GB2312" w:cs="Times New Roman"/>
          <w:sz w:val="28"/>
          <w:szCs w:val="28"/>
        </w:rPr>
        <w:t>1,208,057.54</w:t>
      </w:r>
      <w:r>
        <w:rPr>
          <w:rFonts w:hint="eastAsia" w:ascii="Times New Roman" w:hAnsi="Times New Roman" w:eastAsia="仿宋_GB2312" w:cs="Times New Roman"/>
          <w:sz w:val="28"/>
          <w:szCs w:val="28"/>
        </w:rPr>
        <w:t>元；本评估期结余金额-</w:t>
      </w:r>
      <w:r>
        <w:rPr>
          <w:rFonts w:ascii="Times New Roman" w:hAnsi="Times New Roman" w:eastAsia="仿宋_GB2312" w:cs="Times New Roman"/>
          <w:sz w:val="28"/>
          <w:szCs w:val="28"/>
        </w:rPr>
        <w:t>1,208,057.54</w:t>
      </w:r>
      <w:r>
        <w:rPr>
          <w:rFonts w:hint="eastAsia" w:ascii="Times New Roman" w:hAnsi="Times New Roman" w:eastAsia="仿宋_GB2312" w:cs="Times New Roman"/>
          <w:sz w:val="28"/>
          <w:szCs w:val="28"/>
        </w:rPr>
        <w:t>元</w:t>
      </w:r>
      <w:r>
        <w:rPr>
          <w:rFonts w:hint="eastAsia" w:ascii="Times New Roman" w:hAnsi="Times New Roman" w:eastAsia="仿宋" w:cs="Times New Roman"/>
          <w:sz w:val="28"/>
          <w:szCs w:val="28"/>
        </w:rPr>
        <w:t>，具体经费支出情况如下：</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㈠用于人员费用支出</w:t>
      </w:r>
      <w:r>
        <w:rPr>
          <w:rFonts w:ascii="Times New Roman" w:hAnsi="Times New Roman" w:eastAsia="仿宋_GB2312" w:cs="Times New Roman"/>
          <w:sz w:val="28"/>
          <w:szCs w:val="28"/>
        </w:rPr>
        <w:t>1,022,501.66</w:t>
      </w:r>
      <w:r>
        <w:rPr>
          <w:rFonts w:hint="eastAsia" w:ascii="Times New Roman" w:hAnsi="Times New Roman" w:eastAsia="仿宋_GB2312" w:cs="Times New Roman"/>
          <w:sz w:val="28"/>
          <w:szCs w:val="28"/>
        </w:rPr>
        <w:t>元，</w:t>
      </w:r>
      <w:r>
        <w:rPr>
          <w:rFonts w:hint="eastAsia" w:ascii="Times New Roman" w:hAnsi="Times New Roman" w:eastAsia="仿宋" w:cs="Times New Roman"/>
          <w:sz w:val="28"/>
          <w:szCs w:val="28"/>
        </w:rPr>
        <w:t>占本协议期应收服务总经费的</w:t>
      </w:r>
      <w:r>
        <w:rPr>
          <w:rFonts w:ascii="Times New Roman" w:hAnsi="Times New Roman" w:eastAsia="仿宋" w:cs="Times New Roman"/>
          <w:sz w:val="28"/>
          <w:szCs w:val="28"/>
        </w:rPr>
        <w:t>42.60%</w:t>
      </w:r>
      <w:r>
        <w:rPr>
          <w:rFonts w:hint="eastAsia" w:ascii="Times New Roman" w:hAnsi="Times New Roman" w:eastAsia="仿宋" w:cs="Times New Roman"/>
          <w:sz w:val="28"/>
          <w:szCs w:val="28"/>
        </w:rPr>
        <w:t>，</w:t>
      </w:r>
      <w:r>
        <w:rPr>
          <w:rFonts w:hint="eastAsia" w:ascii="Times New Roman" w:hAnsi="Times New Roman" w:eastAsia="仿宋_GB2312" w:cs="Times New Roman"/>
          <w:sz w:val="28"/>
          <w:szCs w:val="28"/>
        </w:rPr>
        <w:t>占本期预算执行率（整体协议期）</w:t>
      </w:r>
      <w:r>
        <w:rPr>
          <w:rFonts w:ascii="Times New Roman" w:hAnsi="Times New Roman" w:eastAsia="仿宋_GB2312" w:cs="Times New Roman"/>
          <w:sz w:val="28"/>
          <w:szCs w:val="28"/>
        </w:rPr>
        <w:t>53.26%</w:t>
      </w:r>
      <w:r>
        <w:rPr>
          <w:rFonts w:hint="eastAsia" w:ascii="Times New Roman" w:hAnsi="Times New Roman" w:eastAsia="仿宋_GB2312" w:cs="Times New Roman"/>
          <w:sz w:val="28"/>
          <w:szCs w:val="28"/>
        </w:rPr>
        <w:t>。其中：</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１、工资总额支出</w:t>
      </w:r>
      <w:r>
        <w:rPr>
          <w:rFonts w:ascii="Times New Roman" w:hAnsi="Times New Roman" w:eastAsia="仿宋_GB2312" w:cs="Times New Roman"/>
          <w:sz w:val="28"/>
          <w:szCs w:val="28"/>
        </w:rPr>
        <w:t>857,614.66</w:t>
      </w:r>
      <w:r>
        <w:rPr>
          <w:rFonts w:hint="eastAsia"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２、五险金支出148,395.00元；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３、公积金支出 16,492.00 元。</w:t>
      </w:r>
    </w:p>
    <w:p>
      <w:pPr>
        <w:spacing w:line="58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㈡用于服务质量保障费用的支出合计99,557.07元，</w:t>
      </w:r>
      <w:r>
        <w:rPr>
          <w:rFonts w:hint="eastAsia" w:ascii="Times New Roman" w:hAnsi="Times New Roman" w:eastAsia="仿宋" w:cs="Times New Roman"/>
          <w:sz w:val="28"/>
          <w:szCs w:val="28"/>
        </w:rPr>
        <w:t>占本协议期应收服务经费的4.15%，</w:t>
      </w:r>
      <w:r>
        <w:rPr>
          <w:rFonts w:hint="eastAsia" w:ascii="Times New Roman" w:hAnsi="Times New Roman" w:eastAsia="仿宋_GB2312" w:cs="Times New Roman"/>
          <w:sz w:val="28"/>
          <w:szCs w:val="28"/>
        </w:rPr>
        <w:t>本期预算执行率（整体协议期）32.12%，其中：</w:t>
      </w:r>
    </w:p>
    <w:p>
      <w:pPr>
        <w:numPr>
          <w:ilvl w:val="0"/>
          <w:numId w:val="1"/>
        </w:num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用于开展与专业服务和活动的支出 36,266.47 元。</w:t>
      </w:r>
    </w:p>
    <w:p>
      <w:pPr>
        <w:spacing w:line="60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hint="eastAsia" w:ascii="Times New Roman" w:hAnsi="Times New Roman" w:eastAsia="仿宋" w:cs="Times New Roman"/>
          <w:sz w:val="28"/>
          <w:szCs w:val="28"/>
        </w:rPr>
        <w:t>服务和活动物料支出30,278.38元；</w:t>
      </w:r>
    </w:p>
    <w:p>
      <w:pPr>
        <w:spacing w:line="60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hint="eastAsia" w:ascii="Times New Roman" w:hAnsi="Times New Roman" w:eastAsia="仿宋" w:cs="Times New Roman"/>
          <w:sz w:val="28"/>
          <w:szCs w:val="28"/>
        </w:rPr>
        <w:t>宣传费支出1,433.50元；</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3 \* GB2 </w:instrText>
      </w:r>
      <w:r>
        <w:rPr>
          <w:rFonts w:ascii="Times New Roman" w:hAnsi="Times New Roman" w:eastAsia="仿宋" w:cs="Times New Roman"/>
          <w:sz w:val="28"/>
          <w:szCs w:val="28"/>
        </w:rPr>
        <w:fldChar w:fldCharType="separate"/>
      </w:r>
      <w:r>
        <w:rPr>
          <w:rFonts w:hint="eastAsia" w:ascii="Times New Roman" w:hAnsi="Times New Roman" w:eastAsia="仿宋" w:cs="Times New Roman"/>
          <w:sz w:val="28"/>
          <w:szCs w:val="28"/>
        </w:rPr>
        <w:t>⑶</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交通费支出1,254.59元；</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 4 \* GB2 </w:instrText>
      </w:r>
      <w:r>
        <w:rPr>
          <w:rFonts w:ascii="Times New Roman" w:hAnsi="Times New Roman" w:eastAsia="仿宋" w:cs="Times New Roman"/>
          <w:sz w:val="28"/>
          <w:szCs w:val="28"/>
        </w:rPr>
        <w:fldChar w:fldCharType="separate"/>
      </w:r>
      <w:r>
        <w:rPr>
          <w:rFonts w:hint="eastAsia" w:ascii="Times New Roman" w:hAnsi="Times New Roman" w:eastAsia="仿宋" w:cs="Times New Roman"/>
          <w:sz w:val="28"/>
          <w:szCs w:val="28"/>
        </w:rPr>
        <w:t>⑷</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误餐费支出3,300.00元。</w:t>
      </w:r>
    </w:p>
    <w:p>
      <w:pPr>
        <w:numPr>
          <w:ilvl w:val="0"/>
          <w:numId w:val="1"/>
        </w:num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用于日常办公费用支出15,770.61元。</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hint="eastAsia" w:ascii="Times New Roman" w:hAnsi="Times New Roman" w:eastAsia="仿宋" w:cs="Times New Roman"/>
          <w:sz w:val="28"/>
          <w:szCs w:val="28"/>
        </w:rPr>
        <w:t>办公费耗材支出15,321.90元；</w:t>
      </w:r>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hint="eastAsia" w:ascii="Times New Roman" w:hAnsi="Times New Roman" w:eastAsia="仿宋" w:cs="Times New Roman"/>
          <w:sz w:val="28"/>
          <w:szCs w:val="28"/>
        </w:rPr>
        <w:t>通讯费支出323.71元；</w:t>
      </w:r>
      <w:bookmarkStart w:id="3" w:name="_GoBack"/>
      <w:bookmarkEnd w:id="3"/>
    </w:p>
    <w:p>
      <w:pPr>
        <w:spacing w:line="58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⑶</w:t>
      </w:r>
      <w:r>
        <w:rPr>
          <w:rFonts w:hint="eastAsia" w:ascii="Times New Roman" w:hAnsi="Times New Roman" w:eastAsia="仿宋" w:cs="Times New Roman"/>
          <w:sz w:val="28"/>
          <w:szCs w:val="28"/>
        </w:rPr>
        <w:t>银行手续费支出125.00元。</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３、</w:t>
      </w:r>
      <w:r>
        <w:rPr>
          <w:rFonts w:hint="eastAsia" w:ascii="Times New Roman" w:hAnsi="Times New Roman" w:eastAsia="仿宋" w:cs="Times New Roman"/>
          <w:sz w:val="28"/>
          <w:szCs w:val="28"/>
        </w:rPr>
        <w:t>用于机构年度相关税费支出47,519.99元。</w:t>
      </w:r>
    </w:p>
    <w:p>
      <w:pPr>
        <w:spacing w:line="58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㈢用于运营管理费用支出85,998.81元，</w:t>
      </w:r>
      <w:r>
        <w:rPr>
          <w:rFonts w:hint="eastAsia" w:ascii="Times New Roman" w:hAnsi="Times New Roman" w:eastAsia="仿宋" w:cs="Times New Roman"/>
          <w:sz w:val="28"/>
          <w:szCs w:val="28"/>
        </w:rPr>
        <w:t>占本协议期应收服务经费的3.58%，</w:t>
      </w:r>
      <w:r>
        <w:rPr>
          <w:rFonts w:hint="eastAsia" w:ascii="Times New Roman" w:hAnsi="Times New Roman" w:eastAsia="仿宋_GB2312" w:cs="Times New Roman"/>
          <w:sz w:val="28"/>
          <w:szCs w:val="28"/>
        </w:rPr>
        <w:t>本期预算执行率（整体协议期）50.59%。其中：</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１、中标费用17,893.08元；</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２、分摊机构人员工资42,678.34元；</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３、分摊机构人员社保5,387.10元；</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４、分摊机构人员公积金474.86元；</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５、</w:t>
      </w:r>
      <w:r>
        <w:rPr>
          <w:rFonts w:hint="eastAsia" w:ascii="Times New Roman" w:hAnsi="Times New Roman" w:eastAsia="仿宋" w:cs="Times New Roman"/>
          <w:sz w:val="28"/>
          <w:szCs w:val="28"/>
        </w:rPr>
        <w:t>机构费用分摊18,346.25元；</w:t>
      </w:r>
    </w:p>
    <w:p>
      <w:pPr>
        <w:spacing w:line="580" w:lineRule="exact"/>
        <w:ind w:firstLine="560" w:firstLineChars="200"/>
        <w:rPr>
          <w:rFonts w:ascii="Times New Roman" w:hAnsi="Times New Roman" w:eastAsia="仿宋"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６、</w:t>
      </w:r>
      <w:r>
        <w:rPr>
          <w:rFonts w:hint="eastAsia" w:ascii="Times New Roman" w:hAnsi="Times New Roman" w:eastAsia="仿宋" w:cs="Times New Roman"/>
          <w:sz w:val="28"/>
          <w:szCs w:val="28"/>
        </w:rPr>
        <w:t>社工交流支出1,219.18元。</w:t>
      </w:r>
    </w:p>
    <w:p>
      <w:pPr>
        <w:spacing w:line="64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七、累计结余情况（2024年8月24日</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rPr>
        <w:t>5年</w:t>
      </w:r>
      <w:r>
        <w:rPr>
          <w:rFonts w:ascii="Times New Roman" w:hAnsi="Times New Roman" w:eastAsia="仿宋_GB2312" w:cs="Times New Roman"/>
          <w:b/>
          <w:sz w:val="28"/>
          <w:szCs w:val="28"/>
        </w:rPr>
        <w:t>2</w:t>
      </w:r>
      <w:r>
        <w:rPr>
          <w:rFonts w:hint="eastAsia" w:ascii="Times New Roman" w:hAnsi="Times New Roman" w:eastAsia="仿宋_GB2312" w:cs="Times New Roman"/>
          <w:b/>
          <w:sz w:val="28"/>
          <w:szCs w:val="28"/>
        </w:rPr>
        <w:t>月</w:t>
      </w:r>
      <w:r>
        <w:rPr>
          <w:rFonts w:ascii="Times New Roman" w:hAnsi="Times New Roman" w:eastAsia="仿宋_GB2312" w:cs="Times New Roman"/>
          <w:b/>
          <w:sz w:val="28"/>
          <w:szCs w:val="28"/>
        </w:rPr>
        <w:t>2</w:t>
      </w:r>
      <w:r>
        <w:rPr>
          <w:rFonts w:hint="eastAsia" w:ascii="Times New Roman" w:hAnsi="Times New Roman" w:eastAsia="仿宋_GB2312" w:cs="Times New Roman"/>
          <w:b/>
          <w:sz w:val="28"/>
          <w:szCs w:val="28"/>
        </w:rPr>
        <w:t>3日）</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自</w:t>
      </w:r>
      <w:r>
        <w:rPr>
          <w:rFonts w:hint="eastAsia" w:ascii="Times New Roman" w:hAnsi="Times New Roman" w:eastAsia="仿宋_GB2312" w:cs="Times New Roman"/>
          <w:sz w:val="28"/>
          <w:szCs w:val="28"/>
        </w:rPr>
        <w:t>2024年8月24日</w:t>
      </w:r>
      <w:r>
        <w:rPr>
          <w:rFonts w:ascii="Times New Roman" w:hAnsi="Times New Roman" w:eastAsia="仿宋_GB2312" w:cs="Times New Roman"/>
          <w:sz w:val="28"/>
          <w:szCs w:val="28"/>
        </w:rPr>
        <w:t>起至</w:t>
      </w:r>
      <w:r>
        <w:rPr>
          <w:rFonts w:hint="eastAsia" w:ascii="Times New Roman" w:hAnsi="Times New Roman" w:eastAsia="仿宋_GB2312" w:cs="Times New Roman"/>
          <w:sz w:val="28"/>
          <w:szCs w:val="28"/>
        </w:rPr>
        <w:t>2025年2月23日</w:t>
      </w:r>
      <w:r>
        <w:rPr>
          <w:rFonts w:ascii="Times New Roman" w:hAnsi="Times New Roman" w:eastAsia="仿宋_GB2312" w:cs="Times New Roman"/>
          <w:sz w:val="28"/>
          <w:szCs w:val="28"/>
        </w:rPr>
        <w:t>止，石碁社工站服务经费累计结余-1,208,057.54元。具体每期结余情况如下：</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2024年8月24日至2027年8月23日为石基社工站的三年服务期，其中：</w:t>
      </w:r>
    </w:p>
    <w:p>
      <w:pPr>
        <w:spacing w:line="61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本评估期2024年8月24日至2025年2月23日，结余资金</w:t>
      </w:r>
      <w:r>
        <w:rPr>
          <w:rFonts w:ascii="Times New Roman" w:hAnsi="Times New Roman" w:eastAsia="仿宋_GB2312" w:cs="Times New Roman"/>
          <w:spacing w:val="-6"/>
          <w:sz w:val="28"/>
          <w:szCs w:val="28"/>
        </w:rPr>
        <w:t>-1,208,057.54</w:t>
      </w:r>
      <w:r>
        <w:rPr>
          <w:rFonts w:hint="eastAsia" w:ascii="Times New Roman" w:hAnsi="Times New Roman" w:eastAsia="仿宋_GB2312" w:cs="Times New Roman"/>
          <w:spacing w:val="-6"/>
          <w:sz w:val="28"/>
          <w:szCs w:val="28"/>
        </w:rPr>
        <w:t>元。</w:t>
      </w:r>
    </w:p>
    <w:p>
      <w:pPr>
        <w:spacing w:line="600" w:lineRule="exact"/>
        <w:ind w:right="-569" w:rightChars="-271"/>
        <w:outlineLvl w:val="0"/>
        <w:rPr>
          <w:rFonts w:ascii="Times New Roman" w:hAnsi="Times New Roman" w:eastAsia="仿宋" w:cs="Times New Roman"/>
          <w:b/>
          <w:bCs/>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八、</w:t>
      </w:r>
      <w:r>
        <w:rPr>
          <w:rFonts w:hint="eastAsia" w:ascii="Times New Roman" w:hAnsi="Times New Roman" w:eastAsia="仿宋_GB2312" w:cs="Times New Roman"/>
          <w:b/>
          <w:color w:val="000000" w:themeColor="text1"/>
          <w:sz w:val="28"/>
          <w:szCs w:val="28"/>
          <w14:textFill>
            <w14:solidFill>
              <w14:schemeClr w14:val="tx1"/>
            </w14:solidFill>
          </w14:textFill>
        </w:rPr>
        <w:t>存在问题及建议</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根据承接机构制定的《财务报销制度及报销流程》：“……</w:t>
      </w:r>
      <w:r>
        <w:rPr>
          <w:rFonts w:ascii="Times New Roman" w:hAnsi="Times New Roman" w:eastAsia="仿宋_GB2312" w:cs="Times New Roman"/>
          <w:sz w:val="28"/>
          <w:szCs w:val="28"/>
        </w:rPr>
        <w:t>300元以上至1000元（含1000元）由区域服务总监或机构行政总监审批</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s="Times New Roman"/>
          <w:sz w:val="28"/>
          <w:szCs w:val="28"/>
        </w:rPr>
        <w:t>，</w:t>
      </w:r>
      <w:r>
        <w:rPr>
          <w:rFonts w:hint="eastAsia" w:ascii="Times New Roman" w:hAnsi="Times New Roman" w:eastAsia="仿宋_GB2312"/>
          <w:color w:val="000000" w:themeColor="text1"/>
          <w:sz w:val="28"/>
          <w:szCs w:val="28"/>
          <w14:textFill>
            <w14:solidFill>
              <w14:schemeClr w14:val="tx1"/>
            </w14:solidFill>
          </w14:textFill>
        </w:rPr>
        <w:t>审核发现，承接机构部分支出未按上述制度执行，如：2024年9月265号凭证支付活动费16,485</w:t>
      </w:r>
      <w:r>
        <w:rPr>
          <w:rFonts w:ascii="Times New Roman" w:hAnsi="Times New Roman" w:eastAsia="仿宋_GB2312"/>
          <w:color w:val="000000" w:themeColor="text1"/>
          <w:sz w:val="28"/>
          <w:szCs w:val="28"/>
          <w14:textFill>
            <w14:solidFill>
              <w14:schemeClr w14:val="tx1"/>
            </w14:solidFill>
          </w14:textFill>
        </w:rPr>
        <w:t>.00</w:t>
      </w:r>
      <w:r>
        <w:rPr>
          <w:rFonts w:hint="eastAsia" w:ascii="Times New Roman" w:hAnsi="Times New Roman" w:eastAsia="仿宋_GB2312"/>
          <w:color w:val="000000" w:themeColor="text1"/>
          <w:sz w:val="28"/>
          <w:szCs w:val="28"/>
          <w14:textFill>
            <w14:solidFill>
              <w14:schemeClr w14:val="tx1"/>
            </w14:solidFill>
          </w14:textFill>
        </w:rPr>
        <w:t>元后附费用报销单未见区域总监或行政总监签字; 2024年10月138号凭证支付活动费7,000</w:t>
      </w:r>
      <w:r>
        <w:rPr>
          <w:rFonts w:ascii="Times New Roman" w:hAnsi="Times New Roman" w:eastAsia="仿宋_GB2312"/>
          <w:color w:val="000000" w:themeColor="text1"/>
          <w:sz w:val="28"/>
          <w:szCs w:val="28"/>
          <w14:textFill>
            <w14:solidFill>
              <w14:schemeClr w14:val="tx1"/>
            </w14:solidFill>
          </w14:textFill>
        </w:rPr>
        <w:t>.00</w:t>
      </w:r>
      <w:r>
        <w:rPr>
          <w:rFonts w:hint="eastAsia" w:ascii="Times New Roman" w:hAnsi="Times New Roman" w:eastAsia="仿宋_GB2312"/>
          <w:color w:val="000000" w:themeColor="text1"/>
          <w:sz w:val="28"/>
          <w:szCs w:val="28"/>
          <w14:textFill>
            <w14:solidFill>
              <w14:schemeClr w14:val="tx1"/>
            </w14:solidFill>
          </w14:textFill>
        </w:rPr>
        <w:t>元，后附费用报销单和请示均未见区域总监或行政总监签字。建议严格执行承接机构制定的《财务报销制度及报销流程》中的审批程序，对审批程序不规范的费用支出，不予报销。</w:t>
      </w:r>
    </w:p>
    <w:p>
      <w:pPr>
        <w:spacing w:line="60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九、评估结论</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经上述审核评估，我们认为广州市番禺区石碁街社工服务站本次财务评估等级为：合格。</w:t>
      </w:r>
    </w:p>
    <w:p>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十、其他事项</w:t>
      </w:r>
    </w:p>
    <w:p>
      <w:pPr>
        <w:spacing w:line="600" w:lineRule="exact"/>
        <w:ind w:firstLine="560" w:firstLineChars="200"/>
        <w:rPr>
          <w:rFonts w:ascii="Times New Roman" w:hAnsi="Times New Roman" w:eastAsia="仿宋_GB2312" w:cs="Times New Roman"/>
          <w:b/>
          <w:bCs/>
          <w:sz w:val="28"/>
          <w:szCs w:val="28"/>
        </w:rPr>
      </w:pPr>
      <w:r>
        <w:rPr>
          <w:rFonts w:hint="eastAsia" w:ascii="Times New Roman" w:hAnsi="Times New Roman" w:eastAsia="仿宋" w:cs="Times New Roman"/>
          <w:color w:val="000000" w:themeColor="text1"/>
          <w:sz w:val="28"/>
          <w:szCs w:val="28"/>
          <w14:textFill>
            <w14:solidFill>
              <w14:schemeClr w14:val="tx1"/>
            </w14:solidFill>
          </w14:textFill>
        </w:rPr>
        <w:t>本报告仅供本次委托目的，即对石碁社工站财务评估使用，本事务所及本注册会计师不对运用本报告于其他目的造成的经济后果负责。</w:t>
      </w:r>
    </w:p>
    <w:p>
      <w:pPr>
        <w:spacing w:line="600" w:lineRule="exact"/>
        <w:ind w:left="850" w:leftChars="405"/>
        <w:rPr>
          <w:rFonts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hint="eastAsia"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hint="eastAsia" w:ascii="Times New Roman" w:hAnsi="Times New Roman" w:eastAsia="华文新魏" w:cs="Times New Roman"/>
                <w:b/>
                <w:color w:val="000000" w:themeColor="text1"/>
                <w:sz w:val="28"/>
                <w14:textFill>
                  <w14:solidFill>
                    <w14:schemeClr w14:val="tx1"/>
                  </w14:solidFill>
                </w14:textFill>
              </w:rPr>
              <w:t>广州</w:t>
            </w:r>
            <w:r>
              <w:rPr>
                <w:rFonts w:ascii="Times New Roman" w:hAnsi="Times New Roman" w:eastAsia="华文新魏" w:cs="Times New Roman"/>
                <w:b/>
                <w:color w:val="000000" w:themeColor="text1"/>
                <w:sz w:val="28"/>
                <w14:textFill>
                  <w14:solidFill>
                    <w14:schemeClr w14:val="tx1"/>
                  </w14:solidFill>
                </w14:textFill>
              </w:rPr>
              <w:t>·</w:t>
            </w:r>
            <w:r>
              <w:rPr>
                <w:rFonts w:hint="eastAsia" w:ascii="Times New Roman" w:hAnsi="Times New Roman" w:eastAsia="华文新魏" w:cs="Times New Roman"/>
                <w:b/>
                <w:color w:val="000000" w:themeColor="text1"/>
                <w:sz w:val="28"/>
                <w14:textFill>
                  <w14:solidFill>
                    <w14:schemeClr w14:val="tx1"/>
                  </w14:solidFill>
                </w14:textFill>
              </w:rPr>
              <w:t>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hint="eastAsia"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宋体" w:cs="Times New Roman"/>
                <w:b/>
                <w:color w:val="000000" w:themeColor="text1"/>
                <w:sz w:val="28"/>
                <w14:textFill>
                  <w14:solidFill>
                    <w14:schemeClr w14:val="tx1"/>
                  </w14:solidFill>
                </w14:textFill>
              </w:rPr>
              <w:t>〇</w:t>
            </w:r>
            <w:r>
              <w:rPr>
                <w:rFonts w:hint="eastAsia" w:ascii="Times New Roman" w:hAnsi="Times New Roman" w:eastAsia="华文新魏" w:cs="Times New Roman"/>
                <w:b/>
                <w:color w:val="000000" w:themeColor="text1"/>
                <w:sz w:val="28"/>
                <w14:textFill>
                  <w14:solidFill>
                    <w14:schemeClr w14:val="tx1"/>
                  </w14:solidFill>
                </w14:textFill>
              </w:rPr>
              <w:t>二五年四月二十三日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hint="eastAsia" w:ascii="Times New Roman" w:hAnsi="Times New Roman" w:eastAsia="华文新魏" w:cs="Times New Roman"/>
                <w:b/>
                <w:color w:val="000000" w:themeColor="text1"/>
                <w:sz w:val="28"/>
                <w14:textFill>
                  <w14:solidFill>
                    <w14:schemeClr w14:val="tx1"/>
                  </w14:solidFill>
                </w14:textFill>
              </w:rPr>
              <w:t>中国注册会计师</w:t>
            </w:r>
            <w:r>
              <w:rPr>
                <w:rFonts w:hint="eastAsia"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hint="eastAsia" w:ascii="Times New Roman" w:hAnsi="Times New Roman" w:eastAsia="仿宋" w:cs="Times New Roman"/>
                <w:b/>
                <w:color w:val="000000" w:themeColor="text1"/>
                <w:sz w:val="28"/>
                <w:szCs w:val="28"/>
                <w14:textFill>
                  <w14:solidFill>
                    <w14:schemeClr w14:val="tx1"/>
                  </w14:solidFill>
                </w14:textFill>
              </w:rPr>
              <w:t>（</w:t>
            </w:r>
            <w:r>
              <w:rPr>
                <w:rFonts w:hint="eastAsia" w:ascii="Times New Roman" w:hAnsi="Times New Roman" w:eastAsia="华文新魏" w:cs="Times New Roman"/>
                <w:b/>
                <w:color w:val="000000" w:themeColor="text1"/>
                <w:sz w:val="28"/>
                <w:szCs w:val="28"/>
                <w14:textFill>
                  <w14:solidFill>
                    <w14:schemeClr w14:val="tx1"/>
                  </w14:solidFill>
                </w14:textFill>
              </w:rPr>
              <w:t>项目负责人</w:t>
            </w:r>
            <w:r>
              <w:rPr>
                <w:rFonts w:hint="eastAsia"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hint="eastAsia" w:ascii="Times New Roman" w:hAnsi="Times New Roman" w:eastAsia="华文新魏" w:cs="Times New Roman"/>
                <w:b/>
                <w:color w:val="000000" w:themeColor="text1"/>
                <w:sz w:val="28"/>
                <w14:textFill>
                  <w14:solidFill>
                    <w14:schemeClr w14:val="tx1"/>
                  </w14:solidFill>
                </w14:textFill>
              </w:rPr>
              <w:t>中国注册会计师</w:t>
            </w:r>
            <w:r>
              <w:rPr>
                <w:rFonts w:hint="eastAsia"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A9AC3"/>
    <w:multiLevelType w:val="singleLevel"/>
    <w:tmpl w:val="730A9AC3"/>
    <w:lvl w:ilvl="0" w:tentative="0">
      <w:start w:val="1"/>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408A"/>
    <w:rsid w:val="00011264"/>
    <w:rsid w:val="00024FF8"/>
    <w:rsid w:val="0002755A"/>
    <w:rsid w:val="00030802"/>
    <w:rsid w:val="000317CE"/>
    <w:rsid w:val="00032744"/>
    <w:rsid w:val="0003344C"/>
    <w:rsid w:val="0003532C"/>
    <w:rsid w:val="00041B6A"/>
    <w:rsid w:val="00043872"/>
    <w:rsid w:val="00055B05"/>
    <w:rsid w:val="000562C5"/>
    <w:rsid w:val="00056EE9"/>
    <w:rsid w:val="0006463F"/>
    <w:rsid w:val="00064B63"/>
    <w:rsid w:val="00065A6C"/>
    <w:rsid w:val="00071FB1"/>
    <w:rsid w:val="00073645"/>
    <w:rsid w:val="00085C32"/>
    <w:rsid w:val="00097DB9"/>
    <w:rsid w:val="000A488D"/>
    <w:rsid w:val="000B22C3"/>
    <w:rsid w:val="000B5517"/>
    <w:rsid w:val="000B62CD"/>
    <w:rsid w:val="000D31B5"/>
    <w:rsid w:val="000D65F3"/>
    <w:rsid w:val="000E00E1"/>
    <w:rsid w:val="000F0011"/>
    <w:rsid w:val="000F0440"/>
    <w:rsid w:val="000F4F6B"/>
    <w:rsid w:val="00101D5C"/>
    <w:rsid w:val="00102433"/>
    <w:rsid w:val="00104BA9"/>
    <w:rsid w:val="00110769"/>
    <w:rsid w:val="00112A99"/>
    <w:rsid w:val="0011480E"/>
    <w:rsid w:val="00121ED1"/>
    <w:rsid w:val="0012230B"/>
    <w:rsid w:val="00125BBC"/>
    <w:rsid w:val="00133E77"/>
    <w:rsid w:val="001370D5"/>
    <w:rsid w:val="00141B82"/>
    <w:rsid w:val="00141E48"/>
    <w:rsid w:val="0014748D"/>
    <w:rsid w:val="001522CB"/>
    <w:rsid w:val="001524AE"/>
    <w:rsid w:val="0015779A"/>
    <w:rsid w:val="0016124C"/>
    <w:rsid w:val="00161623"/>
    <w:rsid w:val="00164A86"/>
    <w:rsid w:val="0016508D"/>
    <w:rsid w:val="00171040"/>
    <w:rsid w:val="00172280"/>
    <w:rsid w:val="001839F4"/>
    <w:rsid w:val="00185C33"/>
    <w:rsid w:val="00191F3C"/>
    <w:rsid w:val="001973EB"/>
    <w:rsid w:val="001A0108"/>
    <w:rsid w:val="001A128C"/>
    <w:rsid w:val="001A70D8"/>
    <w:rsid w:val="001A795B"/>
    <w:rsid w:val="001B0C80"/>
    <w:rsid w:val="001B2890"/>
    <w:rsid w:val="001B2BB1"/>
    <w:rsid w:val="001C5BF2"/>
    <w:rsid w:val="001D0EB6"/>
    <w:rsid w:val="001D4A1C"/>
    <w:rsid w:val="001E0431"/>
    <w:rsid w:val="001E2299"/>
    <w:rsid w:val="001E3968"/>
    <w:rsid w:val="001E6903"/>
    <w:rsid w:val="001E73AE"/>
    <w:rsid w:val="001F4AF2"/>
    <w:rsid w:val="001F6520"/>
    <w:rsid w:val="001F72D5"/>
    <w:rsid w:val="00200AB0"/>
    <w:rsid w:val="00202633"/>
    <w:rsid w:val="00204CA1"/>
    <w:rsid w:val="002146CD"/>
    <w:rsid w:val="002166A8"/>
    <w:rsid w:val="002243A8"/>
    <w:rsid w:val="00225676"/>
    <w:rsid w:val="00227625"/>
    <w:rsid w:val="00237B72"/>
    <w:rsid w:val="00243C5B"/>
    <w:rsid w:val="002454FC"/>
    <w:rsid w:val="00262365"/>
    <w:rsid w:val="002626C2"/>
    <w:rsid w:val="002647B9"/>
    <w:rsid w:val="00265F2A"/>
    <w:rsid w:val="00266A11"/>
    <w:rsid w:val="00266CEA"/>
    <w:rsid w:val="00270C73"/>
    <w:rsid w:val="00271874"/>
    <w:rsid w:val="00273BCE"/>
    <w:rsid w:val="002845EB"/>
    <w:rsid w:val="00286B33"/>
    <w:rsid w:val="002A000C"/>
    <w:rsid w:val="002A7C06"/>
    <w:rsid w:val="002B0B68"/>
    <w:rsid w:val="002B3191"/>
    <w:rsid w:val="002B4DAA"/>
    <w:rsid w:val="002C6261"/>
    <w:rsid w:val="002C758E"/>
    <w:rsid w:val="002E0308"/>
    <w:rsid w:val="002E1BD7"/>
    <w:rsid w:val="002E1C51"/>
    <w:rsid w:val="002E4330"/>
    <w:rsid w:val="0030480B"/>
    <w:rsid w:val="0030717C"/>
    <w:rsid w:val="00312000"/>
    <w:rsid w:val="00320181"/>
    <w:rsid w:val="0032080E"/>
    <w:rsid w:val="00323877"/>
    <w:rsid w:val="003318A3"/>
    <w:rsid w:val="00331C3E"/>
    <w:rsid w:val="00331E74"/>
    <w:rsid w:val="00341215"/>
    <w:rsid w:val="00344B95"/>
    <w:rsid w:val="00347270"/>
    <w:rsid w:val="0035269F"/>
    <w:rsid w:val="00374A71"/>
    <w:rsid w:val="00387479"/>
    <w:rsid w:val="0039097A"/>
    <w:rsid w:val="003A1903"/>
    <w:rsid w:val="003B2BC5"/>
    <w:rsid w:val="003B3AEB"/>
    <w:rsid w:val="003D2D92"/>
    <w:rsid w:val="003E3835"/>
    <w:rsid w:val="003E56B4"/>
    <w:rsid w:val="003E667B"/>
    <w:rsid w:val="003E7C2B"/>
    <w:rsid w:val="003F0A6B"/>
    <w:rsid w:val="003F133D"/>
    <w:rsid w:val="003F2D93"/>
    <w:rsid w:val="0040031D"/>
    <w:rsid w:val="00410E86"/>
    <w:rsid w:val="0041472D"/>
    <w:rsid w:val="00415C4F"/>
    <w:rsid w:val="00416C0A"/>
    <w:rsid w:val="00427E8F"/>
    <w:rsid w:val="004356BB"/>
    <w:rsid w:val="00441B0C"/>
    <w:rsid w:val="00446547"/>
    <w:rsid w:val="00456A81"/>
    <w:rsid w:val="004639CE"/>
    <w:rsid w:val="00467F29"/>
    <w:rsid w:val="004727E9"/>
    <w:rsid w:val="00481251"/>
    <w:rsid w:val="004849B7"/>
    <w:rsid w:val="00491F7D"/>
    <w:rsid w:val="004A2D74"/>
    <w:rsid w:val="004B2146"/>
    <w:rsid w:val="004B266C"/>
    <w:rsid w:val="004B69E8"/>
    <w:rsid w:val="004B7044"/>
    <w:rsid w:val="004C2255"/>
    <w:rsid w:val="004C265D"/>
    <w:rsid w:val="004E2951"/>
    <w:rsid w:val="004F1B7D"/>
    <w:rsid w:val="004F39D9"/>
    <w:rsid w:val="0050140C"/>
    <w:rsid w:val="00510E05"/>
    <w:rsid w:val="00513297"/>
    <w:rsid w:val="0051464B"/>
    <w:rsid w:val="005147E9"/>
    <w:rsid w:val="00516189"/>
    <w:rsid w:val="00521B04"/>
    <w:rsid w:val="00525CAD"/>
    <w:rsid w:val="0052700D"/>
    <w:rsid w:val="0053169B"/>
    <w:rsid w:val="005363DD"/>
    <w:rsid w:val="00541C5B"/>
    <w:rsid w:val="005442C3"/>
    <w:rsid w:val="0054626A"/>
    <w:rsid w:val="00546E36"/>
    <w:rsid w:val="00550D9E"/>
    <w:rsid w:val="005627A6"/>
    <w:rsid w:val="00563632"/>
    <w:rsid w:val="005708A7"/>
    <w:rsid w:val="00572004"/>
    <w:rsid w:val="00572760"/>
    <w:rsid w:val="0057312B"/>
    <w:rsid w:val="00583524"/>
    <w:rsid w:val="00594D45"/>
    <w:rsid w:val="005B1BE8"/>
    <w:rsid w:val="005B6C76"/>
    <w:rsid w:val="005C4C36"/>
    <w:rsid w:val="005C6036"/>
    <w:rsid w:val="005C7CB0"/>
    <w:rsid w:val="005D085A"/>
    <w:rsid w:val="005D2D76"/>
    <w:rsid w:val="005D65B4"/>
    <w:rsid w:val="005E06D8"/>
    <w:rsid w:val="005E0CFD"/>
    <w:rsid w:val="005E48DD"/>
    <w:rsid w:val="005F06AB"/>
    <w:rsid w:val="005F164C"/>
    <w:rsid w:val="005F32C5"/>
    <w:rsid w:val="005F35CE"/>
    <w:rsid w:val="005F35D2"/>
    <w:rsid w:val="005F52F8"/>
    <w:rsid w:val="005F5FE2"/>
    <w:rsid w:val="005F6D4D"/>
    <w:rsid w:val="005F74CF"/>
    <w:rsid w:val="00602725"/>
    <w:rsid w:val="00602BB4"/>
    <w:rsid w:val="00610693"/>
    <w:rsid w:val="00632C66"/>
    <w:rsid w:val="00633E4B"/>
    <w:rsid w:val="00637E1A"/>
    <w:rsid w:val="00653BBB"/>
    <w:rsid w:val="00655B2F"/>
    <w:rsid w:val="00674EA1"/>
    <w:rsid w:val="00675A60"/>
    <w:rsid w:val="00683341"/>
    <w:rsid w:val="006845F1"/>
    <w:rsid w:val="00696135"/>
    <w:rsid w:val="006B0BCE"/>
    <w:rsid w:val="006C49BA"/>
    <w:rsid w:val="006C4B01"/>
    <w:rsid w:val="006C65EA"/>
    <w:rsid w:val="006D0434"/>
    <w:rsid w:val="006D1CA1"/>
    <w:rsid w:val="006D4950"/>
    <w:rsid w:val="006E21E8"/>
    <w:rsid w:val="006E4926"/>
    <w:rsid w:val="006F0C97"/>
    <w:rsid w:val="006F3914"/>
    <w:rsid w:val="006F3969"/>
    <w:rsid w:val="007032DF"/>
    <w:rsid w:val="0070572C"/>
    <w:rsid w:val="00710A61"/>
    <w:rsid w:val="007173BB"/>
    <w:rsid w:val="00720E80"/>
    <w:rsid w:val="00721CB2"/>
    <w:rsid w:val="007340D0"/>
    <w:rsid w:val="00736038"/>
    <w:rsid w:val="0074347B"/>
    <w:rsid w:val="00745A2F"/>
    <w:rsid w:val="00746038"/>
    <w:rsid w:val="00746338"/>
    <w:rsid w:val="00747433"/>
    <w:rsid w:val="0075737E"/>
    <w:rsid w:val="00767C0E"/>
    <w:rsid w:val="00771D21"/>
    <w:rsid w:val="007801B6"/>
    <w:rsid w:val="007926ED"/>
    <w:rsid w:val="007927E1"/>
    <w:rsid w:val="00792F81"/>
    <w:rsid w:val="007A3244"/>
    <w:rsid w:val="007A5A98"/>
    <w:rsid w:val="007B5343"/>
    <w:rsid w:val="007B7796"/>
    <w:rsid w:val="007B7949"/>
    <w:rsid w:val="007C356F"/>
    <w:rsid w:val="007C5CCC"/>
    <w:rsid w:val="007C6683"/>
    <w:rsid w:val="007C7586"/>
    <w:rsid w:val="007D695E"/>
    <w:rsid w:val="007D7166"/>
    <w:rsid w:val="007E2480"/>
    <w:rsid w:val="00802451"/>
    <w:rsid w:val="0080471D"/>
    <w:rsid w:val="0080773B"/>
    <w:rsid w:val="00807BA7"/>
    <w:rsid w:val="00807BE3"/>
    <w:rsid w:val="00810A07"/>
    <w:rsid w:val="00820025"/>
    <w:rsid w:val="0082062E"/>
    <w:rsid w:val="00822EFC"/>
    <w:rsid w:val="00824AE7"/>
    <w:rsid w:val="008321FE"/>
    <w:rsid w:val="00847412"/>
    <w:rsid w:val="008475C0"/>
    <w:rsid w:val="00852D37"/>
    <w:rsid w:val="00854AAD"/>
    <w:rsid w:val="00855127"/>
    <w:rsid w:val="0085513B"/>
    <w:rsid w:val="00856263"/>
    <w:rsid w:val="00856883"/>
    <w:rsid w:val="0086051F"/>
    <w:rsid w:val="00870E18"/>
    <w:rsid w:val="00871D9B"/>
    <w:rsid w:val="008760FC"/>
    <w:rsid w:val="00883C29"/>
    <w:rsid w:val="0088606E"/>
    <w:rsid w:val="008942DD"/>
    <w:rsid w:val="00896102"/>
    <w:rsid w:val="00897C30"/>
    <w:rsid w:val="00897D40"/>
    <w:rsid w:val="008A2A7D"/>
    <w:rsid w:val="008A5ADF"/>
    <w:rsid w:val="008B601D"/>
    <w:rsid w:val="008B7EF7"/>
    <w:rsid w:val="008C3543"/>
    <w:rsid w:val="008C56DE"/>
    <w:rsid w:val="008C7615"/>
    <w:rsid w:val="008C7B77"/>
    <w:rsid w:val="008D1DB3"/>
    <w:rsid w:val="008D477E"/>
    <w:rsid w:val="008D549A"/>
    <w:rsid w:val="008E0B3B"/>
    <w:rsid w:val="008E6127"/>
    <w:rsid w:val="008F0DDF"/>
    <w:rsid w:val="009005D9"/>
    <w:rsid w:val="00903490"/>
    <w:rsid w:val="00905374"/>
    <w:rsid w:val="009064EB"/>
    <w:rsid w:val="00907484"/>
    <w:rsid w:val="009160E4"/>
    <w:rsid w:val="00924FD5"/>
    <w:rsid w:val="00926A47"/>
    <w:rsid w:val="00930A80"/>
    <w:rsid w:val="00933CB6"/>
    <w:rsid w:val="009367AD"/>
    <w:rsid w:val="0094095E"/>
    <w:rsid w:val="00940CE0"/>
    <w:rsid w:val="00942D24"/>
    <w:rsid w:val="00943A6F"/>
    <w:rsid w:val="0094449E"/>
    <w:rsid w:val="00951499"/>
    <w:rsid w:val="00952099"/>
    <w:rsid w:val="00953A03"/>
    <w:rsid w:val="00953A8A"/>
    <w:rsid w:val="0095423D"/>
    <w:rsid w:val="0095703D"/>
    <w:rsid w:val="009613FE"/>
    <w:rsid w:val="0096190D"/>
    <w:rsid w:val="009648B2"/>
    <w:rsid w:val="009759AE"/>
    <w:rsid w:val="00975FDD"/>
    <w:rsid w:val="009816F9"/>
    <w:rsid w:val="0099451A"/>
    <w:rsid w:val="00997BCF"/>
    <w:rsid w:val="009A0C80"/>
    <w:rsid w:val="009A2387"/>
    <w:rsid w:val="009A2A9F"/>
    <w:rsid w:val="009A51D4"/>
    <w:rsid w:val="009A7747"/>
    <w:rsid w:val="009B225D"/>
    <w:rsid w:val="009C3790"/>
    <w:rsid w:val="009C3CCD"/>
    <w:rsid w:val="009C6946"/>
    <w:rsid w:val="009D44FC"/>
    <w:rsid w:val="009F45DF"/>
    <w:rsid w:val="009F69AC"/>
    <w:rsid w:val="00A02EAF"/>
    <w:rsid w:val="00A15DDD"/>
    <w:rsid w:val="00A21C64"/>
    <w:rsid w:val="00A25727"/>
    <w:rsid w:val="00A31735"/>
    <w:rsid w:val="00A411C8"/>
    <w:rsid w:val="00A42F36"/>
    <w:rsid w:val="00A43D5E"/>
    <w:rsid w:val="00A44649"/>
    <w:rsid w:val="00A459DD"/>
    <w:rsid w:val="00A578BB"/>
    <w:rsid w:val="00A62367"/>
    <w:rsid w:val="00A66FCD"/>
    <w:rsid w:val="00A67BD5"/>
    <w:rsid w:val="00A67D24"/>
    <w:rsid w:val="00A74220"/>
    <w:rsid w:val="00A9361A"/>
    <w:rsid w:val="00A9437D"/>
    <w:rsid w:val="00A95270"/>
    <w:rsid w:val="00A97848"/>
    <w:rsid w:val="00AA19DE"/>
    <w:rsid w:val="00AA275E"/>
    <w:rsid w:val="00AA681D"/>
    <w:rsid w:val="00AB0656"/>
    <w:rsid w:val="00AB3B66"/>
    <w:rsid w:val="00AC58BD"/>
    <w:rsid w:val="00AC5C43"/>
    <w:rsid w:val="00AC65FD"/>
    <w:rsid w:val="00AD1E6B"/>
    <w:rsid w:val="00AD6EB8"/>
    <w:rsid w:val="00AD7854"/>
    <w:rsid w:val="00AE18D0"/>
    <w:rsid w:val="00AE285D"/>
    <w:rsid w:val="00AE3E25"/>
    <w:rsid w:val="00AE7B51"/>
    <w:rsid w:val="00AF0139"/>
    <w:rsid w:val="00AF5169"/>
    <w:rsid w:val="00B22BB9"/>
    <w:rsid w:val="00B27A0F"/>
    <w:rsid w:val="00B316D4"/>
    <w:rsid w:val="00B3292D"/>
    <w:rsid w:val="00B338AF"/>
    <w:rsid w:val="00B41E70"/>
    <w:rsid w:val="00B45DD2"/>
    <w:rsid w:val="00B45FAC"/>
    <w:rsid w:val="00B47376"/>
    <w:rsid w:val="00B5273E"/>
    <w:rsid w:val="00B55A3F"/>
    <w:rsid w:val="00B61767"/>
    <w:rsid w:val="00B634BC"/>
    <w:rsid w:val="00B66EF3"/>
    <w:rsid w:val="00B71517"/>
    <w:rsid w:val="00B73D8A"/>
    <w:rsid w:val="00B777DB"/>
    <w:rsid w:val="00B86605"/>
    <w:rsid w:val="00B9463E"/>
    <w:rsid w:val="00B94C44"/>
    <w:rsid w:val="00BA191A"/>
    <w:rsid w:val="00BA4475"/>
    <w:rsid w:val="00BB6453"/>
    <w:rsid w:val="00BC27F3"/>
    <w:rsid w:val="00BC46BE"/>
    <w:rsid w:val="00BC7ED9"/>
    <w:rsid w:val="00BD2F47"/>
    <w:rsid w:val="00BE22A5"/>
    <w:rsid w:val="00BE37CD"/>
    <w:rsid w:val="00BE3FB7"/>
    <w:rsid w:val="00BE4354"/>
    <w:rsid w:val="00BE4B22"/>
    <w:rsid w:val="00BE57EE"/>
    <w:rsid w:val="00BE62D2"/>
    <w:rsid w:val="00C02AF0"/>
    <w:rsid w:val="00C03042"/>
    <w:rsid w:val="00C033D6"/>
    <w:rsid w:val="00C10D35"/>
    <w:rsid w:val="00C12FF3"/>
    <w:rsid w:val="00C2086D"/>
    <w:rsid w:val="00C22583"/>
    <w:rsid w:val="00C23D3A"/>
    <w:rsid w:val="00C26635"/>
    <w:rsid w:val="00C26C87"/>
    <w:rsid w:val="00C35DDF"/>
    <w:rsid w:val="00C41CDC"/>
    <w:rsid w:val="00C41DD8"/>
    <w:rsid w:val="00C46491"/>
    <w:rsid w:val="00C50F29"/>
    <w:rsid w:val="00C61FF5"/>
    <w:rsid w:val="00C7566B"/>
    <w:rsid w:val="00C81C71"/>
    <w:rsid w:val="00C827D2"/>
    <w:rsid w:val="00C83AFD"/>
    <w:rsid w:val="00CA39FD"/>
    <w:rsid w:val="00CB0692"/>
    <w:rsid w:val="00CB6260"/>
    <w:rsid w:val="00CC094B"/>
    <w:rsid w:val="00CC2E3C"/>
    <w:rsid w:val="00CC7FE9"/>
    <w:rsid w:val="00CD0119"/>
    <w:rsid w:val="00CD0C4F"/>
    <w:rsid w:val="00CD2143"/>
    <w:rsid w:val="00CD3721"/>
    <w:rsid w:val="00CD408C"/>
    <w:rsid w:val="00CD5E58"/>
    <w:rsid w:val="00CD60B2"/>
    <w:rsid w:val="00CD62D5"/>
    <w:rsid w:val="00CE08B9"/>
    <w:rsid w:val="00CE3161"/>
    <w:rsid w:val="00CF19D8"/>
    <w:rsid w:val="00D024C8"/>
    <w:rsid w:val="00D0409C"/>
    <w:rsid w:val="00D10308"/>
    <w:rsid w:val="00D144A2"/>
    <w:rsid w:val="00D21D72"/>
    <w:rsid w:val="00D22C6A"/>
    <w:rsid w:val="00D24776"/>
    <w:rsid w:val="00D275F8"/>
    <w:rsid w:val="00D27AAF"/>
    <w:rsid w:val="00D32C3A"/>
    <w:rsid w:val="00D348FD"/>
    <w:rsid w:val="00D34A68"/>
    <w:rsid w:val="00D40ACE"/>
    <w:rsid w:val="00D44BFD"/>
    <w:rsid w:val="00D47C2A"/>
    <w:rsid w:val="00D51A02"/>
    <w:rsid w:val="00D70996"/>
    <w:rsid w:val="00D752C9"/>
    <w:rsid w:val="00D76704"/>
    <w:rsid w:val="00D77A77"/>
    <w:rsid w:val="00D82197"/>
    <w:rsid w:val="00D86161"/>
    <w:rsid w:val="00D867E3"/>
    <w:rsid w:val="00D93807"/>
    <w:rsid w:val="00D945A2"/>
    <w:rsid w:val="00D97736"/>
    <w:rsid w:val="00DA02C1"/>
    <w:rsid w:val="00DA287A"/>
    <w:rsid w:val="00DB02C4"/>
    <w:rsid w:val="00DB384D"/>
    <w:rsid w:val="00DD05F2"/>
    <w:rsid w:val="00DD1165"/>
    <w:rsid w:val="00DD4EA7"/>
    <w:rsid w:val="00DE2776"/>
    <w:rsid w:val="00DE38B1"/>
    <w:rsid w:val="00DE69C7"/>
    <w:rsid w:val="00DF02A5"/>
    <w:rsid w:val="00E03CD0"/>
    <w:rsid w:val="00E1694E"/>
    <w:rsid w:val="00E21B1D"/>
    <w:rsid w:val="00E2471E"/>
    <w:rsid w:val="00E31E66"/>
    <w:rsid w:val="00E42764"/>
    <w:rsid w:val="00E52014"/>
    <w:rsid w:val="00E54144"/>
    <w:rsid w:val="00E56A70"/>
    <w:rsid w:val="00E57618"/>
    <w:rsid w:val="00E57C7F"/>
    <w:rsid w:val="00E61107"/>
    <w:rsid w:val="00E612B7"/>
    <w:rsid w:val="00E70D75"/>
    <w:rsid w:val="00E72E37"/>
    <w:rsid w:val="00E75437"/>
    <w:rsid w:val="00E762BE"/>
    <w:rsid w:val="00E851CE"/>
    <w:rsid w:val="00E86E25"/>
    <w:rsid w:val="00EA0393"/>
    <w:rsid w:val="00EA6F18"/>
    <w:rsid w:val="00EC0150"/>
    <w:rsid w:val="00EC35AE"/>
    <w:rsid w:val="00EC54BC"/>
    <w:rsid w:val="00EC60F4"/>
    <w:rsid w:val="00ED03C6"/>
    <w:rsid w:val="00ED03D7"/>
    <w:rsid w:val="00ED40AB"/>
    <w:rsid w:val="00ED4543"/>
    <w:rsid w:val="00EE58C3"/>
    <w:rsid w:val="00EE6997"/>
    <w:rsid w:val="00EF35A0"/>
    <w:rsid w:val="00EF4280"/>
    <w:rsid w:val="00EF7ACF"/>
    <w:rsid w:val="00EF7D44"/>
    <w:rsid w:val="00F055B8"/>
    <w:rsid w:val="00F12621"/>
    <w:rsid w:val="00F14556"/>
    <w:rsid w:val="00F1624D"/>
    <w:rsid w:val="00F17276"/>
    <w:rsid w:val="00F20D27"/>
    <w:rsid w:val="00F226C8"/>
    <w:rsid w:val="00F25686"/>
    <w:rsid w:val="00F25D1D"/>
    <w:rsid w:val="00F279E8"/>
    <w:rsid w:val="00F31B05"/>
    <w:rsid w:val="00F3637E"/>
    <w:rsid w:val="00F36B85"/>
    <w:rsid w:val="00F52AB6"/>
    <w:rsid w:val="00F537EB"/>
    <w:rsid w:val="00F5464D"/>
    <w:rsid w:val="00F549A2"/>
    <w:rsid w:val="00F66AC5"/>
    <w:rsid w:val="00F73C1E"/>
    <w:rsid w:val="00F801CF"/>
    <w:rsid w:val="00F82D47"/>
    <w:rsid w:val="00F85590"/>
    <w:rsid w:val="00F87018"/>
    <w:rsid w:val="00F971D2"/>
    <w:rsid w:val="00FA1C78"/>
    <w:rsid w:val="00FB6DAA"/>
    <w:rsid w:val="00FC147F"/>
    <w:rsid w:val="00FD3E88"/>
    <w:rsid w:val="00FD45C2"/>
    <w:rsid w:val="00FF0E1A"/>
    <w:rsid w:val="00FF2A48"/>
    <w:rsid w:val="0147153B"/>
    <w:rsid w:val="01710365"/>
    <w:rsid w:val="025A529E"/>
    <w:rsid w:val="04CD7FA9"/>
    <w:rsid w:val="053C512E"/>
    <w:rsid w:val="055E32F7"/>
    <w:rsid w:val="056A57F8"/>
    <w:rsid w:val="06393975"/>
    <w:rsid w:val="072365A6"/>
    <w:rsid w:val="07D4733A"/>
    <w:rsid w:val="0A4A209B"/>
    <w:rsid w:val="0E912047"/>
    <w:rsid w:val="117824F4"/>
    <w:rsid w:val="12942106"/>
    <w:rsid w:val="135A334F"/>
    <w:rsid w:val="13B54A2A"/>
    <w:rsid w:val="14643D5A"/>
    <w:rsid w:val="172B0B5F"/>
    <w:rsid w:val="19A075E2"/>
    <w:rsid w:val="19B13293"/>
    <w:rsid w:val="1B4346C9"/>
    <w:rsid w:val="1B5B56A9"/>
    <w:rsid w:val="1C334E09"/>
    <w:rsid w:val="1CF33ECD"/>
    <w:rsid w:val="1E696B3C"/>
    <w:rsid w:val="1FC63B1B"/>
    <w:rsid w:val="202B1BD0"/>
    <w:rsid w:val="22B660C8"/>
    <w:rsid w:val="23201794"/>
    <w:rsid w:val="24155071"/>
    <w:rsid w:val="25697422"/>
    <w:rsid w:val="265C2AE3"/>
    <w:rsid w:val="27960276"/>
    <w:rsid w:val="28F811E9"/>
    <w:rsid w:val="2A9036A3"/>
    <w:rsid w:val="2B1E2A5D"/>
    <w:rsid w:val="2B7D7783"/>
    <w:rsid w:val="2C8B2374"/>
    <w:rsid w:val="2D1C2FCC"/>
    <w:rsid w:val="2E100D83"/>
    <w:rsid w:val="2E505623"/>
    <w:rsid w:val="2ECB4CA9"/>
    <w:rsid w:val="32A61CB5"/>
    <w:rsid w:val="340B78F6"/>
    <w:rsid w:val="34C75F13"/>
    <w:rsid w:val="35507CB7"/>
    <w:rsid w:val="377C4D93"/>
    <w:rsid w:val="37AD7642"/>
    <w:rsid w:val="390F1C37"/>
    <w:rsid w:val="3A5A5133"/>
    <w:rsid w:val="3BB645EB"/>
    <w:rsid w:val="3BC767F9"/>
    <w:rsid w:val="3C797AF3"/>
    <w:rsid w:val="3EC60FE9"/>
    <w:rsid w:val="3EEC6CA2"/>
    <w:rsid w:val="3F2A77CA"/>
    <w:rsid w:val="3F3348D1"/>
    <w:rsid w:val="3F6A406B"/>
    <w:rsid w:val="3F7F5724"/>
    <w:rsid w:val="43BF2BD7"/>
    <w:rsid w:val="445552E9"/>
    <w:rsid w:val="45F8417E"/>
    <w:rsid w:val="47431429"/>
    <w:rsid w:val="47E50732"/>
    <w:rsid w:val="49EA0282"/>
    <w:rsid w:val="4B3612A5"/>
    <w:rsid w:val="4D5A571F"/>
    <w:rsid w:val="4D64659D"/>
    <w:rsid w:val="4E2A50F1"/>
    <w:rsid w:val="4EE23C1E"/>
    <w:rsid w:val="4FDC68BF"/>
    <w:rsid w:val="52C8137C"/>
    <w:rsid w:val="52EA30A1"/>
    <w:rsid w:val="530028C4"/>
    <w:rsid w:val="53F35F85"/>
    <w:rsid w:val="54EC75A4"/>
    <w:rsid w:val="55D6790C"/>
    <w:rsid w:val="56530F5D"/>
    <w:rsid w:val="565F7902"/>
    <w:rsid w:val="56955A19"/>
    <w:rsid w:val="573945F7"/>
    <w:rsid w:val="578F2469"/>
    <w:rsid w:val="5AFE1DDF"/>
    <w:rsid w:val="5B12588A"/>
    <w:rsid w:val="5D6F2B20"/>
    <w:rsid w:val="5D7A3273"/>
    <w:rsid w:val="5E6C52B2"/>
    <w:rsid w:val="60DD4245"/>
    <w:rsid w:val="61391461"/>
    <w:rsid w:val="63251ED3"/>
    <w:rsid w:val="64030466"/>
    <w:rsid w:val="648E2F2D"/>
    <w:rsid w:val="64B654D9"/>
    <w:rsid w:val="65312DB1"/>
    <w:rsid w:val="68B03FED"/>
    <w:rsid w:val="69D1246D"/>
    <w:rsid w:val="6B15282D"/>
    <w:rsid w:val="6B655371"/>
    <w:rsid w:val="6B7457A6"/>
    <w:rsid w:val="6BBD0EFB"/>
    <w:rsid w:val="6BE648F5"/>
    <w:rsid w:val="6BF15048"/>
    <w:rsid w:val="6CAB51F7"/>
    <w:rsid w:val="6CBD4F2A"/>
    <w:rsid w:val="6D1F1741"/>
    <w:rsid w:val="6F2614AD"/>
    <w:rsid w:val="6FF46EB5"/>
    <w:rsid w:val="718F3339"/>
    <w:rsid w:val="752E2E69"/>
    <w:rsid w:val="766F7295"/>
    <w:rsid w:val="76C07AF1"/>
    <w:rsid w:val="77CD4BBB"/>
    <w:rsid w:val="77F02658"/>
    <w:rsid w:val="7851759A"/>
    <w:rsid w:val="785B21C7"/>
    <w:rsid w:val="7C7575D0"/>
    <w:rsid w:val="7C8B0BA1"/>
    <w:rsid w:val="7E2B6198"/>
    <w:rsid w:val="9F6D0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Char"/>
    <w:basedOn w:val="9"/>
    <w:link w:val="3"/>
    <w:qFormat/>
    <w:uiPriority w:val="0"/>
    <w:rPr>
      <w:kern w:val="2"/>
      <w:sz w:val="18"/>
      <w:szCs w:val="24"/>
    </w:rPr>
  </w:style>
  <w:style w:type="character" w:customStyle="1" w:styleId="15">
    <w:name w:val="批注文字 Char"/>
    <w:basedOn w:val="9"/>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7"/>
    <w:qFormat/>
    <w:uiPriority w:val="0"/>
    <w:rPr>
      <w:rFonts w:asciiTheme="minorHAnsi" w:hAnsiTheme="minorHAnsi" w:eastAsiaTheme="minorEastAsia" w:cstheme="minorBidi"/>
      <w:b/>
      <w:bCs/>
      <w:kern w:val="2"/>
      <w:sz w:val="21"/>
      <w:szCs w:val="24"/>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666</Words>
  <Characters>3799</Characters>
  <Lines>31</Lines>
  <Paragraphs>8</Paragraphs>
  <TotalTime>56</TotalTime>
  <ScaleCrop>false</ScaleCrop>
  <LinksUpToDate>false</LinksUpToDate>
  <CharactersWithSpaces>4457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2024-04-05T21:38:00Z</dcterms:created>
  <dc:creator>Dumpling</dc:creator>
  <cp:lastModifiedBy>Administrator</cp:lastModifiedBy>
  <cp:lastPrinted>2025-04-24T23:23:00Z</cp:lastPrinted>
  <dcterms:modified xsi:type="dcterms:W3CDTF">2025-05-28T07:10:10Z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DBDAA557E3AB4E19815F85778EA03EFE</vt:lpwstr>
  </property>
  <property fmtid="{D5CDD505-2E9C-101B-9397-08002B2CF9AE}" pid="4" name="KSOTemplateDocerSaveRecord">
    <vt:lpwstr>eyJoZGlkIjoiNDBlMTk3MWMyYTJhM2JiZWEwODcyNGRhNWQyMDM4MmIiLCJ1c2VySWQiOiI2MTIxNDE5OTUifQ==</vt:lpwstr>
  </property>
</Properties>
</file>